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1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1-39450</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HARMONY BIOSCIENCES HOLDINGS, INC.</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7740" w:type="dxa"/>
            <w:vAlign w:val="bottom"/>
            <w:gridSpan w:val="6"/>
          </w:tcPr>
          <w:p>
            <w:pPr>
              <w:jc w:val="center"/>
              <w:ind w:left="3443"/>
              <w:spacing w:after="0"/>
              <w:rPr>
                <w:sz w:val="20"/>
                <w:szCs w:val="20"/>
                <w:color w:val="auto"/>
              </w:rPr>
            </w:pPr>
            <w:r>
              <w:rPr>
                <w:rFonts w:ascii="Arial" w:cs="Arial" w:eastAsia="Arial" w:hAnsi="Arial"/>
                <w:sz w:val="16"/>
                <w:szCs w:val="16"/>
                <w:color w:val="auto"/>
              </w:rPr>
              <w:t>(Exact Name of Registrant as Specified in Its Charter)</w:t>
            </w:r>
          </w:p>
        </w:tc>
        <w:tc>
          <w:tcPr>
            <w:tcW w:w="3500" w:type="dxa"/>
            <w:vAlign w:val="bottom"/>
          </w:tcPr>
          <w:p>
            <w:pPr>
              <w:spacing w:after="0"/>
              <w:rPr>
                <w:sz w:val="19"/>
                <w:szCs w:val="19"/>
                <w:color w:val="auto"/>
              </w:rPr>
            </w:pPr>
          </w:p>
        </w:tc>
      </w:tr>
      <w:tr>
        <w:trPr>
          <w:trHeight w:val="286"/>
        </w:trPr>
        <w:tc>
          <w:tcPr>
            <w:tcW w:w="4860" w:type="dxa"/>
            <w:vAlign w:val="bottom"/>
            <w:gridSpan w:val="3"/>
          </w:tcPr>
          <w:p>
            <w:pPr>
              <w:jc w:val="center"/>
              <w:ind w:left="643"/>
              <w:spacing w:after="0"/>
              <w:rPr>
                <w:sz w:val="20"/>
                <w:szCs w:val="20"/>
                <w:color w:val="auto"/>
              </w:rPr>
            </w:pPr>
            <w:r>
              <w:rPr>
                <w:rFonts w:ascii="Arial" w:cs="Arial" w:eastAsia="Arial" w:hAnsi="Arial"/>
                <w:sz w:val="16"/>
                <w:szCs w:val="16"/>
                <w:b w:val="1"/>
                <w:bCs w:val="1"/>
                <w:color w:val="auto"/>
                <w:w w:val="99"/>
              </w:rPr>
              <w:t>Delaware</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jc w:val="right"/>
              <w:ind w:right="2265"/>
              <w:spacing w:after="0"/>
              <w:rPr>
                <w:sz w:val="20"/>
                <w:szCs w:val="20"/>
                <w:color w:val="auto"/>
              </w:rPr>
            </w:pPr>
            <w:r>
              <w:rPr>
                <w:rFonts w:ascii="Arial" w:cs="Arial" w:eastAsia="Arial" w:hAnsi="Arial"/>
                <w:sz w:val="16"/>
                <w:szCs w:val="16"/>
                <w:b w:val="1"/>
                <w:bCs w:val="1"/>
                <w:color w:val="auto"/>
              </w:rPr>
              <w:t>82-2279923</w:t>
            </w:r>
          </w:p>
        </w:tc>
      </w:tr>
      <w:tr>
        <w:trPr>
          <w:trHeight w:val="162"/>
        </w:trPr>
        <w:tc>
          <w:tcPr>
            <w:tcW w:w="4860" w:type="dxa"/>
            <w:vAlign w:val="bottom"/>
            <w:gridSpan w:val="3"/>
          </w:tcPr>
          <w:p>
            <w:pPr>
              <w:jc w:val="center"/>
              <w:ind w:left="643"/>
              <w:spacing w:after="0"/>
              <w:rPr>
                <w:sz w:val="20"/>
                <w:szCs w:val="20"/>
                <w:color w:val="auto"/>
              </w:rPr>
            </w:pPr>
            <w:r>
              <w:rPr>
                <w:rFonts w:ascii="Arial" w:cs="Arial" w:eastAsia="Arial" w:hAnsi="Arial"/>
                <w:sz w:val="14"/>
                <w:szCs w:val="14"/>
                <w:color w:val="auto"/>
              </w:rPr>
              <w:t>(State or Other Jurisdiction of</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00" w:type="dxa"/>
            <w:vAlign w:val="bottom"/>
          </w:tcPr>
          <w:p>
            <w:pPr>
              <w:jc w:val="center"/>
              <w:ind w:right="1965"/>
              <w:spacing w:after="0"/>
              <w:rPr>
                <w:sz w:val="20"/>
                <w:szCs w:val="20"/>
                <w:color w:val="auto"/>
              </w:rPr>
            </w:pPr>
            <w:r>
              <w:rPr>
                <w:rFonts w:ascii="Arial" w:cs="Arial" w:eastAsia="Arial" w:hAnsi="Arial"/>
                <w:sz w:val="14"/>
                <w:szCs w:val="14"/>
                <w:color w:val="auto"/>
              </w:rPr>
              <w:t>(I.R.S. Employer</w:t>
            </w:r>
          </w:p>
        </w:tc>
      </w:tr>
      <w:tr>
        <w:trPr>
          <w:trHeight w:val="194"/>
        </w:trPr>
        <w:tc>
          <w:tcPr>
            <w:tcW w:w="4860" w:type="dxa"/>
            <w:vAlign w:val="bottom"/>
            <w:gridSpan w:val="3"/>
          </w:tcPr>
          <w:p>
            <w:pPr>
              <w:jc w:val="center"/>
              <w:ind w:left="643"/>
              <w:spacing w:after="0"/>
              <w:rPr>
                <w:sz w:val="20"/>
                <w:szCs w:val="20"/>
                <w:color w:val="auto"/>
              </w:rPr>
            </w:pPr>
            <w:r>
              <w:rPr>
                <w:rFonts w:ascii="Arial" w:cs="Arial" w:eastAsia="Arial" w:hAnsi="Arial"/>
                <w:sz w:val="14"/>
                <w:szCs w:val="14"/>
                <w:color w:val="auto"/>
              </w:rPr>
              <w:t>Incorporation or Organization)</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00" w:type="dxa"/>
            <w:vAlign w:val="bottom"/>
          </w:tcPr>
          <w:p>
            <w:pPr>
              <w:jc w:val="center"/>
              <w:ind w:right="1985"/>
              <w:spacing w:after="0"/>
              <w:rPr>
                <w:sz w:val="20"/>
                <w:szCs w:val="20"/>
                <w:color w:val="auto"/>
              </w:rPr>
            </w:pPr>
            <w:r>
              <w:rPr>
                <w:rFonts w:ascii="Arial" w:cs="Arial" w:eastAsia="Arial" w:hAnsi="Arial"/>
                <w:sz w:val="14"/>
                <w:szCs w:val="14"/>
                <w:color w:val="auto"/>
              </w:rPr>
              <w:t>Identification No.)</w:t>
            </w:r>
          </w:p>
        </w:tc>
      </w:tr>
      <w:tr>
        <w:trPr>
          <w:trHeight w:val="278"/>
        </w:trPr>
        <w:tc>
          <w:tcPr>
            <w:tcW w:w="4860" w:type="dxa"/>
            <w:vAlign w:val="bottom"/>
            <w:gridSpan w:val="3"/>
          </w:tcPr>
          <w:p>
            <w:pPr>
              <w:jc w:val="center"/>
              <w:ind w:left="643"/>
              <w:spacing w:after="0"/>
              <w:rPr>
                <w:sz w:val="20"/>
                <w:szCs w:val="20"/>
                <w:color w:val="auto"/>
              </w:rPr>
            </w:pPr>
            <w:r>
              <w:rPr>
                <w:rFonts w:ascii="Arial" w:cs="Arial" w:eastAsia="Arial" w:hAnsi="Arial"/>
                <w:sz w:val="16"/>
                <w:szCs w:val="16"/>
                <w:b w:val="1"/>
                <w:bCs w:val="1"/>
                <w:color w:val="auto"/>
              </w:rPr>
              <w:t>630 W. Germantown Pike, Plymouth Meeting, PA</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jc w:val="right"/>
              <w:ind w:right="2465"/>
              <w:spacing w:after="0"/>
              <w:rPr>
                <w:sz w:val="20"/>
                <w:szCs w:val="20"/>
                <w:color w:val="auto"/>
              </w:rPr>
            </w:pPr>
            <w:r>
              <w:rPr>
                <w:rFonts w:ascii="Arial" w:cs="Arial" w:eastAsia="Arial" w:hAnsi="Arial"/>
                <w:sz w:val="16"/>
                <w:szCs w:val="16"/>
                <w:b w:val="1"/>
                <w:bCs w:val="1"/>
                <w:color w:val="auto"/>
              </w:rPr>
              <w:t>19462</w:t>
            </w:r>
          </w:p>
        </w:tc>
      </w:tr>
      <w:tr>
        <w:trPr>
          <w:trHeight w:val="194"/>
        </w:trPr>
        <w:tc>
          <w:tcPr>
            <w:tcW w:w="4860" w:type="dxa"/>
            <w:vAlign w:val="bottom"/>
            <w:gridSpan w:val="3"/>
          </w:tcPr>
          <w:p>
            <w:pPr>
              <w:jc w:val="center"/>
              <w:ind w:left="643"/>
              <w:spacing w:after="0"/>
              <w:rPr>
                <w:sz w:val="20"/>
                <w:szCs w:val="20"/>
                <w:color w:val="auto"/>
              </w:rPr>
            </w:pPr>
            <w:r>
              <w:rPr>
                <w:rFonts w:ascii="Arial" w:cs="Arial" w:eastAsia="Arial" w:hAnsi="Arial"/>
                <w:sz w:val="14"/>
                <w:szCs w:val="14"/>
                <w:color w:val="auto"/>
              </w:rPr>
              <w:t>(Address of Principal Executive Offices)</w:t>
            </w: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00" w:type="dxa"/>
            <w:vAlign w:val="bottom"/>
          </w:tcPr>
          <w:p>
            <w:pPr>
              <w:jc w:val="center"/>
              <w:ind w:right="1985"/>
              <w:spacing w:after="0"/>
              <w:rPr>
                <w:sz w:val="20"/>
                <w:szCs w:val="20"/>
                <w:color w:val="auto"/>
              </w:rPr>
            </w:pPr>
            <w:r>
              <w:rPr>
                <w:rFonts w:ascii="Arial" w:cs="Arial" w:eastAsia="Arial" w:hAnsi="Arial"/>
                <w:sz w:val="14"/>
                <w:szCs w:val="14"/>
                <w:color w:val="auto"/>
              </w:rPr>
              <w:t>(Zip Code)</w:t>
            </w:r>
          </w:p>
        </w:tc>
      </w:tr>
      <w:tr>
        <w:trPr>
          <w:trHeight w:val="273"/>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tcPr>
          <w:p>
            <w:pPr>
              <w:jc w:val="center"/>
              <w:ind w:right="164"/>
              <w:spacing w:after="0"/>
              <w:rPr>
                <w:sz w:val="20"/>
                <w:szCs w:val="20"/>
                <w:color w:val="auto"/>
              </w:rPr>
            </w:pPr>
            <w:r>
              <w:rPr>
                <w:rFonts w:ascii="Arial" w:cs="Arial" w:eastAsia="Arial" w:hAnsi="Arial"/>
                <w:sz w:val="16"/>
                <w:szCs w:val="16"/>
                <w:b w:val="1"/>
                <w:bCs w:val="1"/>
                <w:color w:val="auto"/>
              </w:rPr>
              <w:t>(484) 539-9800</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219"/>
        </w:trPr>
        <w:tc>
          <w:tcPr>
            <w:tcW w:w="7740" w:type="dxa"/>
            <w:vAlign w:val="bottom"/>
            <w:gridSpan w:val="6"/>
          </w:tcPr>
          <w:p>
            <w:pPr>
              <w:jc w:val="center"/>
              <w:ind w:left="3423"/>
              <w:spacing w:after="0"/>
              <w:rPr>
                <w:sz w:val="20"/>
                <w:szCs w:val="20"/>
                <w:color w:val="auto"/>
              </w:rPr>
            </w:pPr>
            <w:r>
              <w:rPr>
                <w:rFonts w:ascii="Arial" w:cs="Arial" w:eastAsia="Arial" w:hAnsi="Arial"/>
                <w:sz w:val="16"/>
                <w:szCs w:val="16"/>
                <w:color w:val="auto"/>
              </w:rPr>
              <w:t>(Registrant’s Telephone Number, Including Area Code)</w:t>
            </w:r>
          </w:p>
        </w:tc>
        <w:tc>
          <w:tcPr>
            <w:tcW w:w="3500" w:type="dxa"/>
            <w:vAlign w:val="bottom"/>
          </w:tcPr>
          <w:p>
            <w:pPr>
              <w:spacing w:after="0"/>
              <w:rPr>
                <w:sz w:val="19"/>
                <w:szCs w:val="19"/>
                <w:color w:val="auto"/>
              </w:rPr>
            </w:pPr>
          </w:p>
        </w:tc>
      </w:tr>
      <w:tr>
        <w:trPr>
          <w:trHeight w:val="297"/>
        </w:trPr>
        <w:tc>
          <w:tcPr>
            <w:tcW w:w="4860" w:type="dxa"/>
            <w:vAlign w:val="bottom"/>
            <w:gridSpan w:val="3"/>
          </w:tcPr>
          <w:p>
            <w:pPr>
              <w:jc w:val="right"/>
              <w:ind w:right="74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Trading</w:t>
            </w:r>
          </w:p>
        </w:tc>
        <w:tc>
          <w:tcPr>
            <w:tcW w:w="3500" w:type="dxa"/>
            <w:vAlign w:val="bottom"/>
          </w:tcPr>
          <w:p>
            <w:pPr>
              <w:jc w:val="center"/>
              <w:ind w:right="905"/>
              <w:spacing w:after="0"/>
              <w:rPr>
                <w:sz w:val="20"/>
                <w:szCs w:val="20"/>
                <w:color w:val="auto"/>
              </w:rPr>
            </w:pPr>
            <w:r>
              <w:rPr>
                <w:rFonts w:ascii="Arial" w:cs="Arial" w:eastAsia="Arial" w:hAnsi="Arial"/>
                <w:sz w:val="14"/>
                <w:szCs w:val="14"/>
                <w:b w:val="1"/>
                <w:bCs w:val="1"/>
                <w:color w:val="auto"/>
              </w:rPr>
              <w:t>Name of each exchange</w:t>
            </w:r>
          </w:p>
        </w:tc>
      </w:tr>
      <w:tr>
        <w:trPr>
          <w:trHeight w:val="177"/>
        </w:trPr>
        <w:tc>
          <w:tcPr>
            <w:tcW w:w="4860" w:type="dxa"/>
            <w:vAlign w:val="bottom"/>
            <w:gridSpan w:val="3"/>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88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rPr>
              <w:t>Symbol(s)</w:t>
            </w:r>
          </w:p>
        </w:tc>
        <w:tc>
          <w:tcPr>
            <w:tcW w:w="3500" w:type="dxa"/>
            <w:vAlign w:val="bottom"/>
          </w:tcPr>
          <w:p>
            <w:pPr>
              <w:jc w:val="center"/>
              <w:ind w:right="905"/>
              <w:spacing w:after="0"/>
              <w:rPr>
                <w:sz w:val="20"/>
                <w:szCs w:val="20"/>
                <w:color w:val="auto"/>
              </w:rPr>
            </w:pPr>
            <w:r>
              <w:rPr>
                <w:rFonts w:ascii="Arial" w:cs="Arial" w:eastAsia="Arial" w:hAnsi="Arial"/>
                <w:sz w:val="14"/>
                <w:szCs w:val="14"/>
                <w:b w:val="1"/>
                <w:bCs w:val="1"/>
                <w:color w:val="auto"/>
              </w:rPr>
              <w:t>on which registered</w:t>
            </w:r>
          </w:p>
        </w:tc>
      </w:tr>
      <w:tr>
        <w:trPr>
          <w:trHeight w:val="212"/>
        </w:trPr>
        <w:tc>
          <w:tcPr>
            <w:tcW w:w="4500" w:type="dxa"/>
            <w:vAlign w:val="bottom"/>
            <w:tcBorders>
              <w:top w:val="single" w:sz="8" w:color="auto"/>
            </w:tcBorders>
          </w:tcPr>
          <w:p>
            <w:pPr>
              <w:jc w:val="right"/>
              <w:ind w:right="303"/>
              <w:spacing w:after="0"/>
              <w:rPr>
                <w:sz w:val="20"/>
                <w:szCs w:val="20"/>
                <w:color w:val="auto"/>
              </w:rPr>
            </w:pPr>
            <w:r>
              <w:rPr>
                <w:rFonts w:ascii="Arial" w:cs="Arial" w:eastAsia="Arial" w:hAnsi="Arial"/>
                <w:sz w:val="16"/>
                <w:szCs w:val="16"/>
                <w:color w:val="auto"/>
              </w:rPr>
              <w:t>Common Stock, par value $0.00001 value per share</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44"/>
              <w:spacing w:after="0"/>
              <w:rPr>
                <w:sz w:val="20"/>
                <w:szCs w:val="20"/>
                <w:color w:val="auto"/>
              </w:rPr>
            </w:pPr>
            <w:r>
              <w:rPr>
                <w:rFonts w:ascii="Arial" w:cs="Arial" w:eastAsia="Arial" w:hAnsi="Arial"/>
                <w:sz w:val="16"/>
                <w:szCs w:val="16"/>
                <w:color w:val="auto"/>
              </w:rPr>
              <w:t>HRMY</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905"/>
              <w:spacing w:after="0"/>
              <w:rPr>
                <w:sz w:val="20"/>
                <w:szCs w:val="20"/>
                <w:color w:val="auto"/>
              </w:rPr>
            </w:pPr>
            <w:r>
              <w:rPr>
                <w:rFonts w:ascii="Arial" w:cs="Arial" w:eastAsia="Arial" w:hAnsi="Arial"/>
                <w:sz w:val="16"/>
                <w:szCs w:val="16"/>
                <w:color w:val="auto"/>
              </w:rPr>
              <w:t>The Nasdaq Stock Market LLC</w:t>
            </w:r>
          </w:p>
        </w:tc>
      </w:tr>
    </w:tbl>
    <w:p>
      <w:pPr>
        <w:spacing w:after="0" w:line="74"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84" w:lineRule="exact"/>
        <w:tabs>
          <w:tab w:leader="none" w:pos="2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48" w:lineRule="exact"/>
        <w:rPr>
          <w:sz w:val="24"/>
          <w:szCs w:val="24"/>
          <w:color w:val="auto"/>
        </w:rPr>
      </w:pPr>
    </w:p>
    <w:p>
      <w:pPr>
        <w:jc w:val="both"/>
        <w:spacing w:after="0" w:line="27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84" w:lineRule="exact"/>
        <w:tabs>
          <w:tab w:leader="none" w:pos="2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48"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26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1" w:lineRule="exact"/>
        <w:rPr>
          <w:sz w:val="24"/>
          <w:szCs w:val="24"/>
          <w:color w:val="auto"/>
        </w:r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51" w:lineRule="exact"/>
        <w:rPr>
          <w:sz w:val="24"/>
          <w:szCs w:val="24"/>
          <w:color w:val="auto"/>
        </w:rPr>
      </w:pPr>
    </w:p>
    <w:p>
      <w:pPr>
        <w:ind w:left="5100"/>
        <w:spacing w:after="0" w:line="184" w:lineRule="exact"/>
        <w:tabs>
          <w:tab w:leader="none" w:pos="57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par value $0.00001 value per share, outstanding on November 9, 2020 was 56,889,111.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40" w:type="dxa"/>
            <w:vAlign w:val="bottom"/>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5"/>
                <w:szCs w:val="15"/>
                <w:color w:val="auto"/>
              </w:rPr>
            </w:pPr>
          </w:p>
        </w:tc>
      </w:tr>
      <w:tr>
        <w:trPr>
          <w:trHeight w:val="254"/>
        </w:trPr>
        <w:tc>
          <w:tcPr>
            <w:tcW w:w="102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57"/>
        </w:trPr>
        <w:tc>
          <w:tcPr>
            <w:tcW w:w="10240" w:type="dxa"/>
            <w:vAlign w:val="bottom"/>
          </w:tcPr>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r>
      <w:tr>
        <w:trPr>
          <w:trHeight w:val="256"/>
        </w:trPr>
        <w:tc>
          <w:tcPr>
            <w:tcW w:w="10240" w:type="dxa"/>
            <w:vAlign w:val="bottom"/>
          </w:tcPr>
          <w:p>
            <w:pPr>
              <w:ind w:left="6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57"/>
        </w:trPr>
        <w:tc>
          <w:tcPr>
            <w:tcW w:w="10240" w:type="dxa"/>
            <w:vAlign w:val="bottom"/>
          </w:tcPr>
          <w:p>
            <w:pPr>
              <w:ind w:left="6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Convertible Preferred Stock and Stockholders’ Equity (Deficit)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r>
      <w:tr>
        <w:trPr>
          <w:trHeight w:val="257"/>
        </w:trPr>
        <w:tc>
          <w:tcPr>
            <w:tcW w:w="10240" w:type="dxa"/>
            <w:vAlign w:val="bottom"/>
          </w:tcPr>
          <w:p>
            <w:pPr>
              <w:ind w:left="6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57"/>
        </w:trPr>
        <w:tc>
          <w:tcPr>
            <w:tcW w:w="10240" w:type="dxa"/>
            <w:vAlign w:val="bottom"/>
          </w:tcPr>
          <w:p>
            <w:pPr>
              <w:ind w:left="6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Management’s Discussion and Analysis of Financial Condition and Results of Operations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256"/>
        </w:trPr>
        <w:tc>
          <w:tcPr>
            <w:tcW w:w="1024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Quantitative and Qualitative Disclosures About Market Risk</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r>
      <w:tr>
        <w:trPr>
          <w:trHeight w:val="257"/>
        </w:trPr>
        <w:tc>
          <w:tcPr>
            <w:tcW w:w="102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 Other Information</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 Legal Proceedings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56"/>
        </w:trPr>
        <w:tc>
          <w:tcPr>
            <w:tcW w:w="10240" w:type="dxa"/>
            <w:vAlign w:val="bottom"/>
          </w:tcPr>
          <w:p>
            <w:pPr>
              <w:ind w:left="3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 Risk Factors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2. Unregistered Sales of Equity Securities and Use of Proceeds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3. Defaults upon Senior Securities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4. Mine Safety Disclosures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57"/>
        </w:trPr>
        <w:tc>
          <w:tcPr>
            <w:tcW w:w="10240" w:type="dxa"/>
            <w:vAlign w:val="bottom"/>
          </w:tcPr>
          <w:p>
            <w:pPr>
              <w:ind w:left="3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Item 5. Other Information</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77</w:t>
            </w:r>
          </w:p>
        </w:tc>
      </w:tr>
      <w:tr>
        <w:trPr>
          <w:trHeight w:val="256"/>
        </w:trPr>
        <w:tc>
          <w:tcPr>
            <w:tcW w:w="10240" w:type="dxa"/>
            <w:vAlign w:val="bottom"/>
          </w:tcPr>
          <w:p>
            <w:pPr>
              <w:ind w:left="3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Item 6. Exhibits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78</w:t>
            </w:r>
          </w:p>
        </w:tc>
      </w:tr>
      <w:tr>
        <w:trPr>
          <w:trHeight w:val="257"/>
        </w:trPr>
        <w:tc>
          <w:tcPr>
            <w:tcW w:w="102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Signatures</w:t>
              </w:r>
            </w:hyperlink>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r>
      <w:tr>
        <w:trPr>
          <w:trHeight w:val="529"/>
        </w:trPr>
        <w:tc>
          <w:tcPr>
            <w:tcW w:w="10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7"/>
        </w:trPr>
        <w:tc>
          <w:tcPr>
            <w:tcW w:w="75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26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and cash equivalents</w:t>
            </w:r>
          </w:p>
        </w:tc>
        <w:tc>
          <w:tcPr>
            <w:tcW w:w="3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221,740</w:t>
            </w:r>
          </w:p>
        </w:tc>
        <w:tc>
          <w:tcPr>
            <w:tcW w:w="1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89"/>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Trade receivables,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16,326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4,255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Inventory, net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Prepaid expenses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4,240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current assets</w:t>
            </w:r>
          </w:p>
        </w:tc>
        <w:tc>
          <w:tcPr>
            <w:tcW w:w="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5,625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current assets</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250,242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31,497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NONCURRENT ASSETS:</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Restricted cash</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Intangible asset,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66,625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72,185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69,831</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75,206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320,073</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106,703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3"/>
                <w:szCs w:val="13"/>
                <w:color w:val="auto"/>
              </w:rPr>
              <w:t>LIABILITIES, CONVERTIBLE PREFERRED STOCK, AND STOCKHOLDERS’ EQUITY (DEFICIT)</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Trade payables</w:t>
            </w:r>
          </w:p>
        </w:tc>
        <w:tc>
          <w:tcPr>
            <w:tcW w:w="32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9,347</w:t>
            </w:r>
          </w:p>
        </w:tc>
        <w:tc>
          <w:tcPr>
            <w:tcW w:w="180" w:type="dxa"/>
            <w:vAlign w:val="bottom"/>
          </w:tcPr>
          <w:p>
            <w:pPr>
              <w:spacing w:after="0"/>
              <w:rPr>
                <w:sz w:val="14"/>
                <w:szCs w:val="14"/>
                <w:color w:val="auto"/>
              </w:rPr>
            </w:pPr>
          </w:p>
        </w:tc>
        <w:tc>
          <w:tcPr>
            <w:tcW w:w="32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6,360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compensation</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Accrued expenses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17,200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current liabilities</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31,790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19,892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NONCURRENT LIABILITIES:</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500"/>
              <w:spacing w:after="0"/>
              <w:rPr>
                <w:sz w:val="20"/>
                <w:szCs w:val="20"/>
                <w:color w:val="auto"/>
              </w:rPr>
            </w:pPr>
            <w:r>
              <w:rPr>
                <w:rFonts w:ascii="Arial" w:cs="Arial" w:eastAsia="Arial" w:hAnsi="Arial"/>
                <w:sz w:val="13"/>
                <w:szCs w:val="13"/>
                <w:color w:val="auto"/>
              </w:rPr>
              <w:t>Deferred rent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580" w:type="dxa"/>
            <w:vAlign w:val="bottom"/>
          </w:tcPr>
          <w:p>
            <w:pPr>
              <w:ind w:left="500"/>
              <w:spacing w:after="0"/>
              <w:rPr>
                <w:sz w:val="20"/>
                <w:szCs w:val="20"/>
                <w:color w:val="auto"/>
              </w:rPr>
            </w:pPr>
            <w:r>
              <w:rPr>
                <w:rFonts w:ascii="Arial" w:cs="Arial" w:eastAsia="Arial" w:hAnsi="Arial"/>
                <w:sz w:val="13"/>
                <w:szCs w:val="13"/>
                <w:color w:val="auto"/>
              </w:rPr>
              <w:t>Long term debt,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192,858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97,946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193,734</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98,396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225,524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118,288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80" w:type="dxa"/>
            <w:vAlign w:val="bottom"/>
          </w:tcPr>
          <w:p>
            <w:pPr>
              <w:ind w:left="260"/>
              <w:spacing w:after="0"/>
              <w:rPr>
                <w:sz w:val="20"/>
                <w:szCs w:val="20"/>
                <w:color w:val="auto"/>
              </w:rPr>
            </w:pPr>
            <w:r>
              <w:rPr>
                <w:rFonts w:ascii="Arial" w:cs="Arial" w:eastAsia="Arial" w:hAnsi="Arial"/>
                <w:sz w:val="13"/>
                <w:szCs w:val="13"/>
                <w:color w:val="auto"/>
              </w:rPr>
              <w:t>COMMITMENTS AND CONTINGENCIES (Note 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CONVERTIBLE PREFERRED STOCK</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Convertible preferred stock, net of placement costs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580" w:type="dxa"/>
            <w:vAlign w:val="bottom"/>
            <w:shd w:val="clear" w:color="auto" w:fill="CFF0FC"/>
          </w:tcPr>
          <w:p>
            <w:pPr>
              <w:ind w:left="740"/>
              <w:spacing w:after="0" w:line="146" w:lineRule="exact"/>
              <w:rPr>
                <w:sz w:val="20"/>
                <w:szCs w:val="20"/>
                <w:color w:val="auto"/>
              </w:rPr>
            </w:pPr>
            <w:r>
              <w:rPr>
                <w:rFonts w:ascii="Arial" w:cs="Arial" w:eastAsia="Arial" w:hAnsi="Arial"/>
                <w:sz w:val="13"/>
                <w:szCs w:val="13"/>
                <w:color w:val="auto"/>
              </w:rPr>
              <w:t>Series A convertible preferred stock - $1.00 stated value; 0 shares and 286,000,000 shares authorized at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September 30, 2020 and December 31, 2019, respectively; 0 shares and 285,000,000 shares issued and</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outstanding at September 30, 2020 and December 31, 2019, respectively</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348,203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580" w:type="dxa"/>
            <w:vAlign w:val="bottom"/>
          </w:tcPr>
          <w:p>
            <w:pPr>
              <w:ind w:left="740"/>
              <w:spacing w:after="0" w:line="146" w:lineRule="exact"/>
              <w:rPr>
                <w:sz w:val="20"/>
                <w:szCs w:val="20"/>
                <w:color w:val="auto"/>
              </w:rPr>
            </w:pPr>
            <w:r>
              <w:rPr>
                <w:rFonts w:ascii="Arial" w:cs="Arial" w:eastAsia="Arial" w:hAnsi="Arial"/>
                <w:sz w:val="13"/>
                <w:szCs w:val="13"/>
                <w:color w:val="auto"/>
              </w:rPr>
              <w:t>Series B convertible preferred stock - $1.25 stated value; 0 shares and 8,030,000 shares authorized at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740"/>
              <w:spacing w:after="0"/>
              <w:rPr>
                <w:sz w:val="20"/>
                <w:szCs w:val="20"/>
                <w:color w:val="auto"/>
              </w:rPr>
            </w:pPr>
            <w:r>
              <w:rPr>
                <w:rFonts w:ascii="Arial" w:cs="Arial" w:eastAsia="Arial" w:hAnsi="Arial"/>
                <w:sz w:val="13"/>
                <w:szCs w:val="13"/>
                <w:color w:val="auto"/>
              </w:rPr>
              <w:t>September 30, 2020 and December 31, 2019, respectively; 0 shares and 8,000,000 shares issued and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tcPr>
          <w:p>
            <w:pPr>
              <w:ind w:left="740"/>
              <w:spacing w:after="0"/>
              <w:rPr>
                <w:sz w:val="20"/>
                <w:szCs w:val="20"/>
                <w:color w:val="auto"/>
              </w:rPr>
            </w:pPr>
            <w:r>
              <w:rPr>
                <w:rFonts w:ascii="Arial" w:cs="Arial" w:eastAsia="Arial" w:hAnsi="Arial"/>
                <w:sz w:val="13"/>
                <w:szCs w:val="13"/>
                <w:color w:val="auto"/>
              </w:rPr>
              <w:t>outstanding at September 30, 2020 and December 31, 2019, respectively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12,023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580" w:type="dxa"/>
            <w:vAlign w:val="bottom"/>
            <w:shd w:val="clear" w:color="auto" w:fill="CFF0FC"/>
          </w:tcPr>
          <w:p>
            <w:pPr>
              <w:ind w:left="740"/>
              <w:spacing w:after="0" w:line="146" w:lineRule="exact"/>
              <w:rPr>
                <w:sz w:val="20"/>
                <w:szCs w:val="20"/>
                <w:color w:val="auto"/>
              </w:rPr>
            </w:pPr>
            <w:r>
              <w:rPr>
                <w:rFonts w:ascii="Arial" w:cs="Arial" w:eastAsia="Arial" w:hAnsi="Arial"/>
                <w:sz w:val="13"/>
                <w:szCs w:val="13"/>
                <w:color w:val="auto"/>
              </w:rPr>
              <w:t>Series C convertible preferred stock - $1.96 stated value; 0 shares and 25,600,000 shares authorized at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September 30, 2020 and December 31, 2019, respectively; 0 shares and 25,510,205 shares issued and</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outstanding at September 30, 2020 and December 31, 2019, respectively</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580" w:type="dxa"/>
            <w:vAlign w:val="bottom"/>
          </w:tcPr>
          <w:p>
            <w:pPr>
              <w:ind w:left="260"/>
              <w:spacing w:after="0"/>
              <w:rPr>
                <w:sz w:val="20"/>
                <w:szCs w:val="20"/>
                <w:color w:val="auto"/>
              </w:rPr>
            </w:pPr>
            <w:r>
              <w:rPr>
                <w:rFonts w:ascii="Arial" w:cs="Arial" w:eastAsia="Arial" w:hAnsi="Arial"/>
                <w:sz w:val="13"/>
                <w:szCs w:val="13"/>
                <w:color w:val="auto"/>
              </w:rPr>
              <w:t>STOCKHOLDERS’ EQUITY (DEFICIT):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500"/>
              <w:spacing w:after="0"/>
              <w:rPr>
                <w:sz w:val="20"/>
                <w:szCs w:val="20"/>
                <w:color w:val="auto"/>
              </w:rPr>
            </w:pPr>
            <w:r>
              <w:rPr>
                <w:rFonts w:ascii="Arial" w:cs="Arial" w:eastAsia="Arial" w:hAnsi="Arial"/>
                <w:sz w:val="13"/>
                <w:szCs w:val="13"/>
                <w:color w:val="auto"/>
              </w:rPr>
              <w:t>Preferred stock - $0.00001 par value; 10,000,000 shares and 0 shares authorized at September 30, 2020 and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500"/>
              <w:spacing w:after="0"/>
              <w:rPr>
                <w:sz w:val="20"/>
                <w:szCs w:val="20"/>
                <w:color w:val="auto"/>
              </w:rPr>
            </w:pPr>
            <w:r>
              <w:rPr>
                <w:rFonts w:ascii="Arial" w:cs="Arial" w:eastAsia="Arial" w:hAnsi="Arial"/>
                <w:sz w:val="13"/>
                <w:szCs w:val="13"/>
                <w:color w:val="auto"/>
              </w:rPr>
              <w:t>December 31, 2019, respectively; 0 shares issued and outstanding at September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tcPr>
          <w:p>
            <w:pPr>
              <w:ind w:left="620"/>
              <w:spacing w:after="0"/>
              <w:rPr>
                <w:sz w:val="20"/>
                <w:szCs w:val="20"/>
                <w:color w:val="auto"/>
              </w:rPr>
            </w:pPr>
            <w:r>
              <w:rPr>
                <w:rFonts w:ascii="Arial" w:cs="Arial" w:eastAsia="Arial" w:hAnsi="Arial"/>
                <w:sz w:val="13"/>
                <w:szCs w:val="13"/>
                <w:color w:val="auto"/>
              </w:rPr>
              <w:t>2020 and December 31, 2019</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7580" w:type="dxa"/>
            <w:vAlign w:val="bottom"/>
            <w:shd w:val="clear" w:color="auto" w:fill="CFF0FC"/>
          </w:tcPr>
          <w:p>
            <w:pPr>
              <w:ind w:left="500"/>
              <w:spacing w:after="0" w:line="146" w:lineRule="exact"/>
              <w:rPr>
                <w:sz w:val="20"/>
                <w:szCs w:val="20"/>
                <w:color w:val="auto"/>
              </w:rPr>
            </w:pPr>
            <w:r>
              <w:rPr>
                <w:rFonts w:ascii="Arial" w:cs="Arial" w:eastAsia="Arial" w:hAnsi="Arial"/>
                <w:sz w:val="13"/>
                <w:szCs w:val="13"/>
                <w:color w:val="auto"/>
              </w:rPr>
              <w:t>Common stock—$0.00001 par value; 500,000,000 shares and 423,630,000 shares authorized at September 30,</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2020 and December 31, 2019, respectively; 56,888,625 shares and 7,787,470 issued and outstanding at September</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30, 2020 and December 31, 2019, respectively</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500"/>
              <w:spacing w:after="0"/>
              <w:rPr>
                <w:sz w:val="20"/>
                <w:szCs w:val="20"/>
                <w:color w:val="auto"/>
              </w:rPr>
            </w:pPr>
            <w:r>
              <w:rPr>
                <w:rFonts w:ascii="Arial" w:cs="Arial" w:eastAsia="Arial" w:hAnsi="Arial"/>
                <w:sz w:val="13"/>
                <w:szCs w:val="13"/>
                <w:color w:val="auto"/>
              </w:rPr>
              <w:t>Additional paid in capital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582,535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Accumulated deficit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(487,987)</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(422,862)</w:t>
            </w:r>
          </w:p>
        </w:tc>
        <w:tc>
          <w:tcPr>
            <w:tcW w:w="0" w:type="dxa"/>
            <w:vAlign w:val="bottom"/>
          </w:tcPr>
          <w:p>
            <w:pPr>
              <w:spacing w:after="0"/>
              <w:rPr>
                <w:sz w:val="1"/>
                <w:szCs w:val="1"/>
                <w:color w:val="auto"/>
              </w:rPr>
            </w:pPr>
          </w:p>
        </w:tc>
      </w:tr>
      <w:tr>
        <w:trPr>
          <w:trHeight w:val="155"/>
        </w:trPr>
        <w:tc>
          <w:tcPr>
            <w:tcW w:w="758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TOTAL STOCKHOLDERS’ EQUITY (DEFICIT)</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94,549</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(422,862)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580" w:type="dxa"/>
            <w:vAlign w:val="bottom"/>
            <w:shd w:val="clear" w:color="auto" w:fill="CFF0FC"/>
          </w:tcPr>
          <w:p>
            <w:pPr>
              <w:spacing w:after="0" w:line="139" w:lineRule="exact"/>
              <w:rPr>
                <w:sz w:val="20"/>
                <w:szCs w:val="20"/>
                <w:color w:val="auto"/>
              </w:rPr>
            </w:pPr>
            <w:r>
              <w:rPr>
                <w:rFonts w:ascii="Arial" w:cs="Arial" w:eastAsia="Arial" w:hAnsi="Arial"/>
                <w:sz w:val="13"/>
                <w:szCs w:val="13"/>
                <w:color w:val="auto"/>
              </w:rPr>
              <w:t>TOTAL LIABILITIES, CONVERTIBLE PREFERRED STOCK, AND STOCKHOLDERS’</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5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EQUITY (DEFICIT)</w:t>
            </w:r>
          </w:p>
        </w:tc>
        <w:tc>
          <w:tcPr>
            <w:tcW w:w="32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320,073</w:t>
            </w:r>
          </w:p>
        </w:tc>
        <w:tc>
          <w:tcPr>
            <w:tcW w:w="1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89"/>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 w:name="page4"/>
    <w:bookmarkEnd w:id="3"/>
    <w:p>
      <w:pPr>
        <w:jc w:val="center"/>
        <w:ind w:left="340" w:right="2500"/>
        <w:spacing w:after="0" w:line="252" w:lineRule="auto"/>
        <w:rPr>
          <w:sz w:val="20"/>
          <w:szCs w:val="20"/>
          <w:color w:val="auto"/>
        </w:rPr>
      </w:pPr>
      <w:r>
        <w:rPr>
          <w:rFonts w:ascii="Arial" w:cs="Arial" w:eastAsia="Arial" w:hAnsi="Arial"/>
          <w:sz w:val="18"/>
          <w:szCs w:val="18"/>
          <w:b w:val="1"/>
          <w:bCs w:val="1"/>
          <w:color w:val="auto"/>
        </w:rPr>
        <w:t>HARMONY BIOSCIENCES HOLDINGS, INC. AND SUBSIDIARY UNAUDITED CONDENSED CONSOLIDATED STATEMENTS OF OPERATIONS AND COMPREHENSIVE INCOME (LOSS)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product revenues</w:t>
            </w:r>
          </w:p>
        </w:tc>
        <w:tc>
          <w:tcPr>
            <w:tcW w:w="10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45,609</w:t>
            </w:r>
          </w:p>
        </w:tc>
        <w:tc>
          <w:tcPr>
            <w:tcW w:w="1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103,454</w:t>
            </w:r>
          </w:p>
        </w:tc>
        <w:tc>
          <w:tcPr>
            <w:tcW w:w="1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Cost of product sold</w:t>
            </w:r>
          </w:p>
        </w:tc>
        <w:tc>
          <w:tcPr>
            <w:tcW w:w="7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Gross profit</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20"/>
                <w:szCs w:val="20"/>
                <w:color w:val="auto"/>
              </w:rPr>
            </w:pPr>
            <w:r>
              <w:rPr>
                <w:rFonts w:ascii="Arial" w:cs="Arial" w:eastAsia="Arial" w:hAnsi="Arial"/>
                <w:sz w:val="14"/>
                <w:szCs w:val="14"/>
                <w:color w:val="auto"/>
              </w:rPr>
              <w:t>Operating expenses:</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Research and development</w:t>
            </w: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4,230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4,336</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11,829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260"/>
              <w:spacing w:after="0"/>
              <w:rPr>
                <w:sz w:val="20"/>
                <w:szCs w:val="20"/>
                <w:color w:val="auto"/>
              </w:rPr>
            </w:pPr>
            <w:r>
              <w:rPr>
                <w:rFonts w:ascii="Arial" w:cs="Arial" w:eastAsia="Arial" w:hAnsi="Arial"/>
                <w:sz w:val="14"/>
                <w:szCs w:val="14"/>
                <w:color w:val="auto"/>
              </w:rPr>
              <w:t>Sales and marketing</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12,908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38,297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General and administrative</w:t>
            </w:r>
          </w:p>
        </w:tc>
        <w:tc>
          <w:tcPr>
            <w:tcW w:w="7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10,508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12,560</w:t>
            </w:r>
          </w:p>
        </w:tc>
        <w:tc>
          <w:tcPr>
            <w:tcW w:w="10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26,280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22,415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tcPr>
          <w:p>
            <w:pPr>
              <w:ind w:left="500"/>
              <w:spacing w:after="0"/>
              <w:rPr>
                <w:sz w:val="20"/>
                <w:szCs w:val="20"/>
                <w:color w:val="auto"/>
              </w:rPr>
            </w:pPr>
            <w:r>
              <w:rPr>
                <w:rFonts w:ascii="Arial" w:cs="Arial" w:eastAsia="Arial" w:hAnsi="Arial"/>
                <w:sz w:val="14"/>
                <w:szCs w:val="14"/>
                <w:color w:val="auto"/>
              </w:rPr>
              <w:t>Total operating expenses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27,339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76,406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Operating income (loss)</w:t>
            </w: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(29,804)</w:t>
            </w: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(112,211)</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20"/>
                <w:szCs w:val="20"/>
                <w:color w:val="auto"/>
              </w:rPr>
            </w:pPr>
            <w:r>
              <w:rPr>
                <w:rFonts w:ascii="Arial" w:cs="Arial" w:eastAsia="Arial" w:hAnsi="Arial"/>
                <w:sz w:val="14"/>
                <w:szCs w:val="14"/>
                <w:color w:val="auto"/>
              </w:rPr>
              <w:t>Loss on debt extinguishment</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(22,639)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Other expense, net</w:t>
            </w: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(1,525)</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(6,946)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(2,095)</w:t>
            </w:r>
          </w:p>
        </w:tc>
        <w:tc>
          <w:tcPr>
            <w:tcW w:w="4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(20,254)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(3,326)</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Income (loss) before income taxes</w:t>
            </w: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vMerge w:val="continue"/>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(31,899)</w:t>
            </w:r>
          </w:p>
        </w:tc>
        <w:tc>
          <w:tcPr>
            <w:tcW w:w="4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(36,736)</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(115,537)</w:t>
            </w:r>
          </w:p>
        </w:tc>
        <w:tc>
          <w:tcPr>
            <w:tcW w:w="0" w:type="dxa"/>
            <w:vAlign w:val="bottom"/>
          </w:tcPr>
          <w:p>
            <w:pPr>
              <w:spacing w:after="0"/>
              <w:rPr>
                <w:sz w:val="1"/>
                <w:szCs w:val="1"/>
                <w:color w:val="auto"/>
              </w:rPr>
            </w:pPr>
          </w:p>
        </w:tc>
      </w:tr>
      <w:tr>
        <w:trPr>
          <w:trHeight w:val="176"/>
        </w:trPr>
        <w:tc>
          <w:tcPr>
            <w:tcW w:w="5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taxes</w:t>
            </w:r>
          </w:p>
        </w:tc>
        <w:tc>
          <w:tcPr>
            <w:tcW w:w="7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and comprehensive income (loss)</w:t>
            </w: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(31,899)</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(36,736)</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(115,537)</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4"/>
                <w:szCs w:val="14"/>
                <w:color w:val="auto"/>
              </w:rPr>
              <w:t>Accumulation of dividends on preferred stock</w:t>
            </w: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(6,013)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(9,027)</w:t>
            </w:r>
          </w:p>
        </w:tc>
        <w:tc>
          <w:tcPr>
            <w:tcW w:w="4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(26,904)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(25,656)</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Net loss available to common stockholders</w:t>
            </w: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40" w:type="dxa"/>
            <w:vAlign w:val="bottom"/>
            <w:vMerge w:val="continue"/>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(4,104)</w:t>
            </w: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(40,926)</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(63,640)</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(141,193)</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 PER SHARE:</w:t>
            </w:r>
          </w:p>
        </w:tc>
        <w:tc>
          <w:tcPr>
            <w:tcW w:w="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Basic</w:t>
            </w:r>
          </w:p>
        </w:tc>
        <w:tc>
          <w:tcPr>
            <w:tcW w:w="102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(0.14)</w:t>
            </w: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(5.26)</w:t>
            </w:r>
          </w:p>
        </w:tc>
        <w:tc>
          <w:tcPr>
            <w:tcW w:w="4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(4.15)</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176"/>
        </w:trPr>
        <w:tc>
          <w:tcPr>
            <w:tcW w:w="5040" w:type="dxa"/>
            <w:vAlign w:val="bottom"/>
          </w:tcPr>
          <w:p>
            <w:pPr>
              <w:ind w:left="260"/>
              <w:spacing w:after="0"/>
              <w:rPr>
                <w:sz w:val="20"/>
                <w:szCs w:val="20"/>
                <w:color w:val="auto"/>
              </w:rPr>
            </w:pPr>
            <w:r>
              <w:rPr>
                <w:rFonts w:ascii="Arial" w:cs="Arial" w:eastAsia="Arial" w:hAnsi="Arial"/>
                <w:sz w:val="14"/>
                <w:szCs w:val="14"/>
                <w:color w:val="auto"/>
              </w:rPr>
              <w:t>Diluted</w:t>
            </w: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(0.14)</w:t>
            </w:r>
          </w:p>
        </w:tc>
        <w:tc>
          <w:tcPr>
            <w:tcW w:w="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(5.26)</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(4.15)</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175"/>
        </w:trPr>
        <w:tc>
          <w:tcPr>
            <w:tcW w:w="50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Weighted average number of shares of common stock - basic</w:t>
            </w: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30,212,959</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7,777,100</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15,324,362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7,777,100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40" w:type="dxa"/>
            <w:vAlign w:val="bottom"/>
          </w:tcPr>
          <w:p>
            <w:pPr>
              <w:ind w:left="260"/>
              <w:spacing w:after="0"/>
              <w:rPr>
                <w:sz w:val="20"/>
                <w:szCs w:val="20"/>
                <w:color w:val="auto"/>
              </w:rPr>
            </w:pPr>
            <w:r>
              <w:rPr>
                <w:rFonts w:ascii="Arial" w:cs="Arial" w:eastAsia="Arial" w:hAnsi="Arial"/>
                <w:sz w:val="14"/>
                <w:szCs w:val="14"/>
                <w:color w:val="auto"/>
              </w:rPr>
              <w:t>Weighted average number of shares of common stock - diluted</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30,212,959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7,777,100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15,324,362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7,777,100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STATEMENTS OF CONVERTIBLE PREFERRED STOCK AND STOCKHOLDERS’ EQUITY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(DEFICIT)</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317" w:right="3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0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Convertible Preferred</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30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9"/>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2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Series A, B, &amp; C</w:t>
            </w:r>
          </w:p>
        </w:tc>
        <w:tc>
          <w:tcPr>
            <w:tcW w:w="0" w:type="dxa"/>
            <w:vAlign w:val="bottom"/>
          </w:tcPr>
          <w:p>
            <w:pPr>
              <w:spacing w:after="0"/>
              <w:rPr>
                <w:sz w:val="1"/>
                <w:szCs w:val="1"/>
                <w:color w:val="auto"/>
              </w:rPr>
            </w:pPr>
          </w:p>
        </w:tc>
      </w:tr>
      <w:tr>
        <w:trPr>
          <w:trHeight w:val="169"/>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as of December 31, 2019</w:t>
            </w:r>
          </w:p>
        </w:tc>
        <w:tc>
          <w:tcPr>
            <w:tcW w:w="9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318,510,205</w:t>
            </w:r>
          </w:p>
        </w:tc>
        <w:tc>
          <w:tcPr>
            <w:tcW w:w="20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411,275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A</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B</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C</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Issuance of stock upon initial public offering, net of</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issuance costs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Conversion of Series A, B, C convertible stock to</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(318,510,205)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(444,715)</w:t>
            </w: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Reclassification of warrant liability to equity</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Exercise of options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Repurchase and cancellation of common units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Repurchase and cancellation of common units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withheld for taxes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20"/>
                <w:szCs w:val="20"/>
                <w:color w:val="auto"/>
              </w:rPr>
            </w:pPr>
            <w:r>
              <w:rPr>
                <w:rFonts w:ascii="Arial" w:cs="Arial" w:eastAsia="Arial" w:hAnsi="Arial"/>
                <w:sz w:val="14"/>
                <w:szCs w:val="14"/>
                <w:color w:val="auto"/>
              </w:rPr>
              <w:t>Balance as of September 30,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20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Convertible Preferred</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30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9"/>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00" w:type="dxa"/>
            <w:vAlign w:val="bottom"/>
          </w:tcPr>
          <w:p>
            <w:pPr>
              <w:spacing w:after="0"/>
              <w:rPr>
                <w:sz w:val="15"/>
                <w:szCs w:val="15"/>
                <w:color w:val="auto"/>
              </w:rPr>
            </w:pPr>
          </w:p>
        </w:tc>
        <w:tc>
          <w:tcPr>
            <w:tcW w:w="2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Series A, B, &amp; C</w:t>
            </w:r>
          </w:p>
        </w:tc>
        <w:tc>
          <w:tcPr>
            <w:tcW w:w="0" w:type="dxa"/>
            <w:vAlign w:val="bottom"/>
          </w:tcPr>
          <w:p>
            <w:pPr>
              <w:spacing w:after="0"/>
              <w:rPr>
                <w:sz w:val="1"/>
                <w:szCs w:val="1"/>
                <w:color w:val="auto"/>
              </w:rPr>
            </w:pPr>
          </w:p>
        </w:tc>
      </w:tr>
      <w:tr>
        <w:trPr>
          <w:trHeight w:val="169"/>
        </w:trPr>
        <w:tc>
          <w:tcPr>
            <w:tcW w:w="3700" w:type="dxa"/>
            <w:vAlign w:val="bottom"/>
            <w:vMerge w:val="restart"/>
          </w:tcPr>
          <w:p>
            <w:pPr>
              <w:spacing w:after="0"/>
              <w:rPr>
                <w:sz w:val="20"/>
                <w:szCs w:val="20"/>
                <w:color w:val="auto"/>
              </w:rPr>
            </w:pPr>
            <w:r>
              <w:rPr>
                <w:rFonts w:ascii="Arial" w:cs="Arial" w:eastAsia="Arial" w:hAnsi="Arial"/>
                <w:sz w:val="14"/>
                <w:szCs w:val="14"/>
                <w:color w:val="auto"/>
              </w:rPr>
              <w:t>Balance as of June 30, 2020</w:t>
            </w:r>
          </w:p>
        </w:tc>
        <w:tc>
          <w:tcPr>
            <w:tcW w:w="9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vMerge w:val="continue"/>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318,510,205</w:t>
            </w:r>
          </w:p>
        </w:tc>
        <w:tc>
          <w:tcPr>
            <w:tcW w:w="20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434,009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A</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B</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Preferred stock accretion, Series C</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Issuance of stock upon initial public offering, net of</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issuance costs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Conversion of Series A, B, C convertible stock to</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(318,510,205)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(444,715)</w:t>
            </w: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Reclassification of warrant liability to equity</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Exercise of options</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Repurchase and cancellation of common units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60"/>
              <w:spacing w:after="0"/>
              <w:rPr>
                <w:sz w:val="20"/>
                <w:szCs w:val="20"/>
                <w:color w:val="auto"/>
              </w:rPr>
            </w:pPr>
            <w:r>
              <w:rPr>
                <w:rFonts w:ascii="Arial" w:cs="Arial" w:eastAsia="Arial" w:hAnsi="Arial"/>
                <w:sz w:val="14"/>
                <w:szCs w:val="14"/>
                <w:color w:val="auto"/>
              </w:rPr>
              <w:t>withheld for taxes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20"/>
                <w:szCs w:val="20"/>
                <w:color w:val="auto"/>
              </w:rPr>
            </w:pPr>
            <w:r>
              <w:rPr>
                <w:rFonts w:ascii="Arial" w:cs="Arial" w:eastAsia="Arial" w:hAnsi="Arial"/>
                <w:sz w:val="14"/>
                <w:szCs w:val="14"/>
                <w:color w:val="auto"/>
              </w:rPr>
              <w:t>Balance as of September 30, 2020</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-5168265</wp:posOffset>
            </wp:positionV>
            <wp:extent cx="7132320" cy="5168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8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77"/>
        </w:trPr>
        <w:tc>
          <w:tcPr>
            <w:tcW w:w="19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r>
      <w:tr>
        <w:trPr>
          <w:trHeight w:val="169"/>
        </w:trPr>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r>
      <w:tr>
        <w:trPr>
          <w:trHeight w:val="169"/>
        </w:trPr>
        <w:tc>
          <w:tcPr>
            <w:tcW w:w="860" w:type="dxa"/>
            <w:vAlign w:val="bottom"/>
          </w:tcPr>
          <w:p>
            <w:pPr>
              <w:jc w:val="right"/>
              <w:spacing w:after="0"/>
              <w:rPr>
                <w:sz w:val="20"/>
                <w:szCs w:val="20"/>
                <w:color w:val="auto"/>
              </w:rPr>
            </w:pPr>
            <w:r>
              <w:rPr>
                <w:rFonts w:ascii="Arial" w:cs="Arial" w:eastAsia="Arial" w:hAnsi="Arial"/>
                <w:sz w:val="14"/>
                <w:szCs w:val="14"/>
                <w:color w:val="auto"/>
              </w:rPr>
              <w:t>7,787,470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(422,862)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(422,862)</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(36,736)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(36,736)</w:t>
            </w: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(1,048)</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(21,732)</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(22,780)</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(3,572)</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(1,990)</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(5,562)</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(778)</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(777)</w:t>
            </w: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(3,347)</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(3,347)</w:t>
            </w:r>
          </w:p>
        </w:tc>
      </w:tr>
      <w:tr>
        <w:trPr>
          <w:trHeight w:val="194"/>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(563)</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(359)</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(922)</w:t>
            </w: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6,151,162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135,435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135,435</w:t>
            </w:r>
          </w:p>
        </w:tc>
        <w:tc>
          <w:tcPr>
            <w:tcW w:w="40" w:type="dxa"/>
            <w:vAlign w:val="bottom"/>
          </w:tcPr>
          <w:p>
            <w:pPr>
              <w:spacing w:after="0"/>
              <w:rPr>
                <w:sz w:val="24"/>
                <w:szCs w:val="24"/>
                <w:color w:val="auto"/>
              </w:rPr>
            </w:pPr>
          </w:p>
        </w:tc>
      </w:tr>
      <w:tr>
        <w:trPr>
          <w:trHeight w:val="319"/>
        </w:trPr>
        <w:tc>
          <w:tcPr>
            <w:tcW w:w="860" w:type="dxa"/>
            <w:vAlign w:val="bottom"/>
          </w:tcPr>
          <w:p>
            <w:pPr>
              <w:jc w:val="right"/>
              <w:spacing w:after="0"/>
              <w:rPr>
                <w:sz w:val="20"/>
                <w:szCs w:val="20"/>
                <w:color w:val="auto"/>
              </w:rPr>
            </w:pPr>
            <w:r>
              <w:rPr>
                <w:rFonts w:ascii="Arial" w:cs="Arial" w:eastAsia="Arial" w:hAnsi="Arial"/>
                <w:sz w:val="14"/>
                <w:szCs w:val="14"/>
                <w:color w:val="auto"/>
              </w:rPr>
              <w:t>42,926,630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444,715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444,716</w:t>
            </w:r>
          </w:p>
        </w:tc>
        <w:tc>
          <w:tcPr>
            <w:tcW w:w="40" w:type="dxa"/>
            <w:vAlign w:val="bottom"/>
          </w:tcPr>
          <w:p>
            <w:pPr>
              <w:spacing w:after="0"/>
              <w:rPr>
                <w:sz w:val="24"/>
                <w:szCs w:val="24"/>
                <w:color w:val="auto"/>
              </w:rPr>
            </w:pP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5,468</w:t>
            </w:r>
          </w:p>
        </w:tc>
        <w:tc>
          <w:tcPr>
            <w:tcW w:w="4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4"/>
                <w:szCs w:val="14"/>
                <w:color w:val="auto"/>
              </w:rPr>
              <w:t>36,003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w:t>
            </w:r>
          </w:p>
        </w:tc>
        <w:tc>
          <w:tcPr>
            <w:tcW w:w="40" w:type="dxa"/>
            <w:vAlign w:val="bottom"/>
          </w:tcPr>
          <w:p>
            <w:pPr>
              <w:spacing w:after="0"/>
              <w:rPr>
                <w:sz w:val="15"/>
                <w:szCs w:val="15"/>
                <w:color w:val="auto"/>
              </w:rPr>
            </w:pP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1,870</w:t>
            </w:r>
          </w:p>
        </w:tc>
        <w:tc>
          <w:tcPr>
            <w:tcW w:w="40" w:type="dxa"/>
            <w:vAlign w:val="bottom"/>
          </w:tcPr>
          <w:p>
            <w:pPr>
              <w:spacing w:after="0"/>
              <w:rPr>
                <w:sz w:val="15"/>
                <w:szCs w:val="15"/>
                <w:color w:val="auto"/>
              </w:rPr>
            </w:pPr>
          </w:p>
        </w:tc>
      </w:tr>
      <w:tr>
        <w:trPr>
          <w:trHeight w:val="194"/>
        </w:trPr>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(12,175)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(167)</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(167)</w:t>
            </w:r>
          </w:p>
        </w:tc>
      </w:tr>
      <w:tr>
        <w:trPr>
          <w:trHeight w:val="319"/>
        </w:trPr>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60" w:type="dxa"/>
            <w:vAlign w:val="bottom"/>
          </w:tcPr>
          <w:p>
            <w:pPr>
              <w:jc w:val="right"/>
              <w:spacing w:after="0"/>
              <w:rPr>
                <w:sz w:val="20"/>
                <w:szCs w:val="20"/>
                <w:color w:val="auto"/>
              </w:rPr>
            </w:pPr>
            <w:r>
              <w:rPr>
                <w:rFonts w:ascii="Arial" w:cs="Arial" w:eastAsia="Arial" w:hAnsi="Arial"/>
                <w:sz w:val="14"/>
                <w:szCs w:val="14"/>
                <w:color w:val="auto"/>
              </w:rPr>
              <w:t>56,888,625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582,535</w:t>
            </w:r>
          </w:p>
        </w:tc>
        <w:tc>
          <w:tcPr>
            <w:tcW w:w="2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(487,987)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94,549</w:t>
            </w:r>
          </w:p>
        </w:tc>
        <w:tc>
          <w:tcPr>
            <w:tcW w:w="40" w:type="dxa"/>
            <w:vAlign w:val="bottom"/>
          </w:tcPr>
          <w:p>
            <w:pPr>
              <w:spacing w:after="0"/>
              <w:rPr>
                <w:sz w:val="14"/>
                <w:szCs w:val="14"/>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r>
      <w:tr>
        <w:trPr>
          <w:trHeight w:val="162"/>
        </w:trPr>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77"/>
        </w:trPr>
        <w:tc>
          <w:tcPr>
            <w:tcW w:w="19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r>
      <w:tr>
        <w:trPr>
          <w:trHeight w:val="169"/>
        </w:trPr>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r>
      <w:tr>
        <w:trPr>
          <w:trHeight w:val="169"/>
        </w:trPr>
        <w:tc>
          <w:tcPr>
            <w:tcW w:w="860" w:type="dxa"/>
            <w:vAlign w:val="bottom"/>
          </w:tcPr>
          <w:p>
            <w:pPr>
              <w:jc w:val="right"/>
              <w:spacing w:after="0"/>
              <w:rPr>
                <w:sz w:val="20"/>
                <w:szCs w:val="20"/>
                <w:color w:val="auto"/>
              </w:rPr>
            </w:pPr>
            <w:r>
              <w:rPr>
                <w:rFonts w:ascii="Arial" w:cs="Arial" w:eastAsia="Arial" w:hAnsi="Arial"/>
                <w:sz w:val="14"/>
                <w:szCs w:val="14"/>
                <w:color w:val="auto"/>
              </w:rPr>
              <w:t>7,805,848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(483,362)</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(483,362)</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1,909</w:t>
            </w:r>
          </w:p>
        </w:tc>
        <w:tc>
          <w:tcPr>
            <w:tcW w:w="40" w:type="dxa"/>
            <w:vAlign w:val="bottom"/>
          </w:tcPr>
          <w:p>
            <w:pPr>
              <w:spacing w:after="0"/>
              <w:rPr>
                <w:sz w:val="15"/>
                <w:szCs w:val="15"/>
                <w:color w:val="auto"/>
              </w:rPr>
            </w:pP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(5,091)</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(5,091)</w:t>
            </w:r>
          </w:p>
        </w:tc>
      </w:tr>
      <w:tr>
        <w:trPr>
          <w:trHeight w:val="176"/>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(3,572)</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(438)</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(4,010)</w:t>
            </w: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(174)</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(174)</w:t>
            </w: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w:t>
            </w: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(748)</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(748)</w:t>
            </w:r>
          </w:p>
        </w:tc>
      </w:tr>
      <w:tr>
        <w:trPr>
          <w:trHeight w:val="194"/>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(563)</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(79)</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(642)</w:t>
            </w: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6,151,162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135,435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135,435</w:t>
            </w:r>
          </w:p>
        </w:tc>
        <w:tc>
          <w:tcPr>
            <w:tcW w:w="40" w:type="dxa"/>
            <w:vAlign w:val="bottom"/>
          </w:tcPr>
          <w:p>
            <w:pPr>
              <w:spacing w:after="0"/>
              <w:rPr>
                <w:sz w:val="24"/>
                <w:szCs w:val="24"/>
                <w:color w:val="auto"/>
              </w:rPr>
            </w:pPr>
          </w:p>
        </w:tc>
      </w:tr>
      <w:tr>
        <w:trPr>
          <w:trHeight w:val="319"/>
        </w:trPr>
        <w:tc>
          <w:tcPr>
            <w:tcW w:w="860" w:type="dxa"/>
            <w:vAlign w:val="bottom"/>
          </w:tcPr>
          <w:p>
            <w:pPr>
              <w:jc w:val="right"/>
              <w:spacing w:after="0"/>
              <w:rPr>
                <w:sz w:val="20"/>
                <w:szCs w:val="20"/>
                <w:color w:val="auto"/>
              </w:rPr>
            </w:pPr>
            <w:r>
              <w:rPr>
                <w:rFonts w:ascii="Arial" w:cs="Arial" w:eastAsia="Arial" w:hAnsi="Arial"/>
                <w:sz w:val="14"/>
                <w:szCs w:val="14"/>
                <w:color w:val="auto"/>
              </w:rPr>
              <w:t>42,926,630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444,715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444,716</w:t>
            </w:r>
          </w:p>
        </w:tc>
        <w:tc>
          <w:tcPr>
            <w:tcW w:w="40" w:type="dxa"/>
            <w:vAlign w:val="bottom"/>
          </w:tcPr>
          <w:p>
            <w:pPr>
              <w:spacing w:after="0"/>
              <w:rPr>
                <w:sz w:val="24"/>
                <w:szCs w:val="24"/>
                <w:color w:val="auto"/>
              </w:rPr>
            </w:pPr>
          </w:p>
        </w:tc>
      </w:tr>
      <w:tr>
        <w:trPr>
          <w:trHeight w:val="175"/>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5,468</w:t>
            </w:r>
          </w:p>
        </w:tc>
        <w:tc>
          <w:tcPr>
            <w:tcW w:w="40" w:type="dxa"/>
            <w:vAlign w:val="bottom"/>
          </w:tcPr>
          <w:p>
            <w:pPr>
              <w:spacing w:after="0"/>
              <w:rPr>
                <w:sz w:val="15"/>
                <w:szCs w:val="15"/>
                <w:color w:val="auto"/>
              </w:rPr>
            </w:pPr>
          </w:p>
        </w:tc>
      </w:tr>
      <w:tr>
        <w:trPr>
          <w:trHeight w:val="175"/>
        </w:trPr>
        <w:tc>
          <w:tcPr>
            <w:tcW w:w="860" w:type="dxa"/>
            <w:vAlign w:val="bottom"/>
          </w:tcPr>
          <w:p>
            <w:pPr>
              <w:jc w:val="right"/>
              <w:spacing w:after="0"/>
              <w:rPr>
                <w:sz w:val="20"/>
                <w:szCs w:val="20"/>
                <w:color w:val="auto"/>
              </w:rPr>
            </w:pPr>
            <w:r>
              <w:rPr>
                <w:rFonts w:ascii="Arial" w:cs="Arial" w:eastAsia="Arial" w:hAnsi="Arial"/>
                <w:sz w:val="14"/>
                <w:szCs w:val="14"/>
                <w:color w:val="auto"/>
              </w:rPr>
              <w:t>5,450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5"/>
                <w:szCs w:val="15"/>
                <w:color w:val="auto"/>
              </w:rPr>
            </w:pPr>
          </w:p>
        </w:tc>
      </w:tr>
      <w:tr>
        <w:trPr>
          <w:trHeight w:val="194"/>
        </w:trPr>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w:t>
            </w:r>
          </w:p>
        </w:tc>
        <w:tc>
          <w:tcPr>
            <w:tcW w:w="40" w:type="dxa"/>
            <w:vAlign w:val="bottom"/>
          </w:tcPr>
          <w:p>
            <w:pPr>
              <w:spacing w:after="0"/>
              <w:rPr>
                <w:sz w:val="16"/>
                <w:szCs w:val="16"/>
                <w:color w:val="auto"/>
              </w:rPr>
            </w:pPr>
          </w:p>
        </w:tc>
      </w:tr>
      <w:tr>
        <w:trPr>
          <w:trHeight w:val="319"/>
        </w:trPr>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60" w:type="dxa"/>
            <w:vAlign w:val="bottom"/>
          </w:tcPr>
          <w:p>
            <w:pPr>
              <w:jc w:val="right"/>
              <w:spacing w:after="0"/>
              <w:rPr>
                <w:sz w:val="20"/>
                <w:szCs w:val="20"/>
                <w:color w:val="auto"/>
              </w:rPr>
            </w:pPr>
            <w:r>
              <w:rPr>
                <w:rFonts w:ascii="Arial" w:cs="Arial" w:eastAsia="Arial" w:hAnsi="Arial"/>
                <w:sz w:val="14"/>
                <w:szCs w:val="14"/>
                <w:color w:val="auto"/>
              </w:rPr>
              <w:t>56,888,625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582,535</w:t>
            </w:r>
          </w:p>
        </w:tc>
        <w:tc>
          <w:tcPr>
            <w:tcW w:w="2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(487,987)</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94,549</w:t>
            </w:r>
          </w:p>
        </w:tc>
        <w:tc>
          <w:tcPr>
            <w:tcW w:w="40" w:type="dxa"/>
            <w:vAlign w:val="bottom"/>
          </w:tcPr>
          <w:p>
            <w:pPr>
              <w:spacing w:after="0"/>
              <w:rPr>
                <w:sz w:val="14"/>
                <w:szCs w:val="14"/>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760" w:space="180"/>
            <w:col w:w="5300"/>
          </w:cols>
          <w:pgMar w:left="320" w:top="317" w:right="339" w:bottom="1440" w:gutter="0" w:footer="0" w:header="0"/>
          <w:type w:val="continuous"/>
        </w:sect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of Harmony Biosciences Holdings,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CONDENSED CONSOLIDATED STATEMENTS OF CONVERTIBLE PREFERRED STOCK AND STOCKHOLDERS’ EQUITY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(DEFICIT) - CONTINUED</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40"/>
          </w:cols>
          <w:pgMar w:left="320" w:top="317" w:right="3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9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Convertible Preferred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4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Series A, B, &amp; C</w:t>
            </w:r>
          </w:p>
        </w:tc>
        <w:tc>
          <w:tcPr>
            <w:tcW w:w="0" w:type="dxa"/>
            <w:vAlign w:val="bottom"/>
          </w:tcPr>
          <w:p>
            <w:pPr>
              <w:spacing w:after="0"/>
              <w:rPr>
                <w:sz w:val="1"/>
                <w:szCs w:val="1"/>
                <w:color w:val="auto"/>
              </w:rPr>
            </w:pPr>
          </w:p>
        </w:tc>
      </w:tr>
      <w:tr>
        <w:trPr>
          <w:trHeight w:val="169"/>
        </w:trPr>
        <w:tc>
          <w:tcPr>
            <w:tcW w:w="3760" w:type="dxa"/>
            <w:vAlign w:val="bottom"/>
            <w:vMerge w:val="restart"/>
          </w:tcPr>
          <w:p>
            <w:pPr>
              <w:spacing w:after="0"/>
              <w:rPr>
                <w:sz w:val="20"/>
                <w:szCs w:val="20"/>
                <w:color w:val="auto"/>
              </w:rPr>
            </w:pPr>
            <w:r>
              <w:rPr>
                <w:rFonts w:ascii="Arial" w:cs="Arial" w:eastAsia="Arial" w:hAnsi="Arial"/>
                <w:sz w:val="14"/>
                <w:szCs w:val="14"/>
                <w:color w:val="auto"/>
              </w:rPr>
              <w:t>Balance as of December 31, 2018</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293,000,000</w:t>
            </w:r>
          </w:p>
        </w:tc>
        <w:tc>
          <w:tcPr>
            <w:tcW w:w="2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324,201</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60" w:type="dxa"/>
            <w:vAlign w:val="bottom"/>
          </w:tcPr>
          <w:p>
            <w:pPr>
              <w:ind w:left="260"/>
              <w:spacing w:after="0"/>
              <w:rPr>
                <w:sz w:val="20"/>
                <w:szCs w:val="20"/>
                <w:color w:val="auto"/>
              </w:rPr>
            </w:pPr>
            <w:r>
              <w:rPr>
                <w:rFonts w:ascii="Arial" w:cs="Arial" w:eastAsia="Arial" w:hAnsi="Arial"/>
                <w:sz w:val="14"/>
                <w:szCs w:val="14"/>
                <w:color w:val="auto"/>
              </w:rPr>
              <w:t>Issuance of Series C convertible preferred stock, net</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of issuance costs</w:t>
            </w:r>
          </w:p>
        </w:tc>
        <w:tc>
          <w:tcPr>
            <w:tcW w:w="940" w:type="dxa"/>
            <w:vAlign w:val="bottom"/>
          </w:tcPr>
          <w:p>
            <w:pPr>
              <w:jc w:val="right"/>
              <w:spacing w:after="0"/>
              <w:rPr>
                <w:sz w:val="20"/>
                <w:szCs w:val="20"/>
                <w:color w:val="auto"/>
              </w:rPr>
            </w:pPr>
            <w:r>
              <w:rPr>
                <w:rFonts w:ascii="Arial" w:cs="Arial" w:eastAsia="Arial" w:hAnsi="Arial"/>
                <w:sz w:val="14"/>
                <w:szCs w:val="14"/>
                <w:color w:val="auto"/>
              </w:rPr>
              <w:t>25,510,205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48,868</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24,120</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B</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C</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20"/>
                <w:szCs w:val="20"/>
                <w:color w:val="auto"/>
              </w:rPr>
            </w:pPr>
            <w:r>
              <w:rPr>
                <w:rFonts w:ascii="Arial" w:cs="Arial" w:eastAsia="Arial" w:hAnsi="Arial"/>
                <w:sz w:val="14"/>
                <w:szCs w:val="14"/>
                <w:color w:val="auto"/>
              </w:rPr>
              <w:t>Balance as of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318,510,205</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400,876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808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stockholders’</w:t>
            </w:r>
          </w:p>
        </w:tc>
      </w:tr>
      <w:tr>
        <w:trPr>
          <w:trHeight w:val="177"/>
        </w:trPr>
        <w:tc>
          <w:tcPr>
            <w:tcW w:w="18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r>
      <w:tr>
        <w:trPr>
          <w:trHeight w:val="169"/>
        </w:trPr>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7,777,100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(242,673)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(242,673)</w:t>
            </w:r>
          </w:p>
        </w:tc>
      </w:tr>
      <w:tr>
        <w:trPr>
          <w:trHeight w:val="194"/>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(115,537)</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(115,537)</w:t>
            </w:r>
          </w:p>
        </w:tc>
      </w:tr>
      <w:tr>
        <w:trPr>
          <w:trHeight w:val="319"/>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(1,104)</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(23,016)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(24,120)</w:t>
            </w:r>
          </w:p>
        </w:tc>
      </w:tr>
      <w:tr>
        <w:trPr>
          <w:trHeight w:val="176"/>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(2,059)</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(2,059)</w:t>
            </w:r>
          </w:p>
        </w:tc>
      </w:tr>
      <w:tr>
        <w:trPr>
          <w:trHeight w:val="176"/>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(823)</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(823)</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(17)</w:t>
            </w:r>
          </w:p>
        </w:tc>
      </w:tr>
      <w:tr>
        <w:trPr>
          <w:trHeight w:val="176"/>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(712)</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(712)</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7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w:t>
            </w:r>
          </w:p>
        </w:tc>
        <w:tc>
          <w:tcPr>
            <w:tcW w:w="40" w:type="dxa"/>
            <w:vAlign w:val="bottom"/>
          </w:tcPr>
          <w:p>
            <w:pPr>
              <w:spacing w:after="0"/>
              <w:rPr>
                <w:sz w:val="15"/>
                <w:szCs w:val="15"/>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7,777,100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(384,913)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(384,913)</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20"/>
            <w:col w:w="5280"/>
          </w:cols>
          <w:pgMar w:left="320" w:top="3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9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Convertible Preferred</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40" w:type="dxa"/>
            <w:vAlign w:val="bottom"/>
            <w:gridSpan w:val="3"/>
          </w:tcPr>
          <w:p>
            <w:pPr>
              <w:jc w:val="center"/>
              <w:ind w:left="648"/>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Series A, B, &amp; C</w:t>
            </w:r>
          </w:p>
        </w:tc>
        <w:tc>
          <w:tcPr>
            <w:tcW w:w="0" w:type="dxa"/>
            <w:vAlign w:val="bottom"/>
          </w:tcPr>
          <w:p>
            <w:pPr>
              <w:spacing w:after="0"/>
              <w:rPr>
                <w:sz w:val="1"/>
                <w:szCs w:val="1"/>
                <w:color w:val="auto"/>
              </w:rPr>
            </w:pPr>
          </w:p>
        </w:tc>
      </w:tr>
      <w:tr>
        <w:trPr>
          <w:trHeight w:val="169"/>
        </w:trPr>
        <w:tc>
          <w:tcPr>
            <w:tcW w:w="3760" w:type="dxa"/>
            <w:vAlign w:val="bottom"/>
            <w:vMerge w:val="restart"/>
          </w:tcPr>
          <w:p>
            <w:pPr>
              <w:spacing w:after="0"/>
              <w:rPr>
                <w:sz w:val="20"/>
                <w:szCs w:val="20"/>
                <w:color w:val="auto"/>
              </w:rPr>
            </w:pPr>
            <w:r>
              <w:rPr>
                <w:rFonts w:ascii="Arial" w:cs="Arial" w:eastAsia="Arial" w:hAnsi="Arial"/>
                <w:sz w:val="14"/>
                <w:szCs w:val="14"/>
                <w:color w:val="auto"/>
              </w:rPr>
              <w:t>Balance as of June 30, 2019</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293,000,000</w:t>
            </w:r>
          </w:p>
        </w:tc>
        <w:tc>
          <w:tcPr>
            <w:tcW w:w="2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342,213</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60" w:type="dxa"/>
            <w:vAlign w:val="bottom"/>
          </w:tcPr>
          <w:p>
            <w:pPr>
              <w:ind w:left="260"/>
              <w:spacing w:after="0"/>
              <w:rPr>
                <w:sz w:val="20"/>
                <w:szCs w:val="20"/>
                <w:color w:val="auto"/>
              </w:rPr>
            </w:pPr>
            <w:r>
              <w:rPr>
                <w:rFonts w:ascii="Arial" w:cs="Arial" w:eastAsia="Arial" w:hAnsi="Arial"/>
                <w:sz w:val="14"/>
                <w:szCs w:val="14"/>
                <w:color w:val="auto"/>
              </w:rPr>
              <w:t>Issuance of Series C convertible preferred stock, net</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of issuance costs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48,868</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A</w:t>
            </w:r>
          </w:p>
        </w:tc>
        <w:tc>
          <w:tcPr>
            <w:tcW w:w="940" w:type="dxa"/>
            <w:vAlign w:val="bottom"/>
          </w:tcPr>
          <w:p>
            <w:pPr>
              <w:jc w:val="right"/>
              <w:spacing w:after="0"/>
              <w:rPr>
                <w:sz w:val="20"/>
                <w:szCs w:val="20"/>
                <w:color w:val="auto"/>
              </w:rPr>
            </w:pPr>
            <w:r>
              <w:rPr>
                <w:rFonts w:ascii="Arial" w:cs="Arial" w:eastAsia="Arial" w:hAnsi="Arial"/>
                <w:sz w:val="14"/>
                <w:szCs w:val="14"/>
                <w:color w:val="auto"/>
              </w:rPr>
              <w:t>25,510,205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A</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B</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6"/>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B</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dividend, Series C</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Preferred stock accretion, Series C</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5"/>
        </w:trPr>
        <w:tc>
          <w:tcPr>
            <w:tcW w:w="37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760" w:type="dxa"/>
            <w:vAlign w:val="bottom"/>
          </w:tcPr>
          <w:p>
            <w:pPr>
              <w:spacing w:after="0"/>
              <w:rPr>
                <w:sz w:val="20"/>
                <w:szCs w:val="20"/>
                <w:color w:val="auto"/>
              </w:rPr>
            </w:pPr>
            <w:r>
              <w:rPr>
                <w:rFonts w:ascii="Arial" w:cs="Arial" w:eastAsia="Arial" w:hAnsi="Arial"/>
                <w:sz w:val="14"/>
                <w:szCs w:val="14"/>
                <w:color w:val="auto"/>
              </w:rPr>
              <w:t>Balance as of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318,510,205</w:t>
            </w: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400,876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-1807845</wp:posOffset>
            </wp:positionV>
            <wp:extent cx="7132320" cy="180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r>
      <w:tr>
        <w:trPr>
          <w:trHeight w:val="162"/>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stockholders’</w:t>
            </w:r>
          </w:p>
        </w:tc>
      </w:tr>
      <w:tr>
        <w:trPr>
          <w:trHeight w:val="177"/>
        </w:trPr>
        <w:tc>
          <w:tcPr>
            <w:tcW w:w="18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r>
      <w:tr>
        <w:trPr>
          <w:trHeight w:val="169"/>
        </w:trPr>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Shares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7,777,100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(343,626)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(343,626)</w:t>
            </w:r>
          </w:p>
        </w:tc>
      </w:tr>
      <w:tr>
        <w:trPr>
          <w:trHeight w:val="194"/>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(31,899)</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(31,899)</w:t>
            </w:r>
          </w:p>
        </w:tc>
      </w:tr>
      <w:tr>
        <w:trPr>
          <w:trHeight w:val="319"/>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6"/>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(407)</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(7,633)</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(8,040)</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(687)</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(687)</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(274)</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(274)</w:t>
            </w:r>
          </w:p>
        </w:tc>
      </w:tr>
      <w:tr>
        <w:trPr>
          <w:trHeight w:val="176"/>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(712)</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(712)</w:t>
            </w:r>
          </w:p>
        </w:tc>
      </w:tr>
      <w:tr>
        <w:trPr>
          <w:trHeight w:val="175"/>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w:t>
            </w:r>
          </w:p>
        </w:tc>
      </w:tr>
      <w:tr>
        <w:trPr>
          <w:trHeight w:val="17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40" w:type="dxa"/>
            <w:vAlign w:val="bottom"/>
          </w:tcPr>
          <w:p>
            <w:pPr>
              <w:spacing w:after="0"/>
              <w:rPr>
                <w:sz w:val="15"/>
                <w:szCs w:val="15"/>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7,777,100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560"/>
              <w:spacing w:after="0"/>
              <w:rPr>
                <w:sz w:val="20"/>
                <w:szCs w:val="20"/>
                <w:color w:val="auto"/>
              </w:rPr>
            </w:pPr>
            <w:r>
              <w:rPr>
                <w:rFonts w:ascii="Arial" w:cs="Arial" w:eastAsia="Arial" w:hAnsi="Arial"/>
                <w:sz w:val="14"/>
                <w:szCs w:val="14"/>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(384,913)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(384,913)</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740" w:space="220"/>
            <w:col w:w="5280"/>
          </w:cols>
          <w:pgMar w:left="320" w:top="317" w:right="339" w:bottom="1440" w:gutter="0" w:footer="0" w:header="0"/>
          <w:type w:val="continuous"/>
        </w:sectPr>
      </w:pPr>
    </w:p>
    <w:p>
      <w:pPr>
        <w:ind w:left="880" w:hanging="87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stock of Harmony Biosciences Holdings, Inc.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 unaudited condensed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6" w:name="page7"/>
    <w:bookmarkEnd w:id="6"/>
    <w:p>
      <w:pPr>
        <w:jc w:val="center"/>
        <w:ind w:left="340" w:right="2340"/>
        <w:spacing w:after="0" w:line="261" w:lineRule="auto"/>
        <w:rPr>
          <w:sz w:val="20"/>
          <w:szCs w:val="20"/>
          <w:color w:val="auto"/>
        </w:rPr>
      </w:pPr>
      <w:r>
        <w:rPr>
          <w:rFonts w:ascii="Arial" w:cs="Arial" w:eastAsia="Arial" w:hAnsi="Arial"/>
          <w:sz w:val="18"/>
          <w:szCs w:val="18"/>
          <w:b w:val="1"/>
          <w:bCs w:val="1"/>
          <w:color w:val="auto"/>
        </w:rPr>
        <w:t>HARMONY BIOSCIENCES HOLDINGS, INC. AND SUBSIDIARY UNAUDITED CONDENSED CONSOLIDATED STATEMENTS OF CASH FLOWS (In thousands, except share and per share data)</w:t>
      </w:r>
    </w:p>
    <w:p>
      <w:pPr>
        <w:spacing w:after="0" w:line="36"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658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80" w:type="dxa"/>
            <w:vAlign w:val="bottom"/>
          </w:tcPr>
          <w:p>
            <w:pPr>
              <w:spacing w:after="0"/>
              <w:rPr>
                <w:sz w:val="20"/>
                <w:szCs w:val="20"/>
                <w:color w:val="auto"/>
              </w:rPr>
            </w:pPr>
            <w:r>
              <w:rPr>
                <w:rFonts w:ascii="Arial" w:cs="Arial" w:eastAsia="Arial" w:hAnsi="Arial"/>
                <w:sz w:val="14"/>
                <w:szCs w:val="14"/>
                <w:color w:val="auto"/>
              </w:rPr>
              <w:t>Net loss</w:t>
            </w:r>
          </w:p>
        </w:tc>
        <w:tc>
          <w:tcPr>
            <w:tcW w:w="2080" w:type="dxa"/>
            <w:vAlign w:val="bottom"/>
            <w:gridSpan w:val="2"/>
          </w:tcPr>
          <w:p>
            <w:pPr>
              <w:jc w:val="right"/>
              <w:ind w:right="78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(36,736)</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(115,537)</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Adjustments to reconcile net loss to net cash used in operating activities: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Intangible amortization</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Milestones associated with acquired in-process research &amp; development (IPR&amp;D)</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Stock appreciation rights market adjustment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 expense</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Noncash paid-in-kind interest expense</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 amortization</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22,639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Change in operating assets and liabilities: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Trade receivables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(12,071)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(1,223)</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(8,169)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non-current assets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(476)</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Trade payables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7,738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11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Net cash used in operating activities</w:t>
            </w:r>
          </w:p>
        </w:tc>
        <w:tc>
          <w:tcPr>
            <w:tcW w:w="1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(13,032)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(51,449)</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property and equipment</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Milestone associated with acquired in-process research &amp; development (IPR&amp;D)</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Net cash used in investing activities</w:t>
            </w:r>
          </w:p>
        </w:tc>
        <w:tc>
          <w:tcPr>
            <w:tcW w:w="1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(50,113)</w:t>
            </w:r>
          </w:p>
        </w:tc>
        <w:tc>
          <w:tcPr>
            <w:tcW w:w="0" w:type="dxa"/>
            <w:vAlign w:val="bottom"/>
          </w:tcPr>
          <w:p>
            <w:pPr>
              <w:spacing w:after="0"/>
              <w:rPr>
                <w:sz w:val="1"/>
                <w:szCs w:val="1"/>
                <w:color w:val="auto"/>
              </w:rPr>
            </w:pPr>
          </w:p>
        </w:tc>
      </w:tr>
      <w:tr>
        <w:trPr>
          <w:trHeight w:val="169"/>
        </w:trPr>
        <w:tc>
          <w:tcPr>
            <w:tcW w:w="65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common stock upon initial public offering</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147,628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Initial public offering issuance costs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preferred stock</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Preferred stock issuance costs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long term debt</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(5,804)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(102,538)</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Extinguishment of debt exit fees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(18,047)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exercised options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Repurchase of common stock</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Tax payments for employees shares withheld</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210,317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119,559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NET INCREASE IN CASH, CASH EQUIVALENTS, AND RESTRICTED CASH</w:t>
            </w:r>
          </w:p>
        </w:tc>
        <w:tc>
          <w:tcPr>
            <w:tcW w:w="1140" w:type="dxa"/>
            <w:vAlign w:val="bottom"/>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197,283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CASH—Beginning of period</w:t>
            </w:r>
          </w:p>
        </w:tc>
        <w:tc>
          <w:tcPr>
            <w:tcW w:w="11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25,207</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84,023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CASH—End of period</w:t>
            </w:r>
          </w:p>
        </w:tc>
        <w:tc>
          <w:tcPr>
            <w:tcW w:w="2080" w:type="dxa"/>
            <w:vAlign w:val="bottom"/>
            <w:gridSpan w:val="2"/>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222,490</w:t>
            </w:r>
          </w:p>
        </w:tc>
        <w:tc>
          <w:tcPr>
            <w:tcW w:w="1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1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paid during the year for interest</w:t>
            </w:r>
          </w:p>
        </w:tc>
        <w:tc>
          <w:tcPr>
            <w:tcW w:w="2080" w:type="dxa"/>
            <w:vAlign w:val="bottom"/>
            <w:gridSpan w:val="2"/>
            <w:shd w:val="clear" w:color="auto" w:fill="CFF0FC"/>
          </w:tcPr>
          <w:p>
            <w:pPr>
              <w:jc w:val="right"/>
              <w:ind w:right="7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19,549</w:t>
            </w:r>
          </w:p>
        </w:tc>
        <w:tc>
          <w:tcPr>
            <w:tcW w:w="18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Cash paid during the year for milestones</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Series A Preferred Stock accrued return</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22,780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A accretion of issuance costs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80" w:type="dxa"/>
            <w:vAlign w:val="bottom"/>
          </w:tcPr>
          <w:p>
            <w:pPr>
              <w:ind w:left="260"/>
              <w:spacing w:after="0"/>
              <w:rPr>
                <w:sz w:val="20"/>
                <w:szCs w:val="20"/>
                <w:color w:val="auto"/>
              </w:rPr>
            </w:pPr>
            <w:r>
              <w:rPr>
                <w:rFonts w:ascii="Arial" w:cs="Arial" w:eastAsia="Arial" w:hAnsi="Arial"/>
                <w:sz w:val="14"/>
                <w:szCs w:val="14"/>
                <w:color w:val="auto"/>
              </w:rPr>
              <w:t>Series B Preferred Stock accrued return</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B accretion of issuance costs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Series C Preferred Stock accrued return</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Series C accretion of issuance costs</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260"/>
              <w:spacing w:after="0"/>
              <w:rPr>
                <w:sz w:val="20"/>
                <w:szCs w:val="20"/>
                <w:color w:val="auto"/>
              </w:rPr>
            </w:pPr>
            <w:r>
              <w:rPr>
                <w:rFonts w:ascii="Arial" w:cs="Arial" w:eastAsia="Arial" w:hAnsi="Arial"/>
                <w:sz w:val="14"/>
                <w:szCs w:val="14"/>
                <w:color w:val="auto"/>
              </w:rPr>
              <w:t>Warrant financing</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65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Warrant liability reclassified to equity</w:t>
            </w:r>
          </w:p>
        </w:tc>
        <w:tc>
          <w:tcPr>
            <w:tcW w:w="1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 w:name="page8"/>
    <w:bookmarkEnd w:id="7"/>
    <w:p>
      <w:pPr>
        <w:jc w:val="center"/>
        <w:ind w:left="340" w:right="2120"/>
        <w:spacing w:after="0" w:line="261"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258" w:lineRule="exact"/>
        <w:rPr>
          <w:sz w:val="20"/>
          <w:szCs w:val="20"/>
          <w:color w:val="auto"/>
        </w:rPr>
      </w:pPr>
    </w:p>
    <w:p>
      <w:pPr>
        <w:ind w:left="640" w:right="6640" w:hanging="632"/>
        <w:spacing w:after="0" w:line="360" w:lineRule="auto"/>
        <w:tabs>
          <w:tab w:leader="none" w:pos="203"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DESCRIPTION OF BUSINESS The Company</w:t>
      </w:r>
    </w:p>
    <w:p>
      <w:pPr>
        <w:ind w:right="80" w:firstLine="637"/>
        <w:spacing w:after="0" w:line="241" w:lineRule="auto"/>
        <w:rPr>
          <w:sz w:val="20"/>
          <w:szCs w:val="20"/>
          <w:color w:val="auto"/>
        </w:rPr>
      </w:pPr>
      <w:r>
        <w:rPr>
          <w:rFonts w:ascii="Arial" w:cs="Arial" w:eastAsia="Arial" w:hAnsi="Arial"/>
          <w:sz w:val="18"/>
          <w:szCs w:val="18"/>
          <w:color w:val="auto"/>
        </w:rPr>
        <w:t>Our operating subsidiary, Harmony Biosciences, LLC, was formed on May 17, 2017. Harmony Biosciences Holdings, Inc. (the “Company”) was founded on July 25, 2017 as Harmony Biosciences II, LLC, a Delaware limited liability company, and the Company converted to a Delaware corporation named Harmony Biosciences II, Inc. on September 19, 2017. On February 3, 2020, the Company changed its name to Harmony Biosciences Holdings, Inc. The Company is a holding company and has no operations. The Company’s operations are conducted in its wholly owned subsidiary, Harmony Biosciences, LLC (“Harmony”). The Company is a commercial-stage pharmaceutical company focused on developing and commercializing innovative therapies for patients living with rare neurological disorders who have unmet medical needs. The Company is headquartered in Plymouth Meeting, Pennsylvania.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On August 21, 2020, the Company completed its initial public offering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condensed consolidated financial statements and related notes to the number of shares of common stock, convertible preferred stock, warrants and options to purchase common stock and per share data reflect the effect of the reverse stock split.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LIQUIDITY AND CAPITAL RESOURCES</w:t>
      </w:r>
    </w:p>
    <w:p>
      <w:pPr>
        <w:spacing w:after="0" w:line="104" w:lineRule="exact"/>
        <w:rPr>
          <w:sz w:val="20"/>
          <w:szCs w:val="20"/>
          <w:color w:val="auto"/>
        </w:rPr>
      </w:pPr>
    </w:p>
    <w:p>
      <w:pPr>
        <w:ind w:right="260" w:firstLine="637"/>
        <w:spacing w:after="0" w:line="245"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has incurred operating losses and negative cash flows from operations since inception resulting in an accumulated deficit of $487,987 and $422,862, as of September 30, 2020 and December 31, 2019, respectively. As of September 30, 2020, the Company had cash and cash equivalents of $222,490.</w:t>
      </w:r>
    </w:p>
    <w:p>
      <w:pPr>
        <w:spacing w:after="0" w:line="172"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On August 21, 2020, the Company received aggregate proceeds from a common stock offering of approximately $135,435, net of underwriting discounts and commissions and other estimated offering expenses (see Note 11). Additionally, on January 9, 2020, the Company received aggregate proceeds of approximately $200,000 through the loan agreement with OrbiMed Royalty &amp; Credit Opportunities, LP. This capital raise and debt issuance has resolved the Company’s significant risks and uncertainties regarding sources of liquidity, which previously raised substantial doubt about the Company’s ability to continue as a going concern.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8" w:name="page9"/>
    <w:bookmarkEnd w:id="8"/>
    <w:p>
      <w:pPr>
        <w:jc w:val="both"/>
        <w:ind w:right="220" w:firstLine="637"/>
        <w:spacing w:after="0" w:line="255" w:lineRule="auto"/>
        <w:rPr>
          <w:sz w:val="20"/>
          <w:szCs w:val="20"/>
          <w:color w:val="auto"/>
        </w:rPr>
      </w:pPr>
      <w:r>
        <w:rPr>
          <w:rFonts w:ascii="Arial" w:cs="Arial" w:eastAsia="Arial" w:hAnsi="Arial"/>
          <w:sz w:val="18"/>
          <w:szCs w:val="18"/>
          <w:color w:val="auto"/>
        </w:rPr>
        <w:t>The Company believes that its anticipated cash from operating and financing activities and existing cash and cash equivalents will enable the Company to meet its operational liquidity needs and fund its planned investing activities for the next 12 months from the date of issuance of these unaudited condensed consolidated financial statements.</w:t>
      </w:r>
    </w:p>
    <w:p>
      <w:pPr>
        <w:spacing w:after="0" w:line="312" w:lineRule="exact"/>
        <w:rPr>
          <w:sz w:val="20"/>
          <w:szCs w:val="20"/>
          <w:color w:val="auto"/>
        </w:rPr>
      </w:pPr>
    </w:p>
    <w:p>
      <w:pPr>
        <w:ind w:left="640" w:right="6420" w:hanging="632"/>
        <w:spacing w:after="0" w:line="438" w:lineRule="auto"/>
        <w:tabs>
          <w:tab w:leader="none" w:pos="203"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spacing w:after="0" w:line="1"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condensed consolidated balance sheet as of September 30, 2020, condensed consolidated statements of cash flows for the nine months ended September 30, 2020 and 2019, and, condensed consolidated statements of operations and comprehensive income (loss) and the condensed consolidated statements of convertible preferred stock and shareholders’ equity (deficit) for the three and nine months ended September 30, 2020 and 2019, are unaudited. The balance sheet as of December 31, 2019 was derived from audited financial statements as of and for the year ended December 31, 2019. The unaudited interim condensed consolidated financial statements have been prepared on the same basis as the audited annual financial statements as of and for the year ended December 31, 2019, and, in the opinion of management, reflect all adjustments, which include only normal recurring adjustments, necessary for the fair statements of the Company’s financial position as of September 30, 2020, and the results of its operations and its cash flows for the nine months ended September 30, 2019 and 2020. The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condensed consolidated financial statements should be read in conjunction with the audited financial statements and accompanying notes thereto for the year ended December 31, 2019. The balance sheet data as of December 31, 2019 was derived from the Company’s audited financial statements for the year ended December 31, 2019.</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44"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The preparation of our Condensed Consolidated Financial Statements in conformity with GAAP requires us to make estimates that affect the amounts and disclosures in the Condensed Consolidated Financial Statements, including the notes thereto, and elsewhere in this report. Uncertainties related to the magnitude and duration of COVID -19,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44" w:lineRule="exact"/>
        <w:rPr>
          <w:sz w:val="20"/>
          <w:szCs w:val="20"/>
          <w:color w:val="auto"/>
        </w:rPr>
      </w:pPr>
    </w:p>
    <w:p>
      <w:pPr>
        <w:ind w:right="100" w:firstLine="637"/>
        <w:spacing w:after="0" w:line="241" w:lineRule="auto"/>
        <w:rPr>
          <w:sz w:val="20"/>
          <w:szCs w:val="20"/>
          <w:color w:val="auto"/>
        </w:rPr>
      </w:pPr>
      <w:r>
        <w:rPr>
          <w:rFonts w:ascii="Arial" w:cs="Arial" w:eastAsia="Arial" w:hAnsi="Arial"/>
          <w:sz w:val="18"/>
          <w:szCs w:val="18"/>
          <w:color w:val="auto"/>
        </w:rPr>
        <w:t xml:space="preserve">The Company’s unaudited condensed consolidated financial statements include cash, cash equivalents, accounts payable, and accrued liabilities, all of which are short term in nature and, accordingly, approximate fair value. Additionally, prior to the IPO, the Company’s unaudited condensed consolidated financial statements included a warrant liability that was carried at fair value and was re -measured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reclassified to equity. See Note 13 for a further discussion of the warrants.</w:t>
      </w:r>
    </w:p>
    <w:p>
      <w:pPr>
        <w:spacing w:after="0" w:line="136" w:lineRule="exact"/>
        <w:rPr>
          <w:sz w:val="20"/>
          <w:szCs w:val="20"/>
          <w:color w:val="auto"/>
        </w:rPr>
      </w:pPr>
    </w:p>
    <w:p>
      <w:pPr>
        <w:ind w:right="240" w:firstLine="637"/>
        <w:spacing w:after="0" w:line="255" w:lineRule="auto"/>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9" w:name="page10"/>
    <w:bookmarkEnd w:id="9"/>
    <w:p>
      <w:pPr>
        <w:ind w:right="80" w:firstLine="637"/>
        <w:spacing w:after="0" w:line="241" w:lineRule="auto"/>
        <w:rPr>
          <w:sz w:val="20"/>
          <w:szCs w:val="20"/>
          <w:color w:val="auto"/>
        </w:rPr>
      </w:pPr>
      <w:r>
        <w:rPr>
          <w:rFonts w:ascii="Arial" w:cs="Arial" w:eastAsia="Arial" w:hAnsi="Arial"/>
          <w:sz w:val="18"/>
          <w:szCs w:val="18"/>
          <w:color w:val="auto"/>
        </w:rPr>
        <w:t xml:space="preserve">The Company measures certain assets and liabilities at fair value in accordance with ASC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ASC 820 defines fair value as the price that would be received to sell an asset or paid to transfer a liability (the exit price) in an</w:t>
      </w:r>
      <w:r>
        <w:rPr>
          <w:rFonts w:ascii="Arial" w:cs="Arial" w:eastAsia="Arial" w:hAnsi="Arial"/>
          <w:sz w:val="18"/>
          <w:szCs w:val="18"/>
          <w:i w:val="1"/>
          <w:iCs w:val="1"/>
          <w:color w:val="auto"/>
        </w:rPr>
        <w:t xml:space="preserve"> </w:t>
      </w:r>
      <w:r>
        <w:rPr>
          <w:rFonts w:ascii="Arial" w:cs="Arial" w:eastAsia="Arial" w:hAnsi="Arial"/>
          <w:sz w:val="18"/>
          <w:szCs w:val="18"/>
          <w:color w:val="auto"/>
        </w:rPr>
        <w:t>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12" w:lineRule="exact"/>
        <w:rPr>
          <w:sz w:val="20"/>
          <w:szCs w:val="20"/>
          <w:color w:val="auto"/>
        </w:rPr>
      </w:pPr>
    </w:p>
    <w:p>
      <w:pPr>
        <w:ind w:right="100" w:firstLine="637"/>
        <w:spacing w:after="0" w:line="255" w:lineRule="auto"/>
        <w:rPr>
          <w:sz w:val="20"/>
          <w:szCs w:val="20"/>
          <w:color w:val="auto"/>
        </w:rPr>
      </w:pPr>
      <w:r>
        <w:rPr>
          <w:rFonts w:ascii="Arial" w:cs="Arial" w:eastAsia="Arial" w:hAnsi="Arial"/>
          <w:sz w:val="18"/>
          <w:szCs w:val="18"/>
          <w:color w:val="auto"/>
        </w:rPr>
        <w:t>Cash and cash equivalents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7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199"/>
              <w:spacing w:after="0" w:line="154"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37"/>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77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221,740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FF0FC"/>
            </w:tcBorders>
          </w:tcPr>
          <w:p>
            <w:pPr>
              <w:spacing w:after="0"/>
              <w:rPr>
                <w:sz w:val="18"/>
                <w:szCs w:val="18"/>
                <w:color w:val="auto"/>
              </w:rPr>
            </w:pPr>
          </w:p>
        </w:tc>
      </w:tr>
      <w:tr>
        <w:trPr>
          <w:trHeight w:val="187"/>
        </w:trPr>
        <w:tc>
          <w:tcPr>
            <w:tcW w:w="770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Total cash, cash equivalents, and restricted cash shown in the statements</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of cash flows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222,490</w:t>
            </w:r>
          </w:p>
        </w:tc>
        <w:tc>
          <w:tcPr>
            <w:tcW w:w="5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25,207</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jc w:val="both"/>
        <w:ind w:right="140" w:firstLine="637"/>
        <w:spacing w:after="0" w:line="276" w:lineRule="auto"/>
        <w:rPr>
          <w:sz w:val="20"/>
          <w:szCs w:val="20"/>
          <w:color w:val="auto"/>
        </w:rPr>
      </w:pPr>
      <w:r>
        <w:rPr>
          <w:rFonts w:ascii="Arial" w:cs="Arial" w:eastAsia="Arial" w:hAnsi="Arial"/>
          <w:sz w:val="18"/>
          <w:szCs w:val="18"/>
          <w:color w:val="auto"/>
        </w:rPr>
        <w:t>Amounts included in restricted cash represent those amounts required to be held as a security deposit in the form of letters of credit for the Company’s credit card program and the fleet program.</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212" w:lineRule="exact"/>
        <w:rPr>
          <w:sz w:val="20"/>
          <w:szCs w:val="20"/>
          <w:color w:val="auto"/>
        </w:rPr>
      </w:pPr>
    </w:p>
    <w:p>
      <w:pPr>
        <w:ind w:right="100" w:firstLine="637"/>
        <w:spacing w:after="0" w:line="245" w:lineRule="auto"/>
        <w:rPr>
          <w:sz w:val="20"/>
          <w:szCs w:val="20"/>
          <w:color w:val="auto"/>
        </w:rPr>
      </w:pPr>
      <w:r>
        <w:rPr>
          <w:rFonts w:ascii="Arial" w:cs="Arial" w:eastAsia="Arial" w:hAnsi="Arial"/>
          <w:sz w:val="18"/>
          <w:szCs w:val="18"/>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7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September 30, 2020, three customers accounted for 100% of gross accounts receivable, Caremark LLC (“CVS Caremark”), which accounted for 33% of gross accounts receivable; PANTHERx Specialty Pharmacy LLC (“Pantherx”), which accounted for 38% of gross accounts receivable; and Accredo Health Group, Inc. (“Accredo”), which accounted for 29% of gross accounts receivable. As of December 31, 2019, two customers accounted for 91% of gross accounts receivable; CVS Caremark, which accounted for 72% of gross accounts receivable, and Pantherx, which accounted for 19% of gross accounts receivable.</w:t>
      </w:r>
    </w:p>
    <w:p>
      <w:pPr>
        <w:spacing w:after="0" w:line="176" w:lineRule="exact"/>
        <w:rPr>
          <w:sz w:val="20"/>
          <w:szCs w:val="20"/>
          <w:color w:val="auto"/>
        </w:rPr>
      </w:pPr>
    </w:p>
    <w:p>
      <w:pPr>
        <w:jc w:val="both"/>
        <w:ind w:right="240" w:firstLine="637"/>
        <w:spacing w:after="0" w:line="255" w:lineRule="auto"/>
        <w:rPr>
          <w:sz w:val="20"/>
          <w:szCs w:val="20"/>
          <w:color w:val="auto"/>
        </w:rPr>
      </w:pPr>
      <w:r>
        <w:rPr>
          <w:rFonts w:ascii="Arial" w:cs="Arial" w:eastAsia="Arial" w:hAnsi="Arial"/>
          <w:sz w:val="18"/>
          <w:szCs w:val="18"/>
          <w:color w:val="auto"/>
        </w:rPr>
        <w:t>For the nine months ended September 30, 2020, three customers accounted for 100% of gross product revenues; CVS Caremark accounted for 40% of gross product revenues; Pantherx accounted for 34% of gross product revenues; and Accredo accounted for 26% of gross product revenues. For the nine months ended September 30, 2019, revenues were zero.</w:t>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Company depends on a single source supplier for its product, product candidates and their active pharmaceutical ingredient.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 w:name="page11"/>
    <w:bookmarkEnd w:id="10"/>
    <w:p>
      <w:pPr>
        <w:ind w:left="640"/>
        <w:spacing w:after="0"/>
        <w:rPr>
          <w:sz w:val="20"/>
          <w:szCs w:val="20"/>
          <w:color w:val="auto"/>
        </w:rPr>
      </w:pPr>
      <w:r>
        <w:rPr>
          <w:rFonts w:ascii="Arial" w:cs="Arial" w:eastAsia="Arial" w:hAnsi="Arial"/>
          <w:sz w:val="18"/>
          <w:szCs w:val="18"/>
          <w:b w:val="1"/>
          <w:bCs w:val="1"/>
          <w:i w:val="1"/>
          <w:iCs w:val="1"/>
          <w:color w:val="auto"/>
        </w:rPr>
        <w:t>Cost of Product Sold</w:t>
      </w:r>
    </w:p>
    <w:p>
      <w:pPr>
        <w:spacing w:after="0" w:line="212" w:lineRule="exact"/>
        <w:rPr>
          <w:sz w:val="20"/>
          <w:szCs w:val="20"/>
          <w:color w:val="auto"/>
        </w:rPr>
      </w:pPr>
    </w:p>
    <w:p>
      <w:pPr>
        <w:ind w:right="40" w:firstLine="637"/>
        <w:spacing w:after="0" w:line="241" w:lineRule="auto"/>
        <w:rPr>
          <w:sz w:val="20"/>
          <w:szCs w:val="20"/>
          <w:color w:val="auto"/>
        </w:rPr>
      </w:pPr>
      <w:r>
        <w:rPr>
          <w:rFonts w:ascii="Arial" w:cs="Arial" w:eastAsia="Arial" w:hAnsi="Arial"/>
          <w:sz w:val="18"/>
          <w:szCs w:val="18"/>
          <w:color w:val="auto"/>
        </w:rPr>
        <w:t>Cost of product sold includes manufacturing and distribution costs, the cost of drug substance, FDA program fees, royalties due to third parties on net product sales, freight, shipping, handling, storage costs, and salaries of employees involved with production. The Company began capitalizing inventory upon FDA approval of WAKIX</w:t>
      </w:r>
      <w:r>
        <w:rPr>
          <w:rFonts w:ascii="Arial" w:cs="Arial" w:eastAsia="Arial" w:hAnsi="Arial"/>
          <w:sz w:val="15"/>
          <w:szCs w:val="15"/>
          <w:color w:val="auto"/>
        </w:rPr>
        <w:t>®</w:t>
      </w:r>
      <w:r>
        <w:rPr>
          <w:rFonts w:ascii="Arial" w:cs="Arial" w:eastAsia="Arial" w:hAnsi="Arial"/>
          <w:sz w:val="18"/>
          <w:szCs w:val="18"/>
          <w:color w:val="auto"/>
        </w:rPr>
        <w:t xml:space="preserve"> with a portion of the inventory sold during the nine months ended September 30, 2020 produced prior to FDA approval and, therefore, was previously expensed as research and development expense in 2019 in the amount of $1,323. Excluded from cost of product sold shown on the unaudited condensed consolidated statements of operations and comprehensive income (loss) is amortization of acquired developed technology of $1,867 and $5,560 for the three and nine months ended September 30, 2020, respectively.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04" w:lineRule="exact"/>
        <w:rPr>
          <w:sz w:val="20"/>
          <w:szCs w:val="20"/>
          <w:color w:val="auto"/>
        </w:rPr>
      </w:pPr>
    </w:p>
    <w:p>
      <w:pPr>
        <w:jc w:val="both"/>
        <w:ind w:right="80" w:firstLine="637"/>
        <w:spacing w:after="0" w:line="255" w:lineRule="auto"/>
        <w:rPr>
          <w:sz w:val="20"/>
          <w:szCs w:val="20"/>
          <w:color w:val="auto"/>
        </w:rPr>
      </w:pPr>
      <w:r>
        <w:rPr>
          <w:rFonts w:ascii="Arial" w:cs="Arial" w:eastAsia="Arial" w:hAnsi="Arial"/>
          <w:sz w:val="18"/>
          <w:szCs w:val="18"/>
          <w:color w:val="auto"/>
        </w:rPr>
        <w:t>We expensed the costs of advertising, including promotional expenses, as incurred. Advertising expense was $3,138 and $1,343 for the three months ended September 30, 2020 and 2019, respectively, and was $8,576 and $2,445 for the nine months ended September 30, 2020 and 2019, respectively.</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12" w:lineRule="exact"/>
        <w:rPr>
          <w:sz w:val="20"/>
          <w:szCs w:val="20"/>
          <w:color w:val="auto"/>
        </w:rPr>
      </w:pPr>
    </w:p>
    <w:p>
      <w:pPr>
        <w:ind w:firstLine="637"/>
        <w:spacing w:after="0" w:line="255" w:lineRule="auto"/>
        <w:rPr>
          <w:sz w:val="20"/>
          <w:szCs w:val="20"/>
          <w:color w:val="auto"/>
        </w:rPr>
      </w:pPr>
      <w:r>
        <w:rPr>
          <w:rFonts w:ascii="Arial" w:cs="Arial" w:eastAsia="Arial" w:hAnsi="Arial"/>
          <w:sz w:val="17"/>
          <w:szCs w:val="17"/>
          <w:color w:val="auto"/>
        </w:rPr>
        <w:t>In February 2016, the FASB issued amended guidance to increase transparency 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 a right-of-use asset, initially measured at the present value of the lease payments. For finance leases, a lessee should recognize interest on the lease liability separately from amortization of the right-of-use asset. For operating leases, a lessee should recognize a single lease cost, calculated so that the cost of the lease is allocated over the lease term on a generally straight-line basis. For leases with a term of 12 months or less, a lessee is permitted to make an accounting policy election not to recognize lease assets and lease liabilities. The new standard will become effective for the Company’s fiscal year ending December 31, 2022. The Company is currently assessing the impact of this amended guidance and the timing of adoption.</w:t>
      </w:r>
    </w:p>
    <w:p>
      <w:pPr>
        <w:spacing w:after="0" w:line="164" w:lineRule="exact"/>
        <w:rPr>
          <w:sz w:val="20"/>
          <w:szCs w:val="20"/>
          <w:color w:val="auto"/>
        </w:rPr>
      </w:pPr>
    </w:p>
    <w:p>
      <w:pPr>
        <w:ind w:right="40" w:firstLine="637"/>
        <w:spacing w:after="0" w:line="24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ASU No. 2016-13 introduces an approach, based on expected losses, to estimate credit losses on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and modifies the impairment model for available-for-sale debt securities. The new standard is effective for fiscal years, and interim periods within those fiscal years, beginning after December 15, 2022 for companies deemed to be small reporting companies as of November 15, 2019, with early adoption permitted. The Company is currently evaluating the potential impact of adoption of this standard on its results of operations, financial position and cash flows and related disclosures.</w:t>
      </w:r>
    </w:p>
    <w:p>
      <w:pPr>
        <w:spacing w:after="0" w:line="174"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4. INVENTORY</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7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right"/>
              <w:ind w:right="580"/>
              <w:spacing w:after="0" w:line="154"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35"/>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77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Inventory, gross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Reserve for obsolescence</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Total inventory,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INTANGIBLE ASSET</w:t>
      </w:r>
    </w:p>
    <w:p>
      <w:pPr>
        <w:spacing w:after="0" w:line="103" w:lineRule="exact"/>
        <w:rPr>
          <w:sz w:val="20"/>
          <w:szCs w:val="20"/>
          <w:color w:val="auto"/>
        </w:rPr>
      </w:pPr>
    </w:p>
    <w:p>
      <w:pPr>
        <w:ind w:right="40" w:firstLine="637"/>
        <w:spacing w:after="0" w:line="243" w:lineRule="auto"/>
        <w:rPr>
          <w:sz w:val="20"/>
          <w:szCs w:val="20"/>
          <w:color w:val="auto"/>
        </w:rPr>
      </w:pPr>
      <w:r>
        <w:rPr>
          <w:rFonts w:ascii="Arial" w:cs="Arial" w:eastAsia="Arial" w:hAnsi="Arial"/>
          <w:sz w:val="18"/>
          <w:szCs w:val="18"/>
          <w:color w:val="auto"/>
        </w:rPr>
        <w:t>On August 15, 2019, the Company received FDA approval of WAKIX</w:t>
      </w:r>
      <w:r>
        <w:rPr>
          <w:rFonts w:ascii="Arial" w:cs="Arial" w:eastAsia="Arial" w:hAnsi="Arial"/>
          <w:sz w:val="15"/>
          <w:szCs w:val="15"/>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associated with the License Agreement which the Company capitalized as an intangible asset and paid in November of 2019. The Company determined a useful life of 10 years for such intangible asset, and, as of September 30, 2020 the remaining useful life was 9 years. The Company expects the annual amortization to be $7,407 for the next five years. Prior to this event, all other milestones associated with the License Agreement were expensed through research and development as they did not meet the criteria to be recognized as an intangible asset.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gross carrying amount and net book value of the intangible asset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7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460"/>
              <w:spacing w:after="0" w:line="154"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37"/>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77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(2,815)</w:t>
            </w: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Book Value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72,185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LICENSE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28, 2017, Harmony entered into the License Agreement whereby Harmony acquired the exclusive right to commercialize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compound pitolisant for the treatment, and/or prevention, of narcolepsy, obstructive sleep apnea, idiopathic hypersomnia,</w:t>
      </w:r>
    </w:p>
    <w:p>
      <w:pPr>
        <w:spacing w:after="0" w:line="234" w:lineRule="auto"/>
        <w:rPr>
          <w:sz w:val="20"/>
          <w:szCs w:val="20"/>
          <w:color w:val="auto"/>
        </w:rPr>
      </w:pPr>
      <w:r>
        <w:rPr>
          <w:rFonts w:ascii="Arial" w:cs="Arial" w:eastAsia="Arial" w:hAnsi="Arial"/>
          <w:sz w:val="18"/>
          <w:szCs w:val="18"/>
          <w:color w:val="auto"/>
        </w:rPr>
        <w:t>and Parkinson’s disease as well as any other indications unanimously agreed by the parties in the United States and its territories. A</w:t>
      </w:r>
    </w:p>
    <w:p>
      <w:pPr>
        <w:spacing w:after="0" w:line="235" w:lineRule="auto"/>
        <w:rPr>
          <w:sz w:val="20"/>
          <w:szCs w:val="20"/>
          <w:color w:val="auto"/>
        </w:rPr>
      </w:pPr>
      <w:r>
        <w:rPr>
          <w:rFonts w:ascii="Arial" w:cs="Arial" w:eastAsia="Arial" w:hAnsi="Arial"/>
          <w:sz w:val="18"/>
          <w:szCs w:val="18"/>
          <w:color w:val="auto"/>
        </w:rPr>
        <w:t>milestone payment of $50,000 was due upon acceptance by the FDA of pitolisant’s New Drug Application (“NDA”), which was achieved on</w:t>
      </w:r>
    </w:p>
    <w:p>
      <w:pPr>
        <w:spacing w:after="0" w:line="235" w:lineRule="auto"/>
        <w:rPr>
          <w:sz w:val="20"/>
          <w:szCs w:val="20"/>
          <w:color w:val="auto"/>
        </w:rPr>
      </w:pPr>
      <w:r>
        <w:rPr>
          <w:rFonts w:ascii="Arial" w:cs="Arial" w:eastAsia="Arial" w:hAnsi="Arial"/>
          <w:sz w:val="18"/>
          <w:szCs w:val="18"/>
          <w:color w:val="auto"/>
        </w:rPr>
        <w:t>February 12, 2019 and was expensed within research and development for the nine months ended September 30, 2019. A milestone</w:t>
      </w:r>
    </w:p>
    <w:p>
      <w:pPr>
        <w:spacing w:after="0" w:line="235" w:lineRule="auto"/>
        <w:rPr>
          <w:sz w:val="20"/>
          <w:szCs w:val="20"/>
          <w:color w:val="auto"/>
        </w:rPr>
      </w:pPr>
      <w:r>
        <w:rPr>
          <w:rFonts w:ascii="Arial" w:cs="Arial" w:eastAsia="Arial" w:hAnsi="Arial"/>
          <w:sz w:val="18"/>
          <w:szCs w:val="18"/>
          <w:color w:val="auto"/>
        </w:rPr>
        <w:t>payment of $77,000, including a $2,000 fee, was due upon FDA approval of WAKIX</w:t>
      </w:r>
      <w:r>
        <w:rPr>
          <w:rFonts w:ascii="Arial" w:cs="Arial" w:eastAsia="Arial" w:hAnsi="Arial"/>
          <w:sz w:val="15"/>
          <w:szCs w:val="15"/>
          <w:color w:val="auto"/>
        </w:rPr>
        <w:t>®</w:t>
      </w:r>
      <w:r>
        <w:rPr>
          <w:rFonts w:ascii="Arial" w:cs="Arial" w:eastAsia="Arial" w:hAnsi="Arial"/>
          <w:sz w:val="18"/>
          <w:szCs w:val="18"/>
          <w:color w:val="auto"/>
        </w:rPr>
        <w:t xml:space="preserve"> (pitolisant) for treatment of EDS in adult patients with</w:t>
      </w:r>
    </w:p>
    <w:p>
      <w:pPr>
        <w:spacing w:after="0" w:line="235" w:lineRule="auto"/>
        <w:rPr>
          <w:sz w:val="20"/>
          <w:szCs w:val="20"/>
          <w:color w:val="auto"/>
        </w:rPr>
      </w:pPr>
      <w:r>
        <w:rPr>
          <w:rFonts w:ascii="Arial" w:cs="Arial" w:eastAsia="Arial" w:hAnsi="Arial"/>
          <w:sz w:val="18"/>
          <w:szCs w:val="18"/>
          <w:color w:val="auto"/>
        </w:rPr>
        <w:t>narcolepsy, which was achieved on August 14, 2019. The $2,000 payment and $75,000 milestone payment were paid in August and</w:t>
      </w:r>
    </w:p>
    <w:p>
      <w:pPr>
        <w:spacing w:after="0" w:line="234" w:lineRule="auto"/>
        <w:rPr>
          <w:sz w:val="20"/>
          <w:szCs w:val="20"/>
          <w:color w:val="auto"/>
        </w:rPr>
      </w:pPr>
      <w:r>
        <w:rPr>
          <w:rFonts w:ascii="Arial" w:cs="Arial" w:eastAsia="Arial" w:hAnsi="Arial"/>
          <w:sz w:val="18"/>
          <w:szCs w:val="18"/>
          <w:color w:val="auto"/>
        </w:rPr>
        <w:t>November 2019, respectively. In addition, a payment of $2,000 is due upon the FDA approval of the NDA for WAKIX</w:t>
      </w:r>
      <w:r>
        <w:rPr>
          <w:rFonts w:ascii="Arial" w:cs="Arial" w:eastAsia="Arial" w:hAnsi="Arial"/>
          <w:sz w:val="15"/>
          <w:szCs w:val="15"/>
          <w:color w:val="auto"/>
        </w:rPr>
        <w:t>®</w:t>
      </w:r>
      <w:r>
        <w:rPr>
          <w:rFonts w:ascii="Arial" w:cs="Arial" w:eastAsia="Arial" w:hAnsi="Arial"/>
          <w:sz w:val="18"/>
          <w:szCs w:val="18"/>
          <w:color w:val="auto"/>
        </w:rPr>
        <w:t xml:space="preserve"> for the treatment of</w:t>
      </w:r>
    </w:p>
    <w:p>
      <w:pPr>
        <w:spacing w:after="0" w:line="235" w:lineRule="auto"/>
        <w:rPr>
          <w:sz w:val="20"/>
          <w:szCs w:val="20"/>
          <w:color w:val="auto"/>
        </w:rPr>
      </w:pPr>
      <w:r>
        <w:rPr>
          <w:rFonts w:ascii="Arial" w:cs="Arial" w:eastAsia="Arial" w:hAnsi="Arial"/>
          <w:sz w:val="18"/>
          <w:szCs w:val="18"/>
          <w:color w:val="auto"/>
        </w:rPr>
        <w:t>cataplexy in adult patients with narcolepsy (the “Trigger Date”) which was paid in October 2020 and a $100,000 milestone payment is due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within 90 days of the Trigger Date. An additional $40,000 milestone payment is due to Bioprojet upon WAKIX attaining $500,000 in aggregate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sales in the United States. The License Agreement also requires sales-based milestone payments, a fixed trademark royalty and a tiered</w:t>
      </w:r>
    </w:p>
    <w:p>
      <w:pPr>
        <w:spacing w:after="0" w:line="234" w:lineRule="auto"/>
        <w:rPr>
          <w:sz w:val="20"/>
          <w:szCs w:val="20"/>
          <w:color w:val="auto"/>
        </w:rPr>
      </w:pPr>
      <w:r>
        <w:rPr>
          <w:rFonts w:ascii="Arial" w:cs="Arial" w:eastAsia="Arial" w:hAnsi="Arial"/>
          <w:sz w:val="18"/>
          <w:szCs w:val="18"/>
          <w:color w:val="auto"/>
        </w:rPr>
        <w:t>royalty, all based on net sales, which become due and payable to Bioprojet on a quarterly basis. During the nine months ended</w:t>
      </w:r>
    </w:p>
    <w:p>
      <w:pPr>
        <w:spacing w:after="0" w:line="235" w:lineRule="auto"/>
        <w:rPr>
          <w:sz w:val="20"/>
          <w:szCs w:val="20"/>
          <w:color w:val="auto"/>
        </w:rPr>
      </w:pPr>
      <w:r>
        <w:rPr>
          <w:rFonts w:ascii="Arial" w:cs="Arial" w:eastAsia="Arial" w:hAnsi="Arial"/>
          <w:sz w:val="18"/>
          <w:szCs w:val="18"/>
          <w:color w:val="auto"/>
        </w:rPr>
        <w:t>September 30, 2020, the Company has incurred $16,574 for sales-based, trademark and tiered royalties recognized as cost of product sold.</w:t>
      </w:r>
    </w:p>
    <w:p>
      <w:pPr>
        <w:spacing w:after="0" w:line="235" w:lineRule="auto"/>
        <w:rPr>
          <w:sz w:val="20"/>
          <w:szCs w:val="20"/>
          <w:color w:val="auto"/>
        </w:rPr>
      </w:pPr>
      <w:r>
        <w:rPr>
          <w:rFonts w:ascii="Arial" w:cs="Arial" w:eastAsia="Arial" w:hAnsi="Arial"/>
          <w:sz w:val="18"/>
          <w:szCs w:val="18"/>
          <w:color w:val="auto"/>
        </w:rPr>
        <w:t>As of September 30, 2020 and December 31, 2019, the Company had accrued $7,297 and $938, respectively, for sales-based, trademark</w:t>
      </w:r>
    </w:p>
    <w:p>
      <w:pPr>
        <w:spacing w:after="0"/>
        <w:rPr>
          <w:sz w:val="20"/>
          <w:szCs w:val="20"/>
          <w:color w:val="auto"/>
        </w:rPr>
      </w:pPr>
      <w:r>
        <w:rPr>
          <w:rFonts w:ascii="Arial" w:cs="Arial" w:eastAsia="Arial" w:hAnsi="Arial"/>
          <w:sz w:val="18"/>
          <w:szCs w:val="18"/>
          <w:color w:val="auto"/>
        </w:rPr>
        <w:t>and tiered royalties.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7. ACCRUED EXPENSES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4"/>
        </w:trPr>
        <w:tc>
          <w:tcPr>
            <w:tcW w:w="7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ind w:left="80"/>
              <w:spacing w:after="0" w:line="154"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234"/>
              <w:spacing w:after="0" w:line="154"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r>
      <w:tr>
        <w:trPr>
          <w:trHeight w:val="177"/>
        </w:trPr>
        <w:tc>
          <w:tcPr>
            <w:tcW w:w="77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Royalties due to third parties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Rebates and other sales deductions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 consulting, and other services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Employee travel and other expenses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DEBT</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04"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On February 28, 2019, the Company entered into a multi-draw loan agreement with CRG Servicing LLC for an aggregate of $200,000 (the “CRG Loan”), which matured in March 2025. The Loan bore a fixed rate of 12%. The Loan agreement required compliance with certain financial covenants. The Company could draw three tranches of the Loan based on achieving specific milestones and dates. The Company could elect to pay the interest on the outstanding principal amount as follows: (i) only 7.5% of the 12% per annum in cash, paid quarterly, starting in March 2019, and (ii) 4.5% of the 12% per annum interest as compounded interest, added to the aggregate outstanding principal balance quarterly; the amount of any such compounded interest being a paid-in-kind loan.</w:t>
      </w:r>
    </w:p>
    <w:p>
      <w:pPr>
        <w:spacing w:after="0" w:line="174"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As of December 31, 2019, the Company had borrowed $100,000, resulting in cash proceeds received of $94,816, net of issuance costs. The issuance costs of $5,184 were being amortized over the six-year loan term of the CRG Loan. Unamortized debt issuance costs as of December 31, 2019 are $4,592 and are presented in the unaudited condensed consolidated balance sheets as a direct deduction from the carrying value of the debt.</w:t>
      </w:r>
    </w:p>
    <w:p>
      <w:pPr>
        <w:spacing w:after="0" w:line="170" w:lineRule="exact"/>
        <w:rPr>
          <w:sz w:val="20"/>
          <w:szCs w:val="20"/>
          <w:color w:val="auto"/>
        </w:rPr>
      </w:pPr>
    </w:p>
    <w:p>
      <w:pPr>
        <w:ind w:right="40" w:firstLine="637"/>
        <w:spacing w:after="0" w:line="239" w:lineRule="auto"/>
        <w:rPr>
          <w:sz w:val="20"/>
          <w:szCs w:val="20"/>
          <w:color w:val="auto"/>
        </w:rPr>
      </w:pPr>
      <w:r>
        <w:rPr>
          <w:rFonts w:ascii="Arial" w:cs="Arial" w:eastAsia="Arial" w:hAnsi="Arial"/>
          <w:sz w:val="18"/>
          <w:szCs w:val="18"/>
          <w:color w:val="auto"/>
        </w:rPr>
        <w:t>On January 9, 2020 the Company entered into a credit agreement with OrbiMed Royalty &amp; Credit Opportunities, LP for an aggregate amount of $200,000 (the “OrbiMed Loan”), which matures in January 2026. Borrowings under the OrbiMed Loan are collateralized by all of the Company’s assets, excluding the intellectual property licensed through the License Agreement. The OrbiMed Loan bears an interest rate equal to the sum of (i) the greater of (a) 1-month LIBOR or (b) 2.00% per annum, plus (ii) 11.00% per annum, paid in cash monthly in arrears on the last day of each month starting in January 2020. In addition to entering into the OrbiMed Loan, the Company extinguished the CRG Loan which required a payoff amount of $120,893 consisting of principal repayment, interest, and exit fees. In connection with extinguishment of the CRG Loan, we recognized a loss on extinguishment of $22,639, which included an exit fee of $18,047 and the write-off of the remaining unamortized debt issuance costs of $4,592. The loss on extinguishment of debt was recorded in loss on debt extinguishment within the Company’s unaudited condensed consolidated statements of operations. The net cash received as a result of the transaction, less debt issuance costs of $5,778, was $73,313. These debt issuance costs will be amortized as additional interest expense over the six-year loan term of the OrbiMed Loan. The fair value of the OrbiMed loan as of September 30, 2020 was $210,400.</w:t>
      </w:r>
    </w:p>
    <w:p>
      <w:pPr>
        <w:spacing w:after="0" w:line="244" w:lineRule="exact"/>
        <w:rPr>
          <w:sz w:val="20"/>
          <w:szCs w:val="20"/>
          <w:color w:val="auto"/>
        </w:rPr>
      </w:pPr>
    </w:p>
    <w:p>
      <w:pPr>
        <w:ind w:right="140" w:firstLine="637"/>
        <w:spacing w:after="0" w:line="255" w:lineRule="auto"/>
        <w:rPr>
          <w:sz w:val="20"/>
          <w:szCs w:val="20"/>
          <w:color w:val="auto"/>
        </w:rPr>
      </w:pPr>
      <w:r>
        <w:rPr>
          <w:rFonts w:ascii="Arial" w:cs="Arial" w:eastAsia="Arial" w:hAnsi="Arial"/>
          <w:sz w:val="17"/>
          <w:szCs w:val="17"/>
          <w:color w:val="auto"/>
        </w:rPr>
        <w:t>In connection with the OrbiMed Loan, the Company issued warrants (the “Warrants”) to OrbiMed Royalty &amp; Credit Opportunities, LP on January 9, 2020. See Note 13 for further discussion of the Warrants. Pursuant to the Warrants, OrbiMed Royalty &amp; Credit Opportunities, LP, may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at January 9, 2020. The portion of the OrbiMed Loan proceeds allocated to the warrant liability resulted in a debt discount, which is presented in the unaudited condensed consolidated balance sheets as a direct deduction from the carrying value of the debt and is being amortized as additional interest expense over the six-year loan term of the OrbiMed Loan. The unamortized debt discount as of September 30, 2020 is $2,064 and is presented in the unaudited condensed consolidated balance sheets as a direct deduction from the carrying value of the debt.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3" w:name="page14"/>
    <w:bookmarkEnd w:id="13"/>
    <w:p>
      <w:pPr>
        <w:ind w:left="640"/>
        <w:spacing w:after="0"/>
        <w:rPr>
          <w:sz w:val="20"/>
          <w:szCs w:val="20"/>
          <w:color w:val="auto"/>
        </w:rPr>
      </w:pPr>
      <w:r>
        <w:rPr>
          <w:rFonts w:ascii="Arial" w:cs="Arial" w:eastAsia="Arial" w:hAnsi="Arial"/>
          <w:sz w:val="18"/>
          <w:szCs w:val="18"/>
          <w:color w:val="auto"/>
        </w:rPr>
        <w:t>The balances of the OrbiMed Loan as of September 30, 2020 and the CRG Loan as of December 31, 2019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9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Liability component - principal</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102,538</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Debt discount associated with warrant financing</w:t>
            </w:r>
          </w:p>
        </w:tc>
        <w:tc>
          <w:tcPr>
            <w:tcW w:w="30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(5,078)</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(4,592)</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Liability component - net carrying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192,858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97,946</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00" w:firstLine="637"/>
        <w:spacing w:after="0" w:line="276" w:lineRule="auto"/>
        <w:rPr>
          <w:sz w:val="20"/>
          <w:szCs w:val="20"/>
          <w:color w:val="auto"/>
        </w:rPr>
      </w:pPr>
      <w:r>
        <w:rPr>
          <w:rFonts w:ascii="Arial" w:cs="Arial" w:eastAsia="Arial" w:hAnsi="Arial"/>
          <w:sz w:val="18"/>
          <w:szCs w:val="18"/>
          <w:color w:val="auto"/>
        </w:rPr>
        <w:t>Interest expense related to the OrbiMed Loan and CRG Loan were included in interest expense, net in the Condensed Consolidated Statements of Operations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For the nine months ended</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r>
      <w:tr>
        <w:trPr>
          <w:trHeight w:val="210"/>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on principal balance</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6,655</w:t>
            </w: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2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on PIK</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4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FF0FC"/>
          </w:tcPr>
          <w:p>
            <w:pPr>
              <w:spacing w:after="0"/>
              <w:rPr>
                <w:sz w:val="18"/>
                <w:szCs w:val="18"/>
                <w:color w:val="auto"/>
              </w:rPr>
            </w:pPr>
          </w:p>
        </w:tc>
      </w:tr>
      <w:tr>
        <w:trPr>
          <w:trHeight w:val="209"/>
        </w:trPr>
        <w:tc>
          <w:tcPr>
            <w:tcW w:w="4940" w:type="dxa"/>
            <w:vAlign w:val="bottom"/>
          </w:tcPr>
          <w:p>
            <w:pPr>
              <w:ind w:left="160"/>
              <w:spacing w:after="0"/>
              <w:rPr>
                <w:sz w:val="20"/>
                <w:szCs w:val="20"/>
                <w:color w:val="auto"/>
              </w:rPr>
            </w:pPr>
            <w:r>
              <w:rPr>
                <w:rFonts w:ascii="Arial" w:cs="Arial" w:eastAsia="Arial" w:hAnsi="Arial"/>
                <w:sz w:val="18"/>
                <w:szCs w:val="18"/>
                <w:color w:val="auto"/>
              </w:rPr>
              <w:t>Total term loan interest expense</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20,569</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640" w:right="7680" w:hanging="632"/>
        <w:spacing w:after="0" w:line="360" w:lineRule="auto"/>
        <w:tabs>
          <w:tab w:leader="none" w:pos="203"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Litigation</w:t>
      </w:r>
    </w:p>
    <w:p>
      <w:pPr>
        <w:ind w:right="40" w:firstLine="637"/>
        <w:spacing w:after="0" w:line="276"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145" w:lineRule="exact"/>
        <w:rPr>
          <w:sz w:val="20"/>
          <w:szCs w:val="20"/>
          <w:color w:val="auto"/>
        </w:rPr>
      </w:pPr>
    </w:p>
    <w:p>
      <w:pPr>
        <w:ind w:right="80" w:firstLine="637"/>
        <w:spacing w:after="0" w:line="255" w:lineRule="auto"/>
        <w:rPr>
          <w:sz w:val="20"/>
          <w:szCs w:val="20"/>
          <w:color w:val="auto"/>
        </w:rPr>
      </w:pPr>
      <w:r>
        <w:rPr>
          <w:rFonts w:ascii="Arial" w:cs="Arial" w:eastAsia="Arial" w:hAnsi="Arial"/>
          <w:sz w:val="18"/>
          <w:szCs w:val="18"/>
          <w:color w:val="auto"/>
        </w:rPr>
        <w:t>During 2018 and 2019 the Company was involved in ongoing litigation with its former chief executive officer related to arbitration and the value of vested common shares. On October 24, 2019, the Company reached a settlement resulting in $3,466 of general and administrative expense reflected in the Company’s consolidated results of operations for the year ended December 31, 2019.</w:t>
      </w: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04" w:lineRule="exact"/>
        <w:rPr>
          <w:sz w:val="20"/>
          <w:szCs w:val="20"/>
          <w:color w:val="auto"/>
        </w:rPr>
      </w:pPr>
    </w:p>
    <w:p>
      <w:pPr>
        <w:ind w:right="920" w:firstLine="637"/>
        <w:spacing w:after="0" w:line="276" w:lineRule="auto"/>
        <w:rPr>
          <w:sz w:val="20"/>
          <w:szCs w:val="20"/>
          <w:color w:val="auto"/>
        </w:rPr>
      </w:pPr>
      <w:r>
        <w:rPr>
          <w:rFonts w:ascii="Arial" w:cs="Arial" w:eastAsia="Arial" w:hAnsi="Arial"/>
          <w:sz w:val="18"/>
          <w:szCs w:val="18"/>
          <w:color w:val="auto"/>
        </w:rPr>
        <w:t>In April 2018, the Company entered into an operating lease for approximately nine thousand square feet of office space in Northbrook, IL, which expired in January 2020.</w:t>
      </w:r>
    </w:p>
    <w:p>
      <w:pPr>
        <w:spacing w:after="0" w:line="145" w:lineRule="exact"/>
        <w:rPr>
          <w:sz w:val="20"/>
          <w:szCs w:val="20"/>
          <w:color w:val="auto"/>
        </w:rPr>
      </w:pPr>
    </w:p>
    <w:p>
      <w:pPr>
        <w:ind w:right="740" w:firstLine="637"/>
        <w:spacing w:after="0" w:line="276"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w:t>
      </w:r>
    </w:p>
    <w:p>
      <w:pPr>
        <w:spacing w:after="0" w:line="145" w:lineRule="exact"/>
        <w:rPr>
          <w:sz w:val="20"/>
          <w:szCs w:val="20"/>
          <w:color w:val="auto"/>
        </w:rPr>
      </w:pPr>
    </w:p>
    <w:p>
      <w:pPr>
        <w:ind w:right="480" w:firstLine="637"/>
        <w:spacing w:after="0" w:line="276" w:lineRule="auto"/>
        <w:rPr>
          <w:sz w:val="20"/>
          <w:szCs w:val="20"/>
          <w:color w:val="auto"/>
        </w:rPr>
      </w:pPr>
      <w:r>
        <w:rPr>
          <w:rFonts w:ascii="Arial" w:cs="Arial" w:eastAsia="Arial" w:hAnsi="Arial"/>
          <w:sz w:val="18"/>
          <w:szCs w:val="18"/>
          <w:color w:val="auto"/>
        </w:rPr>
        <w:t>In November 2019, the Company entered into an operating lease for approximately four thousand square feet of office space in Chicago, IL, which expires in December 2020.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ind w:right="120" w:firstLine="637"/>
        <w:spacing w:after="0" w:line="245" w:lineRule="auto"/>
        <w:rPr>
          <w:sz w:val="20"/>
          <w:szCs w:val="20"/>
          <w:color w:val="auto"/>
        </w:rPr>
      </w:pPr>
      <w:r>
        <w:rPr>
          <w:rFonts w:ascii="Arial" w:cs="Arial" w:eastAsia="Arial" w:hAnsi="Arial"/>
          <w:sz w:val="18"/>
          <w:szCs w:val="18"/>
          <w:color w:val="auto"/>
        </w:rPr>
        <w:t>The terms of the lease payments provide for rental payments on a monthly basis and on a graduated scale. The Company recognizes rent expense on a straight-line basis over the lease period and has accrued for rent expense incurred but not paid. In addition, tenant improvement allowances recorded are amortized as a reduction to rent expense on a straight-line basis over the lease term. Rent expense was $516 for the nine months ended September 30, 2020, compared to $442 for the nine months ended September 30, 2019. The following table sets forth the lease payment obligations as of September 30, 2020, for the periods indicated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60"/>
              <w:spacing w:after="0"/>
              <w:rPr>
                <w:sz w:val="20"/>
                <w:szCs w:val="20"/>
                <w:color w:val="auto"/>
              </w:rPr>
            </w:pPr>
            <w:r>
              <w:rPr>
                <w:rFonts w:ascii="Arial" w:cs="Arial" w:eastAsia="Arial" w:hAnsi="Arial"/>
                <w:sz w:val="18"/>
                <w:szCs w:val="18"/>
                <w:color w:val="auto"/>
              </w:rPr>
              <w:t>2020</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2021</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60"/>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7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260"/>
              <w:spacing w:after="0"/>
              <w:rPr>
                <w:sz w:val="20"/>
                <w:szCs w:val="20"/>
                <w:color w:val="auto"/>
              </w:rPr>
            </w:pPr>
            <w:r>
              <w:rPr>
                <w:rFonts w:ascii="Arial" w:cs="Arial" w:eastAsia="Arial" w:hAnsi="Arial"/>
                <w:sz w:val="18"/>
                <w:szCs w:val="18"/>
                <w:color w:val="auto"/>
              </w:rPr>
              <w:t>2024</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w:t>
            </w:r>
          </w:p>
        </w:tc>
        <w:tc>
          <w:tcPr>
            <w:tcW w:w="7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92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CONVERTIBLE PREFERRED STOCK</w:t>
      </w:r>
    </w:p>
    <w:p>
      <w:pPr>
        <w:spacing w:after="0" w:line="104" w:lineRule="exact"/>
        <w:rPr>
          <w:sz w:val="20"/>
          <w:szCs w:val="20"/>
          <w:color w:val="auto"/>
        </w:rPr>
      </w:pPr>
    </w:p>
    <w:p>
      <w:pPr>
        <w:ind w:right="20" w:firstLine="637"/>
        <w:spacing w:after="0" w:line="277" w:lineRule="auto"/>
        <w:rPr>
          <w:sz w:val="20"/>
          <w:szCs w:val="20"/>
          <w:color w:val="auto"/>
        </w:rPr>
      </w:pPr>
      <w:r>
        <w:rPr>
          <w:rFonts w:ascii="Arial" w:cs="Arial" w:eastAsia="Arial" w:hAnsi="Arial"/>
          <w:sz w:val="17"/>
          <w:szCs w:val="17"/>
          <w:color w:val="auto"/>
        </w:rPr>
        <w:t>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04"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On September 22, 2017, the Company issued 270,000,000 shares of Series A convertible preferred stock for a purchase price of $1.00 per share, or $ 270,000 in the aggregate. On January 8, 2018, the Company issued an additional 15,000,000 shares of Series A convertible preferred stock for a purchase price of $1.00 per share, or $15,000 in the aggregate. As of December 31, 2019, there were 286,000,000 Series A convertible preferred stock authorized of which 285,000,000 were issued and outstanding.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 As of September 30, 2020, Series A preferred shares and the cumulative unpaid preferred dividends reflect the reverse stock split and conversion to common stock.</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104"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color w:val="auto"/>
        </w:rPr>
        <w:t>On January 8, 2018, the Company issued 8,000,000 shares of Series B convertible preferred stock for a purchase price of $1.25 per share, or $10,000 in the aggregate. As of December 31, 2019, there were 8,030,000 shares of Series B convertible preferred stock authorized, of which 8,000,000 were issued and outstanding. Each 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 As of September 30, 2020, Series B preferred shares and the cumulative unpaid preferred dividends reflect the reverse stock split and conversion to common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104" w:lineRule="exact"/>
        <w:rPr>
          <w:sz w:val="20"/>
          <w:szCs w:val="20"/>
          <w:color w:val="auto"/>
        </w:rPr>
      </w:pPr>
    </w:p>
    <w:p>
      <w:pPr>
        <w:ind w:right="60" w:firstLine="637"/>
        <w:spacing w:after="0" w:line="241" w:lineRule="auto"/>
        <w:rPr>
          <w:sz w:val="20"/>
          <w:szCs w:val="20"/>
          <w:color w:val="auto"/>
        </w:rPr>
      </w:pPr>
      <w:r>
        <w:rPr>
          <w:rFonts w:ascii="Arial" w:cs="Arial" w:eastAsia="Arial" w:hAnsi="Arial"/>
          <w:sz w:val="18"/>
          <w:szCs w:val="18"/>
          <w:color w:val="auto"/>
        </w:rPr>
        <w:t>On August 9, 2019, the Company issued 25,510,205 shares of Series C convertible preferred stock for a purchase price of $1.96 per share, or $50,000 in the aggregate. As December 31, 2019, there were 25,600,000 shares of Series C convertible preferred stock authorized, of which 25,510,205 were issued and outstanding.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 As of September 30, 2020, Series C preferred shares and the cumulative unpaid preferred dividends reflect the reverse stock split and conversion to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5" w:name="page16"/>
    <w:bookmarkEnd w:id="15"/>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288" w:lineRule="exact"/>
        <w:rPr>
          <w:sz w:val="20"/>
          <w:szCs w:val="20"/>
          <w:color w:val="auto"/>
        </w:rPr>
      </w:pPr>
    </w:p>
    <w:p>
      <w:pPr>
        <w:ind w:left="640" w:right="7780" w:hanging="632"/>
        <w:spacing w:after="0" w:line="360" w:lineRule="auto"/>
        <w:tabs>
          <w:tab w:leader="none" w:pos="29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 (DEFICIT) Common Stock</w:t>
      </w:r>
    </w:p>
    <w:p>
      <w:pPr>
        <w:ind w:right="320" w:firstLine="637"/>
        <w:spacing w:after="0" w:line="255" w:lineRule="auto"/>
        <w:rPr>
          <w:sz w:val="20"/>
          <w:szCs w:val="20"/>
          <w:color w:val="auto"/>
        </w:rPr>
      </w:pPr>
      <w:r>
        <w:rPr>
          <w:rFonts w:ascii="Arial" w:cs="Arial" w:eastAsia="Arial" w:hAnsi="Arial"/>
          <w:sz w:val="18"/>
          <w:szCs w:val="18"/>
          <w:color w:val="auto"/>
        </w:rPr>
        <w:t>On September 19, 2017, Harmony Biosciences II, LLC, was converted to a C corporation named Harmony Biosciences II, Inc., at which point the 7,709,434 outstanding common units of Harmony Biosciences II, LLC, were converted to 7,709,434 common shares of Harmony Biosciences II, Inc.</w:t>
      </w:r>
    </w:p>
    <w:p>
      <w:pPr>
        <w:spacing w:after="0" w:line="164" w:lineRule="exact"/>
        <w:rPr>
          <w:sz w:val="20"/>
          <w:szCs w:val="20"/>
          <w:color w:val="auto"/>
        </w:rPr>
      </w:pPr>
    </w:p>
    <w:p>
      <w:pPr>
        <w:ind w:right="140" w:firstLine="637"/>
        <w:spacing w:after="0" w:line="243" w:lineRule="auto"/>
        <w:rPr>
          <w:sz w:val="20"/>
          <w:szCs w:val="20"/>
          <w:color w:val="auto"/>
        </w:rPr>
      </w:pPr>
      <w:r>
        <w:rPr>
          <w:rFonts w:ascii="Arial" w:cs="Arial" w:eastAsia="Arial" w:hAnsi="Arial"/>
          <w:sz w:val="18"/>
          <w:szCs w:val="18"/>
          <w:color w:val="auto"/>
        </w:rPr>
        <w:t>On September 22, 2017, the Company issued warrants for 1,690,672 common shares, with an exercise price of $0.01 per share, to the holders of the Convertible Notes upon the consummation of an equity financing transaction and these warrants were immediately exercised resulting in the issuance of 1,690,672 common shares and proceeds of $139.</w:t>
      </w:r>
    </w:p>
    <w:p>
      <w:pPr>
        <w:ind w:left="640"/>
        <w:spacing w:after="0" w:line="235" w:lineRule="auto"/>
        <w:rPr>
          <w:sz w:val="20"/>
          <w:szCs w:val="20"/>
          <w:color w:val="auto"/>
        </w:rPr>
      </w:pPr>
      <w:r>
        <w:rPr>
          <w:rFonts w:ascii="Arial" w:cs="Arial" w:eastAsia="Arial" w:hAnsi="Arial"/>
          <w:sz w:val="18"/>
          <w:szCs w:val="18"/>
          <w:color w:val="auto"/>
        </w:rPr>
        <w:t>On August 31, 2018, the Company repurchased and canceled 1,623,007 common shares from the former chief executive officer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$3,200.</w:t>
      </w:r>
    </w:p>
    <w:p>
      <w:pPr>
        <w:spacing w:after="0" w:line="190"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As of August 11, 2020, all outstanding shares of preferred stock and preferred stock dividend were convertible into shares of common stock on a 1-for-8.215 basis. On August 21, 2020, the Company completed its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incurred by the Company.</w:t>
      </w:r>
    </w:p>
    <w:p>
      <w:pPr>
        <w:spacing w:after="0" w:line="176"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2"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1,217,285 common shares held by an investor were subject to certain forfeiture provisions that are dependent upon the outcome of certain future events. On November 15, 2019, the Company removed the provision associated with this forfeiture resulting in $ 8,400 of noncash stock compensation expense reflected in the Company’s unaudited condensed consolidated results of operations for the year ended December 31, 2019.</w:t>
      </w:r>
    </w:p>
    <w:p>
      <w:pPr>
        <w:spacing w:after="0" w:line="170" w:lineRule="exact"/>
        <w:rPr>
          <w:sz w:val="20"/>
          <w:szCs w:val="20"/>
          <w:color w:val="auto"/>
        </w:rPr>
      </w:pPr>
    </w:p>
    <w:p>
      <w:pPr>
        <w:ind w:left="640" w:right="5420" w:hanging="632"/>
        <w:spacing w:after="0" w:line="360" w:lineRule="auto"/>
        <w:tabs>
          <w:tab w:leader="none" w:pos="303"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INCENTIVE PLAN AND STOCK-BASED COMPENSATION Stock Incentive Plan</w:t>
      </w:r>
    </w:p>
    <w:p>
      <w:pPr>
        <w:ind w:right="300" w:firstLine="637"/>
        <w:spacing w:after="0" w:line="255" w:lineRule="auto"/>
        <w:rPr>
          <w:sz w:val="20"/>
          <w:szCs w:val="20"/>
          <w:color w:val="auto"/>
        </w:rPr>
      </w:pPr>
      <w:r>
        <w:rPr>
          <w:rFonts w:ascii="Arial" w:cs="Arial" w:eastAsia="Arial" w:hAnsi="Arial"/>
          <w:sz w:val="18"/>
          <w:szCs w:val="18"/>
          <w:color w:val="auto"/>
        </w:rPr>
        <w:t>On August 7, 2017, the Company adopted an equity incentive plan (the “Plan”). Under the Plan, directors, officers, employees, consultants, and advisors of the Company can be paid incentive compensation measured by the value of the Company’s common shares through grants of stock options, stock appreciation rights, or restricted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6" w:name="page17"/>
    <w:bookmarkEnd w:id="16"/>
    <w:p>
      <w:pPr>
        <w:ind w:right="20" w:firstLine="637"/>
        <w:spacing w:after="0" w:line="243"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Upon the effectiveness of the 2020 Plan, no further grants will be made under the Equity Incentive Plan. However, the Equity Incentive Plan will continue to govern the terms and conditions of outstanding awards granted under it. The 2020 Plan provides for the grant of stock options, including ISOs and NSOs, SARs, restricted stock, dividend equivalents, RSUs and other stock or cash based awards.</w:t>
      </w:r>
    </w:p>
    <w:p>
      <w:pPr>
        <w:spacing w:after="0" w:line="174" w:lineRule="exact"/>
        <w:rPr>
          <w:sz w:val="20"/>
          <w:szCs w:val="20"/>
          <w:color w:val="auto"/>
        </w:rPr>
      </w:pPr>
    </w:p>
    <w:p>
      <w:pPr>
        <w:ind w:right="180" w:firstLine="637"/>
        <w:spacing w:after="0" w:line="255" w:lineRule="auto"/>
        <w:rPr>
          <w:sz w:val="20"/>
          <w:szCs w:val="20"/>
          <w:color w:val="auto"/>
        </w:rPr>
      </w:pPr>
      <w:r>
        <w:rPr>
          <w:rFonts w:ascii="Arial" w:cs="Arial" w:eastAsia="Arial" w:hAnsi="Arial"/>
          <w:sz w:val="18"/>
          <w:szCs w:val="18"/>
          <w:color w:val="auto"/>
        </w:rPr>
        <w:t>Stock options under the Plan and the 2020 Plan have a 10-year contractual term and vest over the vesting period specified in the applicable award agreement (generally five years from the date of grant), at achievement of a performance requirement, or upon change of control (as defined in the applicable plan).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awards granted under the Plan as of September 30, 2020 and December 31, 2019,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64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r>
      <w:tr>
        <w:trPr>
          <w:trHeight w:val="177"/>
        </w:trPr>
        <w:tc>
          <w:tcPr>
            <w:tcW w:w="6640" w:type="dxa"/>
            <w:vAlign w:val="bottom"/>
          </w:tcPr>
          <w:p>
            <w:pPr>
              <w:spacing w:after="0"/>
              <w:rPr>
                <w:sz w:val="15"/>
                <w:szCs w:val="15"/>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2,375,218</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Awards issued</w:t>
            </w:r>
          </w:p>
        </w:tc>
        <w:tc>
          <w:tcPr>
            <w:tcW w:w="1320" w:type="dxa"/>
            <w:vAlign w:val="bottom"/>
          </w:tcPr>
          <w:p>
            <w:pPr>
              <w:jc w:val="right"/>
              <w:spacing w:after="0"/>
              <w:rPr>
                <w:sz w:val="20"/>
                <w:szCs w:val="20"/>
                <w:color w:val="auto"/>
              </w:rPr>
            </w:pPr>
            <w:r>
              <w:rPr>
                <w:rFonts w:ascii="Arial" w:cs="Arial" w:eastAsia="Arial" w:hAnsi="Arial"/>
                <w:sz w:val="18"/>
                <w:szCs w:val="18"/>
                <w:color w:val="auto"/>
              </w:rPr>
              <w:t>2,812,135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Awards exercised</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(36,003)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Awards forfeited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(99,885)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outstanding—September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5,051,465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637"/>
        <w:spacing w:after="0" w:line="248" w:lineRule="auto"/>
        <w:rPr>
          <w:sz w:val="20"/>
          <w:szCs w:val="20"/>
          <w:color w:val="auto"/>
        </w:rPr>
      </w:pPr>
      <w:r>
        <w:rPr>
          <w:rFonts w:ascii="Arial" w:cs="Arial" w:eastAsia="Arial" w:hAnsi="Arial"/>
          <w:sz w:val="18"/>
          <w:szCs w:val="18"/>
          <w:color w:val="auto"/>
        </w:rPr>
        <w:t>As of September 30, 2020 and December 31, 2019, stock awards issued under the Plan of 751,136 and 573,098 common shares, respectively, were vested. The Company has elected early adoption of ASU No. 2016-09 to recognize forfeitures as they occur. As a result of the adoption, for the nine months ended September 30, 2020, the Company reversed $2 out of stock-based compensation previously recorded, compared to $4 for the nine months ended September 30,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Value of Stock Options</w:t>
      </w:r>
    </w:p>
    <w:p>
      <w:pPr>
        <w:spacing w:after="0" w:line="104" w:lineRule="exact"/>
        <w:rPr>
          <w:sz w:val="20"/>
          <w:szCs w:val="20"/>
          <w:color w:val="auto"/>
        </w:rPr>
      </w:pPr>
    </w:p>
    <w:p>
      <w:pPr>
        <w:ind w:right="100" w:firstLine="637"/>
        <w:spacing w:after="0"/>
        <w:rPr>
          <w:sz w:val="20"/>
          <w:szCs w:val="20"/>
          <w:color w:val="auto"/>
        </w:rPr>
      </w:pPr>
      <w:r>
        <w:rPr>
          <w:rFonts w:ascii="Arial" w:cs="Arial" w:eastAsia="Arial" w:hAnsi="Arial"/>
          <w:sz w:val="18"/>
          <w:szCs w:val="18"/>
          <w:color w:val="auto"/>
        </w:rPr>
        <w:t>The Company has valued awards for each of the plans included herein using the Black-Scholes option-pricing model. The Company historically has been a private company and lacks company-specific historical and implied volatility information. Therefore, the Company estimates its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4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4"/>
        </w:trPr>
        <w:tc>
          <w:tcPr>
            <w:tcW w:w="7480" w:type="dxa"/>
            <w:vAlign w:val="bottom"/>
          </w:tcPr>
          <w:p>
            <w:pPr>
              <w:spacing w:after="0"/>
              <w:rPr>
                <w:sz w:val="13"/>
                <w:szCs w:val="13"/>
                <w:color w:val="auto"/>
              </w:rPr>
            </w:pPr>
          </w:p>
        </w:tc>
        <w:tc>
          <w:tcPr>
            <w:tcW w:w="1500" w:type="dxa"/>
            <w:vAlign w:val="bottom"/>
            <w:gridSpan w:val="2"/>
          </w:tcPr>
          <w:p>
            <w:pPr>
              <w:jc w:val="right"/>
              <w:ind w:right="170"/>
              <w:spacing w:after="0" w:line="154" w:lineRule="exact"/>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3"/>
                <w:szCs w:val="13"/>
                <w:color w:val="auto"/>
              </w:rPr>
            </w:pPr>
          </w:p>
        </w:tc>
        <w:tc>
          <w:tcPr>
            <w:tcW w:w="1520" w:type="dxa"/>
            <w:vAlign w:val="bottom"/>
          </w:tcPr>
          <w:p>
            <w:pPr>
              <w:jc w:val="right"/>
              <w:ind w:right="215"/>
              <w:spacing w:after="0" w:line="154"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r>
      <w:tr>
        <w:trPr>
          <w:trHeight w:val="177"/>
        </w:trPr>
        <w:tc>
          <w:tcPr>
            <w:tcW w:w="74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tcPr>
          <w:p>
            <w:pPr>
              <w:jc w:val="right"/>
              <w:spacing w:after="0"/>
              <w:rPr>
                <w:sz w:val="20"/>
                <w:szCs w:val="20"/>
                <w:color w:val="auto"/>
              </w:rPr>
            </w:pPr>
            <w:r>
              <w:rPr>
                <w:rFonts w:ascii="Arial" w:cs="Arial" w:eastAsia="Arial" w:hAnsi="Arial"/>
                <w:sz w:val="18"/>
                <w:szCs w:val="18"/>
                <w:color w:val="auto"/>
              </w:rPr>
              <w:t>55.00</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- 95.80</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95.30 - 99.30 %</w:t>
            </w: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60" w:type="dxa"/>
            <w:vAlign w:val="bottom"/>
            <w:gridSpan w:val="3"/>
            <w:shd w:val="clear" w:color="auto" w:fill="CFF0FC"/>
          </w:tcPr>
          <w:p>
            <w:pPr>
              <w:jc w:val="right"/>
              <w:ind w:right="95"/>
              <w:spacing w:after="0"/>
              <w:rPr>
                <w:sz w:val="20"/>
                <w:szCs w:val="20"/>
                <w:color w:val="auto"/>
              </w:rPr>
            </w:pPr>
            <w:r>
              <w:rPr>
                <w:rFonts w:ascii="Arial" w:cs="Arial" w:eastAsia="Arial" w:hAnsi="Arial"/>
                <w:sz w:val="18"/>
                <w:szCs w:val="18"/>
                <w:color w:val="auto"/>
              </w:rPr>
              <w:t>0.32 - 0.51 %</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1.60 - 2.59 %</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Lack of marketability discount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580" w:type="dxa"/>
            <w:vAlign w:val="bottom"/>
          </w:tcPr>
          <w:p>
            <w:pPr>
              <w:jc w:val="right"/>
              <w:spacing w:after="0"/>
              <w:rPr>
                <w:sz w:val="20"/>
                <w:szCs w:val="20"/>
                <w:color w:val="auto"/>
              </w:rPr>
            </w:pPr>
            <w:r>
              <w:rPr>
                <w:rFonts w:ascii="Arial" w:cs="Arial" w:eastAsia="Arial" w:hAnsi="Arial"/>
                <w:sz w:val="18"/>
                <w:szCs w:val="18"/>
                <w:color w:val="auto"/>
                <w:w w:val="99"/>
              </w:rPr>
              <w:t>- 20.48</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26.00 - 31.00 %</w:t>
            </w: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5.4 - 6.5</w:t>
            </w: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weighted average per share fair value of awards issued under the Plan was $9.39 and $3.38 in 2020 and 2019,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7" w:name="page18"/>
    <w:bookmarkEnd w:id="17"/>
    <w:p>
      <w:pPr>
        <w:ind w:right="60" w:firstLine="637"/>
        <w:spacing w:after="0" w:line="255" w:lineRule="auto"/>
        <w:rPr>
          <w:sz w:val="20"/>
          <w:szCs w:val="20"/>
          <w:color w:val="auto"/>
        </w:rPr>
      </w:pPr>
      <w:r>
        <w:rPr>
          <w:rFonts w:ascii="Arial" w:cs="Arial" w:eastAsia="Arial" w:hAnsi="Arial"/>
          <w:sz w:val="18"/>
          <w:szCs w:val="18"/>
          <w:color w:val="auto"/>
        </w:rPr>
        <w:t>Stock-based compensation expense was $1,330 and $2,266 for the three and nine months ended September 30, 2020, compared to $407 and $1,104 for the three and nine months ended September 30, 2019, and was recorded in the unaudited condensed consolidated statements of operations and comprehensive income (loss) in the following line items: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4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36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14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80" w:firstLine="637"/>
        <w:spacing w:after="0" w:line="250" w:lineRule="auto"/>
        <w:rPr>
          <w:sz w:val="20"/>
          <w:szCs w:val="20"/>
          <w:color w:val="auto"/>
        </w:rPr>
      </w:pPr>
      <w:r>
        <w:rPr>
          <w:rFonts w:ascii="Arial" w:cs="Arial" w:eastAsia="Arial" w:hAnsi="Arial"/>
          <w:sz w:val="18"/>
          <w:szCs w:val="18"/>
          <w:color w:val="auto"/>
        </w:rPr>
        <w:t>Options issued under the Plan are reflected as a component of equity in these unaudited condensed consolidated financial statements. Stock appreciation rights are reflected as other non-current liability. The Company will recognize compensation expense for these awards as summarized in the following table.</w:t>
      </w:r>
    </w:p>
    <w:tbl>
      <w:tblPr>
        <w:tblLayout w:type="fixed"/>
        <w:tblInd w:w="0" w:type="dxa"/>
        <w:tblCellMar>
          <w:top w:w="0" w:type="dxa"/>
          <w:left w:w="0" w:type="dxa"/>
          <w:bottom w:w="0" w:type="dxa"/>
          <w:right w:w="0" w:type="dxa"/>
        </w:tblCellMar>
      </w:tblPr>
      <w:tr>
        <w:trPr>
          <w:trHeight w:val="144"/>
        </w:trPr>
        <w:tc>
          <w:tcPr>
            <w:tcW w:w="9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9"/>
              </w:rPr>
              <w:t>Stock</w:t>
            </w:r>
          </w:p>
        </w:tc>
      </w:tr>
      <w:tr>
        <w:trPr>
          <w:trHeight w:val="162"/>
        </w:trPr>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Compensation</w:t>
            </w:r>
          </w:p>
        </w:tc>
      </w:tr>
      <w:tr>
        <w:trPr>
          <w:trHeight w:val="177"/>
        </w:trPr>
        <w:tc>
          <w:tcPr>
            <w:tcW w:w="902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Expense</w:t>
            </w:r>
          </w:p>
        </w:tc>
      </w:tr>
      <w:tr>
        <w:trPr>
          <w:trHeight w:val="209"/>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9,645</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8,541</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w:t>
            </w:r>
          </w:p>
        </w:tc>
        <w:tc>
          <w:tcPr>
            <w:tcW w:w="120" w:type="dxa"/>
            <w:vAlign w:val="bottom"/>
            <w:shd w:val="clear" w:color="auto" w:fill="CFF0FC"/>
          </w:tcPr>
          <w:p>
            <w:pPr>
              <w:spacing w:after="0"/>
              <w:rPr>
                <w:sz w:val="18"/>
                <w:szCs w:val="18"/>
                <w:color w:val="auto"/>
              </w:rPr>
            </w:pPr>
          </w:p>
        </w:tc>
      </w:tr>
      <w:tr>
        <w:trPr>
          <w:trHeight w:val="243"/>
        </w:trPr>
        <w:tc>
          <w:tcPr>
            <w:tcW w:w="902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WARRANTS</w:t>
      </w:r>
    </w:p>
    <w:p>
      <w:pPr>
        <w:spacing w:after="0" w:line="104"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In connection with the OrbiMed Loan, the Company issued Warrants to OrbiMed Royalty &amp; Credit Opportunities, LP on January 9, 2020. Pursuant to the Warrants, OrbiMed Royalty &amp; Credit Opportunities, LP, may purchase up to 410,239 shares of the Company’s Common Stock for an initial exercise price of $ 16.10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unaudited condensed consolidated balance sheet. The portion of the OrbiMed Loan proceeds allocated to the warrant liability resulted in a debt discount, which is presented in the unaudited condensed consolidated balance sheets as a direct deduction from the carrying value of the debt and is being amortized as additional interest expense over the six-year loan term of the OrbiMed Loan. The unamortized debt discount as of September 30, 2020 is $2,064 and is presented in the unaudited condensed consolidated balance sheet as a direct deduction from the carrying value of the debt. During the three and nine months ended September 30, 2020, a loss of $1,525 and $3,109 were recorded in other expense in the unaudited condensed consolidated statements of operations due to the change in the fair value of the warrant liability. See footnote 14 for the fair value of the Warrants.</w:t>
      </w:r>
    </w:p>
    <w:p>
      <w:pPr>
        <w:spacing w:after="0" w:line="183" w:lineRule="exact"/>
        <w:rPr>
          <w:sz w:val="20"/>
          <w:szCs w:val="20"/>
          <w:color w:val="auto"/>
        </w:rPr>
      </w:pPr>
    </w:p>
    <w:p>
      <w:pPr>
        <w:ind w:right="240" w:firstLine="644"/>
        <w:spacing w:after="0" w:line="255" w:lineRule="auto"/>
        <w:rPr>
          <w:sz w:val="20"/>
          <w:szCs w:val="20"/>
          <w:color w:val="auto"/>
        </w:rPr>
      </w:pPr>
      <w:r>
        <w:rPr>
          <w:rFonts w:ascii="Arial" w:cs="Arial" w:eastAsia="Arial" w:hAnsi="Arial"/>
          <w:sz w:val="18"/>
          <w:szCs w:val="18"/>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the warrant liability for the nine months ended September 30, 2020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470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Fair Value at Issuance</w:t>
            </w:r>
          </w:p>
        </w:tc>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included in the statement of operations</w:t>
            </w:r>
          </w:p>
        </w:tc>
        <w:tc>
          <w:tcPr>
            <w:tcW w:w="38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Reclassification to equity</w:t>
            </w:r>
          </w:p>
        </w:tc>
        <w:tc>
          <w:tcPr>
            <w:tcW w:w="3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(5,468)</w:t>
            </w:r>
          </w:p>
        </w:tc>
        <w:tc>
          <w:tcPr>
            <w:tcW w:w="20" w:type="dxa"/>
            <w:vAlign w:val="bottom"/>
          </w:tcPr>
          <w:p>
            <w:pPr>
              <w:spacing w:after="0"/>
              <w:rPr>
                <w:sz w:val="18"/>
                <w:szCs w:val="18"/>
                <w:color w:val="auto"/>
              </w:rPr>
            </w:pP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8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652"/>
        </w:trPr>
        <w:tc>
          <w:tcPr>
            <w:tcW w:w="5140" w:type="dxa"/>
            <w:vAlign w:val="bottom"/>
          </w:tcPr>
          <w:p>
            <w:pPr>
              <w:spacing w:after="0"/>
              <w:rPr>
                <w:sz w:val="24"/>
                <w:szCs w:val="24"/>
                <w:color w:val="auto"/>
              </w:rPr>
            </w:pPr>
          </w:p>
        </w:tc>
        <w:tc>
          <w:tcPr>
            <w:tcW w:w="3840" w:type="dxa"/>
            <w:vAlign w:val="bottom"/>
          </w:tcPr>
          <w:p>
            <w:pPr>
              <w:jc w:val="right"/>
              <w:ind w:right="317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140" w:type="dxa"/>
            <w:vAlign w:val="bottom"/>
            <w:tcBorders>
              <w:bottom w:val="single" w:sz="8" w:color="9A9A9A"/>
            </w:tcBorders>
          </w:tcPr>
          <w:p>
            <w:pPr>
              <w:spacing w:after="0"/>
              <w:rPr>
                <w:sz w:val="8"/>
                <w:szCs w:val="8"/>
                <w:color w:val="auto"/>
              </w:rPr>
            </w:pPr>
          </w:p>
        </w:tc>
        <w:tc>
          <w:tcPr>
            <w:tcW w:w="38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35"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14. EARNINGS PER SHARE</w:t>
      </w:r>
    </w:p>
    <w:p>
      <w:pPr>
        <w:spacing w:after="0" w:line="10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For the three and nine months ended September 30, 2020 and 2019,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180" w:lineRule="exact"/>
        <w:rPr>
          <w:sz w:val="20"/>
          <w:szCs w:val="20"/>
          <w:color w:val="auto"/>
        </w:rPr>
      </w:pPr>
    </w:p>
    <w:p>
      <w:pPr>
        <w:ind w:right="80" w:firstLine="637"/>
        <w:spacing w:after="0" w:line="243" w:lineRule="auto"/>
        <w:rPr>
          <w:sz w:val="20"/>
          <w:szCs w:val="20"/>
          <w:color w:val="auto"/>
        </w:rPr>
      </w:pPr>
      <w:r>
        <w:rPr>
          <w:rFonts w:ascii="Arial" w:cs="Arial" w:eastAsia="Arial" w:hAnsi="Arial"/>
          <w:sz w:val="18"/>
          <w:szCs w:val="18"/>
          <w:color w:val="auto"/>
        </w:rPr>
        <w:t>Diluted net income (loss) per common share is computed under the treasury stock method by using the weighted average number of shares of common stock outstanding, plus, for periods with net income attributable to common stockholders, the potential dilutive effects of stock options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their diluted net income per share during the period.</w:t>
      </w:r>
    </w:p>
    <w:p>
      <w:pPr>
        <w:spacing w:after="0" w:line="174"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The Company has reported a net loss for the three and nine months ended September 30, 2020 and 2019, and the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adjustments for the warrants have been excluded from the computation of diluted net loss for the three and nine months ended September 30, 2020 since the additional income would have an antidilutive impact.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84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(31,899)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(36,736)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(115,537)</w:t>
            </w: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Accumulation of dividends on preferred stock</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(6,013)</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(9,027)</w:t>
            </w: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(26,904)</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(25,656)</w:t>
            </w: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Net loss available to common shareholders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(40,926)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(63,640)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(141,193)</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Net loss per common share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(18.15)</w:t>
            </w: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per common share -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(18.15)</w:t>
            </w: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Weighted average number of shares of common stock - basic</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30,212,959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7,777,100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15,324,362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7,777,100</w:t>
            </w: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shares of common stock - diluted</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30,212,959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7,777,100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15,324,362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7,777,100</w:t>
            </w:r>
          </w:p>
        </w:tc>
        <w:tc>
          <w:tcPr>
            <w:tcW w:w="100" w:type="dxa"/>
            <w:vAlign w:val="bottom"/>
            <w:shd w:val="clear" w:color="auto" w:fill="CFF0FC"/>
          </w:tcPr>
          <w:p>
            <w:pPr>
              <w:spacing w:after="0"/>
              <w:rPr>
                <w:sz w:val="18"/>
                <w:szCs w:val="18"/>
                <w:color w:val="auto"/>
              </w:rPr>
            </w:pPr>
          </w:p>
        </w:tc>
      </w:tr>
    </w:tbl>
    <w:p>
      <w:pPr>
        <w:spacing w:after="0" w:line="261" w:lineRule="exact"/>
        <w:rPr>
          <w:sz w:val="20"/>
          <w:szCs w:val="20"/>
          <w:color w:val="auto"/>
        </w:rPr>
      </w:pPr>
    </w:p>
    <w:p>
      <w:pPr>
        <w:jc w:val="both"/>
        <w:ind w:right="200" w:firstLine="637"/>
        <w:spacing w:after="0" w:line="255" w:lineRule="auto"/>
        <w:rPr>
          <w:sz w:val="20"/>
          <w:szCs w:val="20"/>
          <w:color w:val="auto"/>
        </w:rPr>
      </w:pPr>
      <w:r>
        <w:rPr>
          <w:rFonts w:ascii="Arial" w:cs="Arial" w:eastAsia="Arial" w:hAnsi="Arial"/>
          <w:sz w:val="18"/>
          <w:szCs w:val="18"/>
          <w:color w:val="auto"/>
        </w:rPr>
        <w:t>Potential common shares issuable upon conversion of preferred stock, exercise of stock options, and exercise of warrants that are excluded from the computation of diluted weighted-average shares outstanding as well as the warrant fair value adjustments excluded from the numerator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7"/>
        </w:trPr>
        <w:tc>
          <w:tcPr>
            <w:tcW w:w="4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rPr>
              <w:t>September 30,</w:t>
            </w: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69"/>
        </w:trPr>
        <w:tc>
          <w:tcPr>
            <w:tcW w:w="4400" w:type="dxa"/>
            <w:vAlign w:val="bottom"/>
            <w:tcBorders>
              <w:bottom w:val="single" w:sz="8" w:color="CFF0FC"/>
            </w:tcBorders>
          </w:tcPr>
          <w:p>
            <w:pPr>
              <w:spacing w:after="0"/>
              <w:rPr>
                <w:sz w:val="14"/>
                <w:szCs w:val="14"/>
                <w:color w:val="auto"/>
              </w:rPr>
            </w:pPr>
          </w:p>
        </w:tc>
        <w:tc>
          <w:tcPr>
            <w:tcW w:w="140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5,051,465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2,398,695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5,051,465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2,398,695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37,421,645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36,257,953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410,239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gridSpan w:val="4"/>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410,239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5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5,461,704</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39,820,340</w:t>
            </w: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5,461,704</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38,656,648</w:t>
            </w:r>
          </w:p>
        </w:tc>
        <w:tc>
          <w:tcPr>
            <w:tcW w:w="12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4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Adjustment for warrants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3,109</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625"/>
        </w:trPr>
        <w:tc>
          <w:tcPr>
            <w:tcW w:w="44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4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04"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The Company primarily applies the market approach to determine the fair value of financial instruments that are measured at fair value on a recurring basis. There were no changes to its valuation techniques used to determine the fair value of financial instruments during the nine months ended September 30, 2020. The Company’s financial assets and liabilities which are measured at fair value on a recurring basis were comprised of cash, cash equivalents, and restricted cash of $222,490 and $25,207 as of September 30, 2020 and December 31, 2019, respectively, based on Level 1 inputs.</w:t>
      </w:r>
    </w:p>
    <w:p>
      <w:pPr>
        <w:spacing w:after="0" w:line="172"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The Company estimates the fair value of the warrant liability using the Black-Scholes option-pricing model at each balance sheet date or when specific events occur. As discussed in Note 13, in connection with the Company’s IPO the warrant fair value was updated on August 19, 2020 with the change in fair value recorded in current period earnings as other expense in the unaudited condensed consolidated statement of operations and reclassified to equity. During the nine months ended September 30, 2020, a loss of $3,109 was recorded in other expense in the unaudited condensed consolidated statements of operations due to the change in the fair value of the warrant liability.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range of assumptions used to determine the fair value of the warrant liability through August 19, 2020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Expected volatility</w:t>
            </w:r>
          </w:p>
        </w:tc>
        <w:tc>
          <w:tcPr>
            <w:tcW w:w="5080" w:type="dxa"/>
            <w:vAlign w:val="bottom"/>
          </w:tcPr>
          <w:p>
            <w:pPr>
              <w:jc w:val="right"/>
              <w:spacing w:after="0"/>
              <w:rPr>
                <w:sz w:val="20"/>
                <w:szCs w:val="20"/>
                <w:color w:val="auto"/>
              </w:rPr>
            </w:pPr>
            <w:r>
              <w:rPr>
                <w:rFonts w:ascii="Arial" w:cs="Arial" w:eastAsia="Arial" w:hAnsi="Arial"/>
                <w:sz w:val="18"/>
                <w:szCs w:val="18"/>
                <w:color w:val="auto"/>
              </w:rPr>
              <w:t>54.2% - 68.8%</w:t>
            </w: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 - 1.56%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Lack of marketability discount</w:t>
            </w:r>
          </w:p>
        </w:tc>
        <w:tc>
          <w:tcPr>
            <w:tcW w:w="50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50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1-4.5</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RELATED-PARTY TRANSACTIONS</w:t>
      </w:r>
    </w:p>
    <w:p>
      <w:pPr>
        <w:spacing w:after="0" w:line="104"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The related party is an entity that shares common ownership with the Company. In addition, the Chairman of the Company’s board of directors was the President and owner of the entity. For the three and nine months ended September 30, 2020, the Company incurred $3,628 and $7,101, respectively, in management fee expense and other expenses to this related party, which are included in general and administrative expense in the unaudited condensed consolidated statements of operations and comprehensive income (loss) as compared to $1,102 and $3,120 for the three and nine months ended September 30, 2019, respectively.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participates in certain transactions with separate related parties that also share common ownership with the Company, primarily related to combined employee health plans. As of September 30, 2020, and December 31, 2019, the amount due to related parties included in current liabilities was $193 and $1,208, respectively, and the amount included in other assets was $1 and $210,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SUBSEQUENT EVENTS</w:t>
      </w:r>
    </w:p>
    <w:p>
      <w:pPr>
        <w:spacing w:after="0" w:line="211" w:lineRule="exact"/>
        <w:rPr>
          <w:sz w:val="20"/>
          <w:szCs w:val="20"/>
          <w:color w:val="auto"/>
        </w:rPr>
      </w:pPr>
    </w:p>
    <w:p>
      <w:pPr>
        <w:ind w:right="80" w:firstLine="637"/>
        <w:spacing w:after="0" w:line="248" w:lineRule="auto"/>
        <w:rPr>
          <w:sz w:val="20"/>
          <w:szCs w:val="20"/>
          <w:color w:val="auto"/>
        </w:rPr>
      </w:pPr>
      <w:r>
        <w:rPr>
          <w:rFonts w:ascii="Arial" w:cs="Arial" w:eastAsia="Arial" w:hAnsi="Arial"/>
          <w:sz w:val="18"/>
          <w:szCs w:val="18"/>
          <w:color w:val="auto"/>
        </w:rPr>
        <w:t>On October 13, 2020, the Company received notice that the FDA approved the NDA for WAKIX</w:t>
      </w:r>
      <w:r>
        <w:rPr>
          <w:rFonts w:ascii="Arial" w:cs="Arial" w:eastAsia="Arial" w:hAnsi="Arial"/>
          <w:sz w:val="15"/>
          <w:szCs w:val="15"/>
          <w:color w:val="auto"/>
        </w:rPr>
        <w:t>®</w:t>
      </w:r>
      <w:r>
        <w:rPr>
          <w:rFonts w:ascii="Arial" w:cs="Arial" w:eastAsia="Arial" w:hAnsi="Arial"/>
          <w:sz w:val="18"/>
          <w:szCs w:val="18"/>
          <w:color w:val="auto"/>
        </w:rPr>
        <w:t xml:space="preserve"> for the treatment of cataplexy in adult patients with narcolepsy. Pursuant to the License Agreement, upon the Trigger Date, the Company has paid Bioprojet $2,000 in October 2020 and will pay a milestone payment to Bioprojet of $ 100,000 within 90 days of the Trigger Date. Accordingly, the Company plans to make the milestone payment to Bioprojet on or before its due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novel coronavirus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68" w:lineRule="exact"/>
        <w:rPr>
          <w:sz w:val="20"/>
          <w:szCs w:val="20"/>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116" w:lineRule="exact"/>
        <w:rPr>
          <w:rFonts w:ascii="Times New Roman" w:cs="Times New Roman" w:eastAsia="Times New Roman" w:hAnsi="Times New Roman"/>
          <w:sz w:val="18"/>
          <w:szCs w:val="18"/>
          <w:color w:val="auto"/>
        </w:rPr>
      </w:pPr>
    </w:p>
    <w:p>
      <w:pPr>
        <w:ind w:left="1120" w:right="80" w:hanging="370"/>
        <w:spacing w:after="0" w:line="275" w:lineRule="auto"/>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WAKIX, pitolisant in additional indications, if approved, and any other product candidates we may develop or acquire, if approved;</w:t>
      </w:r>
    </w:p>
    <w:p>
      <w:pPr>
        <w:spacing w:after="0" w:line="37" w:lineRule="exact"/>
        <w:rPr>
          <w:rFonts w:ascii="Times New Roman" w:cs="Times New Roman" w:eastAsia="Times New Roman" w:hAnsi="Times New Roman"/>
          <w:sz w:val="18"/>
          <w:szCs w:val="18"/>
          <w:color w:val="auto"/>
        </w:rPr>
      </w:pPr>
    </w:p>
    <w:p>
      <w:pPr>
        <w:ind w:left="1120" w:right="800" w:hanging="370"/>
        <w:spacing w:after="0" w:line="275" w:lineRule="auto"/>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 with Bioprojet Société Civile de Recherche (“Bioprojet”);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w:t>
      </w:r>
    </w:p>
    <w:p>
      <w:pPr>
        <w:spacing w:after="0" w:line="116" w:lineRule="exact"/>
        <w:rPr>
          <w:rFonts w:ascii="Times New Roman" w:cs="Times New Roman" w:eastAsia="Times New Roman" w:hAnsi="Times New Roman"/>
          <w:sz w:val="18"/>
          <w:szCs w:val="18"/>
          <w:color w:val="auto"/>
        </w:rPr>
      </w:pPr>
    </w:p>
    <w:p>
      <w:pPr>
        <w:ind w:left="1120" w:right="500" w:hanging="370"/>
        <w:spacing w:after="0" w:line="275" w:lineRule="auto"/>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120" w:right="60" w:hanging="370"/>
        <w:spacing w:after="0" w:line="275" w:lineRule="auto"/>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21" w:name="page22"/>
    <w:bookmarkEnd w:id="21"/>
    <w:p>
      <w:pPr>
        <w:ind w:right="400" w:firstLine="637"/>
        <w:spacing w:after="0" w:line="276"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45"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76"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2" w:lineRule="exact"/>
        <w:rPr>
          <w:sz w:val="20"/>
          <w:szCs w:val="20"/>
          <w:color w:val="auto"/>
        </w:rPr>
      </w:pPr>
    </w:p>
    <w:p>
      <w:pPr>
        <w:ind w:right="160" w:firstLine="637"/>
        <w:spacing w:after="0" w:line="276"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87"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disorders who have unmet medical needs. Our product, WAKIX (pitolisant), is a first-in -class molecule with a novel mechanism of action (“MOA”) specifically designed to increase histamine signaling in the brain by binding to H</w:t>
      </w:r>
      <w:r>
        <w:rPr>
          <w:rFonts w:ascii="Arial" w:cs="Arial" w:eastAsia="Arial" w:hAnsi="Arial"/>
          <w:sz w:val="11"/>
          <w:szCs w:val="11"/>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 cataplexy in adult patients with narcolepsy. WAKIX is the first-and-only approved product for patients with narcolepsy that is not scheduled as a controlled substance.</w:t>
      </w:r>
    </w:p>
    <w:p>
      <w:pPr>
        <w:spacing w:after="0" w:line="179" w:lineRule="exact"/>
        <w:rPr>
          <w:sz w:val="20"/>
          <w:szCs w:val="20"/>
          <w:color w:val="auto"/>
        </w:rPr>
      </w:pPr>
    </w:p>
    <w:p>
      <w:pPr>
        <w:ind w:firstLine="749"/>
        <w:spacing w:after="0" w:line="277" w:lineRule="auto"/>
        <w:rPr>
          <w:sz w:val="20"/>
          <w:szCs w:val="20"/>
          <w:color w:val="auto"/>
        </w:rPr>
      </w:pPr>
      <w:r>
        <w:rPr>
          <w:rFonts w:ascii="Arial" w:cs="Arial" w:eastAsia="Arial" w:hAnsi="Arial"/>
          <w:sz w:val="17"/>
          <w:szCs w:val="17"/>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w:t>
      </w:r>
    </w:p>
    <w:p>
      <w:pPr>
        <w:spacing w:after="0" w:line="147"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(“IND”) for pitolisant, initiating an Expanded Access Program (“EAP”) for pitolisant for appropriate patients in the United States, preparing and submitting our NDA for pitolisant, gaining NDA approval for WAKIX for the treatment of EDS or cataplexy in adult patients with narcolepsy, and launching and commercializing WAKIX in the United States. In addition, we have initiated or intend to initiate clinical development programs in Prader-Willi Syndrome (“PWS”), myotonic dystrophy, otherwise known as dystrophia myotonica (“DM”) and pediatric narcolepsy to pursue potential new indications.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Initial Public Offering</w:t>
      </w:r>
    </w:p>
    <w:p>
      <w:pPr>
        <w:spacing w:after="0" w:line="210"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On August 21, 2020, we completed the initial public offering (“IPO”) of our common stock, in which we sold 6,151,162 shares, including 802,325 shares pursuant to the underwriters’ over-allotment option. The shares began trading on the Nasdaq Global Market on August 19, 2020. The shares were sold at an IPO price of $24.00 per share for net proceeds of approximately $135.4 million, after deducting underwriting discounts and commissions and offering expenses of approximately $ 12.2 million. Upon the closing of the IPO, all outstanding shares of our convertible preferred stock were automatically converted into shares of common stock and the accrued dividend payable to holders of the convertible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2" w:name="page23"/>
    <w:bookmarkEnd w:id="22"/>
    <w:p>
      <w:pPr>
        <w:ind w:right="300"/>
        <w:spacing w:after="0" w:line="255" w:lineRule="auto"/>
        <w:rPr>
          <w:sz w:val="20"/>
          <w:szCs w:val="20"/>
          <w:color w:val="auto"/>
        </w:rPr>
      </w:pPr>
      <w:r>
        <w:rPr>
          <w:rFonts w:ascii="Arial" w:cs="Arial" w:eastAsia="Arial" w:hAnsi="Arial"/>
          <w:sz w:val="18"/>
          <w:szCs w:val="18"/>
          <w:color w:val="auto"/>
        </w:rPr>
        <w:t>preferred stock was paid out in shares of common stock, resulting in a total of 42,926,630 shares of common stock being issued to former holders of our convertible preferred stock, and warrants exercisable for convertible preferred stock were automatically converted into warrants exercisable for a total of 410,239 shares of common stock.</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Liquidity and Sources of Funding</w:t>
      </w:r>
    </w:p>
    <w:p>
      <w:pPr>
        <w:spacing w:after="0" w:line="210"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For the three and nine months ended September 30, 2020, we generated $ 45.6 million and $103.5 million of net product revenues, respectively. We have financed our operations primarily with (a) proceeds from sales of our convertible preferred stock, (b) borrowings under</w:t>
      </w:r>
    </w:p>
    <w:p>
      <w:pPr>
        <w:ind w:right="40" w:firstLine="8"/>
        <w:spacing w:after="0" w:line="242"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Loan Agreement with CRG and (ii) our Credit Agreement with OrbiMed, and (c) proceeds from our IPO. As of September 30, 2020, we had cash, cash equivalents and restricted cash of $222.5 million and accumulated deficit of $487.9 million. As of September 30, 2020, we had outstanding debt, net of issuance costs, of $192.9 million.</w:t>
      </w:r>
    </w:p>
    <w:p>
      <w:pPr>
        <w:spacing w:after="0" w:line="175"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We believe that our anticipated cash from operating and financing activities and existing cash and cash equivalents will enable us to meet our operational liquidity needs and fund planned investing activities for the next 12 months. We have based this estimate on assumptions that may prove to be incorrect, and we could use our capital resources sooner than we expect. See “—Liquidity and Capital Resources.”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expect our expenses to increase as we continue to:</w:t>
      </w:r>
    </w:p>
    <w:p>
      <w:pPr>
        <w:spacing w:after="0" w:line="104" w:lineRule="exact"/>
        <w:rPr>
          <w:sz w:val="20"/>
          <w:szCs w:val="20"/>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commercialize WAKIX in the United States for the treatment of EDS or cataplexy in adult patients with narcolepsy;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sales and marketing costs to support the commercialization of WAKIX and any additional product candidates;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pay royalties and make milestone payments to Bioprojet for the license of WAKIX;</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manufacturing costs for WAKIX and any additional product candidates;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post-approval requirements related to WAKIX;</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conduct clinical trials in PWS and DM;</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conduct a pediatric narcolepsy program in pursuit of an indication and extension of our patents based on pediatric exclusivity;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conduct earlier stage research and development activities for pitolisant;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personnel;</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invest in measures to protect and expand our intellectual property;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interest expenses in conjunction with our debt facility;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approvals for pitolisant or any additional product candidates that successfully complete clinical development;</w:t>
      </w:r>
    </w:p>
    <w:p>
      <w:pPr>
        <w:spacing w:after="0" w:line="116" w:lineRule="exact"/>
        <w:rPr>
          <w:rFonts w:ascii="Times New Roman" w:cs="Times New Roman" w:eastAsia="Times New Roman" w:hAnsi="Times New Roman"/>
          <w:sz w:val="18"/>
          <w:szCs w:val="18"/>
          <w:color w:val="auto"/>
        </w:rPr>
      </w:pPr>
    </w:p>
    <w:p>
      <w:pPr>
        <w:jc w:val="both"/>
        <w:ind w:left="1120" w:right="340" w:hanging="370"/>
        <w:spacing w:after="0" w:line="255" w:lineRule="auto"/>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conduct additional clinical trials in pursuit of potential new indications for pitolisant; acquire certain ex-U.S. rights for WAKIX from Bioprojet and subsequently seek foreign regulatory approvals for WAKIX in certain of those jurisdictions; acquire or in-license other assets and technologies; and</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costs associated with being a public company.</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Commercial Launch Metrics</w:t>
      </w:r>
    </w:p>
    <w:p>
      <w:pPr>
        <w:spacing w:after="0" w:line="210"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As of September 30, 2020, over 2,000 unique healthcare professionals (“HCPs”) (out of a total of approximately 8,000 HCPs who treat approximately 90% of diagnosed narcolepsy patients) have prescribed WAKIX since it became available in November 2019. The average number of patients on WAKIX during the third quarter of 2020 was 2,200, representing a 22% increase from the second quarter of 2020. We have secured formulary access for approximately 182 million lives, which represents approximately 80% of our target covered lives, which we define as a group of certain public and private payors that account for approximately 80% of all covered lives 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COVID-19 Business Update</w:t>
      </w:r>
    </w:p>
    <w:p>
      <w:pPr>
        <w:spacing w:after="0" w:line="214" w:lineRule="exact"/>
        <w:rPr>
          <w:sz w:val="20"/>
          <w:szCs w:val="20"/>
          <w:color w:val="auto"/>
        </w:rPr>
      </w:pPr>
    </w:p>
    <w:p>
      <w:pPr>
        <w:ind w:right="220" w:firstLine="749"/>
        <w:spacing w:after="0" w:line="255" w:lineRule="auto"/>
        <w:rPr>
          <w:sz w:val="20"/>
          <w:szCs w:val="20"/>
          <w:color w:val="auto"/>
        </w:rPr>
      </w:pPr>
      <w:r>
        <w:rPr>
          <w:rFonts w:ascii="Arial" w:cs="Arial" w:eastAsia="Arial" w:hAnsi="Arial"/>
          <w:sz w:val="18"/>
          <w:szCs w:val="18"/>
          <w:color w:val="auto"/>
        </w:rPr>
        <w:t>With the global impact of the COVID-19 pandemic, we have developed a response strategy that includes establishing cross-functional response teams and implementing business continuity plans to manage the impact of the pandemic on our employees, patients, HCPs, and our business.</w:t>
      </w:r>
    </w:p>
    <w:p>
      <w:pPr>
        <w:spacing w:after="0" w:line="164"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Despite our response strategy, the COVID-19 pandemic is having an effect on our business and the pharmaceutical industry in general, and is impacting the way stakeholders interact with one another during this pandemic. We continue to leverage technology and virtual engagement initiatives to offset our reduced in-person access to HCPs. The COVID-19 pandemic, which has led to high unemployment and corresponding loss of medical insurance, has caused a change in relationship dynamics between patients and their HCPs and has impacted the way patients take, or do not take, their medication. Based on these factors, we expect the revenue growth rate in the fourth quarter of 2020 and possible future quarters may be adversely impacted by the ongoing COVID-19 pandemic.</w:t>
      </w:r>
    </w:p>
    <w:p>
      <w:pPr>
        <w:spacing w:after="0" w:line="174" w:lineRule="exact"/>
        <w:rPr>
          <w:sz w:val="20"/>
          <w:szCs w:val="20"/>
          <w:color w:val="auto"/>
        </w:rPr>
      </w:pPr>
    </w:p>
    <w:p>
      <w:pPr>
        <w:ind w:right="460" w:firstLine="749"/>
        <w:spacing w:after="0" w:line="255" w:lineRule="auto"/>
        <w:rPr>
          <w:sz w:val="20"/>
          <w:szCs w:val="20"/>
          <w:color w:val="auto"/>
        </w:rPr>
      </w:pPr>
      <w:r>
        <w:rPr>
          <w:rFonts w:ascii="Arial" w:cs="Arial" w:eastAsia="Arial" w:hAnsi="Arial"/>
          <w:sz w:val="18"/>
          <w:szCs w:val="18"/>
          <w:color w:val="auto"/>
        </w:rPr>
        <w:t>We continue to identify new and innovative ways to maintain meaningful engagement, generate awareness and educate our patients, HCPs and payors to minimize the pressure from the COVID-19 pandemic on our business and support our commercial launch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210"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With respect to our commercialization activities, we believe the COVID-19 pandemic is putting pressure on top-line prescription demand for WAKIX, primarily due to (i) our field sales team’s reduced ability to access HCPs in person, and (ii) fewer patients seeing HCPs for prescriptions or treatments. The impact on demand for WAKIX may also be related to a reduced ability of prescribers to diagnose narcolepsy patients given the limitations in access to sleep testing, the reduced ability to see patients due to (i) cancelled appointments and</w:t>
      </w:r>
    </w:p>
    <w:p>
      <w:pPr>
        <w:spacing w:after="0" w:line="1" w:lineRule="exact"/>
        <w:rPr>
          <w:sz w:val="20"/>
          <w:szCs w:val="20"/>
          <w:color w:val="auto"/>
        </w:rPr>
      </w:pPr>
    </w:p>
    <w:p>
      <w:pPr>
        <w:ind w:firstLine="8"/>
        <w:spacing w:after="0" w:line="238" w:lineRule="auto"/>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reprioritization of healthcare resources toward the treatment of COVID-19, both of which lead to fewer prescriptions. Despite these challenges, we continue to engage and educate HCPs virtually on the overall benefit/risk of WAKIX and continue to provide support for people living with narcolepsy. As offices, clinics and institutions have begun to allow limited in-person interactions pursuant to health authority and local government guidelines, our field teams have started to re-initiate in-person interactions with HCPs and customers, but the timing and level of engagement vary by account and region and may be adversely impacted in the future where reemergence or future outbreaks of COVID-19 may occur.</w:t>
      </w:r>
    </w:p>
    <w:p>
      <w:pPr>
        <w:spacing w:after="0" w:line="177"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High unemployment and the corresponding loss of health insurance is causing some eligible patients to shift from commercial insurance to free goods and patient assistance programs, which impacts our ability to convert demand to revenue. Depending on the scale and ultimate duration of the COVID-19 pandemic and the extent of an economic slowdown, widespread unemployment and resulting loss of employer-sponsored insurance coverage, we may experience a shift from commercial payor coverage to government payor coverage or continued/increased demand for patient assistance and/or free drug programs, which could further impact our net revenue in the coming quarters.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w:t>
      </w:r>
    </w:p>
    <w:p>
      <w:pPr>
        <w:spacing w:after="0" w:line="169" w:lineRule="exact"/>
        <w:rPr>
          <w:sz w:val="20"/>
          <w:szCs w:val="20"/>
          <w:color w:val="auto"/>
        </w:rPr>
      </w:pPr>
    </w:p>
    <w:p>
      <w:pPr>
        <w:jc w:val="both"/>
        <w:ind w:right="180" w:firstLine="749"/>
        <w:spacing w:after="0" w:line="255" w:lineRule="auto"/>
        <w:rPr>
          <w:sz w:val="20"/>
          <w:szCs w:val="20"/>
          <w:color w:val="auto"/>
        </w:rPr>
      </w:pPr>
      <w:r>
        <w:rPr>
          <w:rFonts w:ascii="Arial" w:cs="Arial" w:eastAsia="Arial" w:hAnsi="Arial"/>
          <w:sz w:val="18"/>
          <w:szCs w:val="18"/>
          <w:color w:val="auto"/>
        </w:rPr>
        <w:t>We currently expect to have adequate supply of WAKIX through 2021. We are working closely with our third-party manufacturers, distributors and other partners to manage our supply chain activities and mitigate potential disruptions to our product supplies as a result of the COVID-19 pandemic.</w:t>
      </w:r>
    </w:p>
    <w:p>
      <w:pPr>
        <w:spacing w:after="0" w:line="123"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Our manufacturing partners in France and the United States continue to be operational. If the COVID-19 pandemic persists for an extended period of time and begins to impact essential distribution systems such as transatlantic freight, FedEx, UPS and postal delivery, we could experience disruptions to our supply chain and operations with associated delays in the manufacturing and supply of our products.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3"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Research and Development</w:t>
      </w:r>
    </w:p>
    <w:p>
      <w:pPr>
        <w:spacing w:after="0" w:line="169"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While we initially experienced some challenges, we have taken measures and put contingency plans in place in order to advance our clinical development programs. We have implemented remote and virtual approaches to clinical trials and other assessments, including using telemedicine for remote clinic visits to perform efficacy assessments and sending out licensed HCPs to each patient to collect safety assessments (e.g. labs, electrocardiograms) as required by the protocols. We are also performing remote site visits and data monitoring where possible. These measures are being instituted to maintain patient safety and trial continuity while preserving study integrity. In addition, we rely on contract research organizations (“CROs”)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or reemerges in the future, we could experience significant delays in our clinical development timelines, which would adversely affect our business, financial condition, results of operations and growth prospects.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Development and Other Financial Impacts</w:t>
      </w:r>
    </w:p>
    <w:p>
      <w:pPr>
        <w:spacing w:after="0" w:line="169"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The COVID-19 pandemic continues to rapidly evolve and has already resulted in a significant disruption of domestic and global financial markets. If the disruption persists and/or worsens, we may be unable to access additional capital, which could negatively affect our ability to execute on certain corporate development transactions or other important investment opportunities. The pandemic could also impact our ability to conduct in-person due diligence, negotiations, and other interactions to identify new opportunities.</w:t>
      </w:r>
    </w:p>
    <w:p>
      <w:pPr>
        <w:spacing w:after="0" w:line="130"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COVID-19 pandemic has also affected, and continues to affect, our business operations and financial results. The extent of the impact of the COVID-19 pandemic on our ability to generate sales of, and revenues from, our approved products,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or reemergence of outbreaks, governmental travel restrictions, quarantines, social distancing and business closure requirements in the United States, France, and other countries, and the effectiveness of actions taken globally to contain and treat COVID-19.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Response</w:t>
      </w:r>
    </w:p>
    <w:p>
      <w:pPr>
        <w:spacing w:after="0" w:line="210" w:lineRule="exact"/>
        <w:rPr>
          <w:sz w:val="20"/>
          <w:szCs w:val="20"/>
          <w:color w:val="auto"/>
        </w:rPr>
      </w:pPr>
    </w:p>
    <w:p>
      <w:pPr>
        <w:ind w:right="500" w:firstLine="749"/>
        <w:spacing w:after="0" w:line="276" w:lineRule="auto"/>
        <w:rPr>
          <w:sz w:val="20"/>
          <w:szCs w:val="20"/>
          <w:color w:val="auto"/>
        </w:rPr>
      </w:pPr>
      <w:r>
        <w:rPr>
          <w:rFonts w:ascii="Arial" w:cs="Arial" w:eastAsia="Arial" w:hAnsi="Arial"/>
          <w:sz w:val="18"/>
          <w:szCs w:val="18"/>
          <w:color w:val="auto"/>
        </w:rPr>
        <w:t>We have supported our local communities, patient-focused organizations and other charitable organizations with relief efforts, including corporate donations.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20" w:firstLine="749"/>
        <w:spacing w:after="0" w:line="245" w:lineRule="auto"/>
        <w:rPr>
          <w:sz w:val="20"/>
          <w:szCs w:val="20"/>
          <w:color w:val="auto"/>
        </w:rPr>
      </w:pPr>
      <w:r>
        <w:rPr>
          <w:rFonts w:ascii="Arial" w:cs="Arial" w:eastAsia="Arial" w:hAnsi="Arial"/>
          <w:sz w:val="18"/>
          <w:szCs w:val="18"/>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 For the three months ended September 30, 2020, we had $45.6 million of net product revenue. For the nine months ended September 30, 2020, we had $103.5 million of net product revenue.</w:t>
      </w:r>
    </w:p>
    <w:p>
      <w:pPr>
        <w:spacing w:after="0" w:line="172"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Total revenue consists of net sales of WAKIX. Net sales represent the gross sales of WAKIX less provisions for product sales discounts and allowances. At this time, these provisions include trade allowances, rebates to government and commercial entities, and discounts. Although we expect net sales to increase over time, the provisions for product sales discounts and allowances may fluctuate based on the mix of sales to different customer segments and/or changes in our accrual estimates. For further discussion of the components of Revenue, see “—Critical Accounting Policies and Significant Judgments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1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 A portion of the inventory sold during the three months ended September 30, 2020 was produced prior to FDA approval and, therefore, expensed previously as research and development expense in 2019 in the amount of $1.3 million. Excluded from cost of product sold is amortization of acquired developed technology of $1.9 million and $1.0 million in the three months ended September 30, 2020 and 2019,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25" w:name="page26"/>
    <w:bookmarkEnd w:id="25"/>
    <w:p>
      <w:pPr>
        <w:ind w:firstLine="749"/>
        <w:spacing w:after="0" w:line="245" w:lineRule="auto"/>
        <w:rPr>
          <w:sz w:val="20"/>
          <w:szCs w:val="20"/>
          <w:color w:val="auto"/>
        </w:rPr>
      </w:pPr>
      <w:r>
        <w:rPr>
          <w:rFonts w:ascii="Arial" w:cs="Arial" w:eastAsia="Arial" w:hAnsi="Arial"/>
          <w:sz w:val="18"/>
          <w:szCs w:val="18"/>
          <w:color w:val="auto"/>
        </w:rPr>
        <w:t>Previously expensed inventory that was manufactured in anticipation for commercialization preapproval has not had a material impact on our historical results of operations and is not expected to have a material impact on future results of operations. Further, previously expensed inventory has not had a material impact on our gross margin percentage historically, and we do not anticipate a material impact on our gross margin percentage once our previously expensed inventories have been exhausted. Our cost of product sales is increasing moderately as we continue to ramp up production and sales infrastructure to meet expected demand for WAKIX.</w:t>
      </w:r>
    </w:p>
    <w:p>
      <w:pPr>
        <w:spacing w:after="0" w:line="172" w:lineRule="exact"/>
        <w:rPr>
          <w:sz w:val="20"/>
          <w:szCs w:val="20"/>
          <w:color w:val="auto"/>
        </w:rPr>
      </w:pPr>
    </w:p>
    <w:p>
      <w:pPr>
        <w:jc w:val="both"/>
        <w:ind w:right="340" w:firstLine="749"/>
        <w:spacing w:after="0" w:line="255" w:lineRule="auto"/>
        <w:rPr>
          <w:sz w:val="20"/>
          <w:szCs w:val="20"/>
          <w:color w:val="auto"/>
        </w:rPr>
      </w:pPr>
      <w:r>
        <w:rPr>
          <w:rFonts w:ascii="Arial" w:cs="Arial" w:eastAsia="Arial" w:hAnsi="Arial"/>
          <w:sz w:val="18"/>
          <w:szCs w:val="18"/>
          <w:color w:val="auto"/>
        </w:rPr>
        <w:t>The shelf life of our product is three years from date of manufacture, with earliest expiration of current inventory expected to be September 2021. As of September 30, 2020, we expect our existing inventory to have minimal obsolescence. We will continue to assess obsolescence in future periods as demand for WAKIX and the rate of inventory turnover evolves.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Our research and development expenses have primarily been limited to the license of the rights to pitolisant, the establishment of an EAP to provide appropriate patients with pitolisant at no cost as part of a clinical trial to assess safety prior to the approval of WAKIX, the preparation of the NDA, and the initiation of a development program for new indications for pitolisant in patients with PWS, DM and pediatric narcolepsy. We also have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clinical data presentations to payors upon request. Research and development costs are expensed as incurred. We expect to significantly increase our research and development efforts as we advance our clinical programs in patients with PWS, DM and pediatric narcolepsy, and continue to expand our product-candidate pipeline. Research and development expenses include:</w:t>
      </w:r>
    </w:p>
    <w:p>
      <w:pPr>
        <w:spacing w:after="0" w:line="176" w:lineRule="exact"/>
        <w:rPr>
          <w:sz w:val="20"/>
          <w:szCs w:val="20"/>
          <w:color w:val="auto"/>
        </w:rPr>
      </w:pPr>
    </w:p>
    <w:p>
      <w:pPr>
        <w:ind w:left="1120" w:right="160" w:hanging="370"/>
        <w:spacing w:after="0" w:line="275" w:lineRule="auto"/>
        <w:tabs>
          <w:tab w:leader="none" w:pos="11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37" w:lineRule="exact"/>
        <w:rPr>
          <w:rFonts w:ascii="Times New Roman" w:cs="Times New Roman" w:eastAsia="Times New Roman" w:hAnsi="Times New Roman"/>
          <w:sz w:val="18"/>
          <w:szCs w:val="18"/>
          <w:color w:val="auto"/>
        </w:rPr>
      </w:pPr>
    </w:p>
    <w:p>
      <w:pPr>
        <w:ind w:left="1120" w:right="300" w:hanging="370"/>
        <w:spacing w:after="0" w:line="275" w:lineRule="auto"/>
        <w:tabs>
          <w:tab w:leader="none" w:pos="11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37" w:lineRule="exact"/>
        <w:rPr>
          <w:rFonts w:ascii="Times New Roman" w:cs="Times New Roman" w:eastAsia="Times New Roman" w:hAnsi="Times New Roman"/>
          <w:sz w:val="18"/>
          <w:szCs w:val="18"/>
          <w:color w:val="auto"/>
        </w:rPr>
      </w:pPr>
    </w:p>
    <w:p>
      <w:pPr>
        <w:ind w:left="1120" w:right="320" w:hanging="370"/>
        <w:spacing w:after="0" w:line="275" w:lineRule="auto"/>
        <w:tabs>
          <w:tab w:leader="none" w:pos="11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preclinical studies and clinical trials; other third-party expenses directly attributable to the development of our product candidates; and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33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Currently, WAKIX is our only product and we do not currently track our internal research and development expenses on an indication-by-indication basis as they primarily relate to personnel, early research and consumable costs, which are deployed across multiple programs. A significant portion of our research and development costs are external costs, such as fees paid to CROs and CMOs, central laboratories, contractors, and consultants in connection with our clinical development activities.</w:t>
      </w:r>
    </w:p>
    <w:p>
      <w:pPr>
        <w:spacing w:after="0" w:line="170" w:lineRule="exact"/>
        <w:rPr>
          <w:sz w:val="20"/>
          <w:szCs w:val="20"/>
          <w:color w:val="auto"/>
        </w:rPr>
      </w:pPr>
    </w:p>
    <w:p>
      <w:pPr>
        <w:ind w:right="60" w:firstLine="749"/>
        <w:spacing w:after="0" w:line="245"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as well as potential new product candidates.</w:t>
      </w:r>
    </w:p>
    <w:p>
      <w:pPr>
        <w:spacing w:after="0" w:line="172" w:lineRule="exact"/>
        <w:rPr>
          <w:sz w:val="20"/>
          <w:szCs w:val="20"/>
          <w:color w:val="auto"/>
        </w:rPr>
      </w:pPr>
    </w:p>
    <w:p>
      <w:pPr>
        <w:ind w:right="180" w:firstLine="749"/>
        <w:spacing w:after="0" w:line="255"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272" w:lineRule="exact"/>
        <w:rPr>
          <w:sz w:val="20"/>
          <w:szCs w:val="20"/>
          <w:color w:val="auto"/>
        </w:rPr>
      </w:pPr>
    </w:p>
    <w:p>
      <w:pPr>
        <w:ind w:left="1120" w:right="40" w:hanging="370"/>
        <w:spacing w:after="0" w:line="275" w:lineRule="auto"/>
        <w:tabs>
          <w:tab w:leader="none" w:pos="11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16" w:lineRule="exact"/>
        <w:rPr>
          <w:rFonts w:ascii="Times New Roman" w:cs="Times New Roman" w:eastAsia="Times New Roman" w:hAnsi="Times New Roman"/>
          <w:sz w:val="18"/>
          <w:szCs w:val="18"/>
          <w:color w:val="auto"/>
        </w:rPr>
      </w:pPr>
    </w:p>
    <w:p>
      <w:pPr>
        <w:ind w:left="1120" w:right="520" w:hanging="370"/>
        <w:spacing w:after="0" w:line="255" w:lineRule="auto"/>
        <w:tabs>
          <w:tab w:leader="none" w:pos="11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26" w:name="page27"/>
    <w:bookmarkEnd w:id="26"/>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Bioprojet’s consent to pursue additional indications for pitolisant;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116" w:lineRule="exact"/>
        <w:rPr>
          <w:rFonts w:ascii="Times New Roman" w:cs="Times New Roman" w:eastAsia="Times New Roman" w:hAnsi="Times New Roman"/>
          <w:sz w:val="18"/>
          <w:szCs w:val="18"/>
          <w:color w:val="auto"/>
        </w:rPr>
      </w:pPr>
    </w:p>
    <w:p>
      <w:pPr>
        <w:ind w:left="1120" w:right="560" w:hanging="370"/>
        <w:spacing w:after="0" w:line="275" w:lineRule="auto"/>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120" w:right="40" w:hanging="370"/>
        <w:spacing w:after="0" w:line="275" w:lineRule="auto"/>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224"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2" w:lineRule="exact"/>
        <w:rPr>
          <w:sz w:val="20"/>
          <w:szCs w:val="20"/>
          <w:color w:val="auto"/>
        </w:rPr>
      </w:pPr>
    </w:p>
    <w:p>
      <w:pPr>
        <w:ind w:right="160" w:firstLine="749"/>
        <w:spacing w:after="0" w:line="245" w:lineRule="auto"/>
        <w:rPr>
          <w:sz w:val="20"/>
          <w:szCs w:val="20"/>
          <w:color w:val="auto"/>
        </w:rPr>
      </w:pPr>
      <w:r>
        <w:rPr>
          <w:rFonts w:ascii="Arial" w:cs="Arial" w:eastAsia="Arial" w:hAnsi="Arial"/>
          <w:sz w:val="18"/>
          <w:szCs w:val="18"/>
          <w:color w:val="auto"/>
        </w:rPr>
        <w:t>Our sales and marketing expenses have primarily been limited to the market development and launch activities of WAKIX for the treatment of EDS in adult patients with narcolepsy. Market development and commercial launch activities account for a significant portion of the overall company operating expenses and are expensed as they are incurred. Our sales and marketing expenses are increasing in the near- and mid-term to support our indications for the treatment of EDS or cataplexy in adult patients with narcolepsy and to expand our portfolio with the anticipated growth from potential additional indications.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Sales and marketing expenses include:</w:t>
      </w:r>
    </w:p>
    <w:p>
      <w:pPr>
        <w:spacing w:after="0" w:line="320" w:lineRule="exact"/>
        <w:rPr>
          <w:sz w:val="20"/>
          <w:szCs w:val="20"/>
          <w:color w:val="auto"/>
        </w:rPr>
      </w:pPr>
    </w:p>
    <w:p>
      <w:pPr>
        <w:ind w:left="1120" w:right="480" w:hanging="370"/>
        <w:spacing w:after="0" w:line="275" w:lineRule="auto"/>
        <w:tabs>
          <w:tab w:leader="none" w:pos="11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37" w:lineRule="exact"/>
        <w:rPr>
          <w:rFonts w:ascii="Times New Roman" w:cs="Times New Roman" w:eastAsia="Times New Roman" w:hAnsi="Times New Roman"/>
          <w:sz w:val="18"/>
          <w:szCs w:val="18"/>
          <w:color w:val="auto"/>
        </w:rPr>
      </w:pPr>
    </w:p>
    <w:p>
      <w:pPr>
        <w:ind w:left="1120" w:right="760" w:hanging="370"/>
        <w:spacing w:after="0" w:line="275" w:lineRule="auto"/>
        <w:tabs>
          <w:tab w:leader="none" w:pos="11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37" w:lineRule="exact"/>
        <w:rPr>
          <w:rFonts w:ascii="Times New Roman" w:cs="Times New Roman" w:eastAsia="Times New Roman" w:hAnsi="Times New Roman"/>
          <w:sz w:val="18"/>
          <w:szCs w:val="18"/>
          <w:color w:val="auto"/>
        </w:rPr>
      </w:pPr>
    </w:p>
    <w:p>
      <w:pPr>
        <w:ind w:left="1120" w:right="740" w:hanging="370"/>
        <w:spacing w:after="0" w:line="275" w:lineRule="auto"/>
        <w:tabs>
          <w:tab w:leader="none" w:pos="11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37" w:lineRule="exact"/>
        <w:rPr>
          <w:rFonts w:ascii="Times New Roman" w:cs="Times New Roman" w:eastAsia="Times New Roman" w:hAnsi="Times New Roman"/>
          <w:sz w:val="18"/>
          <w:szCs w:val="18"/>
          <w:color w:val="auto"/>
        </w:rPr>
      </w:pPr>
    </w:p>
    <w:p>
      <w:pPr>
        <w:ind w:left="1120" w:right="520" w:hanging="370"/>
        <w:spacing w:after="0" w:line="275" w:lineRule="auto"/>
        <w:tabs>
          <w:tab w:leader="none" w:pos="11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224"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7" w:name="page28"/>
    <w:bookmarkEnd w:id="27"/>
    <w:p>
      <w:pPr>
        <w:ind w:firstLine="749"/>
        <w:spacing w:after="0" w:line="241"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Agreements</w:t>
      </w:r>
    </w:p>
    <w:p>
      <w:pPr>
        <w:spacing w:after="0" w:line="210" w:lineRule="exact"/>
        <w:rPr>
          <w:sz w:val="20"/>
          <w:szCs w:val="20"/>
          <w:color w:val="auto"/>
        </w:rPr>
      </w:pPr>
    </w:p>
    <w:p>
      <w:pPr>
        <w:ind w:right="40" w:firstLine="749"/>
        <w:spacing w:after="0" w:line="245" w:lineRule="auto"/>
        <w:rPr>
          <w:sz w:val="20"/>
          <w:szCs w:val="20"/>
          <w:color w:val="auto"/>
        </w:rPr>
      </w:pPr>
      <w:r>
        <w:rPr>
          <w:rFonts w:ascii="Arial" w:cs="Arial" w:eastAsia="Arial" w:hAnsi="Arial"/>
          <w:sz w:val="18"/>
          <w:szCs w:val="18"/>
          <w:color w:val="auto"/>
        </w:rPr>
        <w:t>We were party to a management services agreement (the “Management Services Agreement”) with Paragon Biosciences, LLC (“Paragon”), entered into on September 22, 2017, pursuant to which Paragon provided us with certain professional services. In exchange for services provided to us under the Management Services Agreement, we paid Paragon a management fee of $0.3 million per each calendar month. We terminated the Management Services Agreement upon the consummation of our IPO. In connection with such termination, we paid Paragon a termination fee of $2.6 million.</w:t>
      </w:r>
    </w:p>
    <w:p>
      <w:pPr>
        <w:spacing w:after="0" w:line="172" w:lineRule="exact"/>
        <w:rPr>
          <w:sz w:val="20"/>
          <w:szCs w:val="20"/>
          <w:color w:val="auto"/>
        </w:rPr>
      </w:pPr>
    </w:p>
    <w:p>
      <w:pPr>
        <w:jc w:val="both"/>
        <w:ind w:right="260" w:firstLine="749"/>
        <w:spacing w:after="0" w:line="255"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Since entering into the right of use agreement in November 2019 through September 30, 2020, we paid fees of $0.7 million pursuant to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12" w:lineRule="exact"/>
        <w:rPr>
          <w:sz w:val="20"/>
          <w:szCs w:val="20"/>
          <w:color w:val="auto"/>
        </w:rPr>
      </w:pPr>
    </w:p>
    <w:p>
      <w:pPr>
        <w:ind w:right="140" w:firstLine="749"/>
        <w:spacing w:after="0" w:line="276" w:lineRule="auto"/>
        <w:rPr>
          <w:sz w:val="20"/>
          <w:szCs w:val="20"/>
          <w:color w:val="auto"/>
        </w:rPr>
      </w:pPr>
      <w:r>
        <w:rPr>
          <w:rFonts w:ascii="Arial" w:cs="Arial" w:eastAsia="Arial" w:hAnsi="Arial"/>
          <w:sz w:val="18"/>
          <w:szCs w:val="18"/>
          <w:color w:val="auto"/>
        </w:rPr>
        <w:t>Loss on debt extinguishment consists primarily of costs of extinguishment of debt during the period related to the prepayment of a multi-draw term loan agreement (the “Loan Agreement”) with CRG Servicing LLC (“CRG”).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 Net</w:t>
      </w:r>
    </w:p>
    <w:p>
      <w:pPr>
        <w:spacing w:after="0" w:line="212" w:lineRule="exact"/>
        <w:rPr>
          <w:sz w:val="20"/>
          <w:szCs w:val="20"/>
          <w:color w:val="auto"/>
        </w:rPr>
      </w:pPr>
    </w:p>
    <w:p>
      <w:pPr>
        <w:ind w:right="220" w:firstLine="749"/>
        <w:spacing w:after="0" w:line="276" w:lineRule="auto"/>
        <w:rPr>
          <w:sz w:val="20"/>
          <w:szCs w:val="20"/>
          <w:color w:val="auto"/>
        </w:rPr>
      </w:pPr>
      <w:r>
        <w:rPr>
          <w:rFonts w:ascii="Arial" w:cs="Arial" w:eastAsia="Arial" w:hAnsi="Arial"/>
          <w:sz w:val="18"/>
          <w:szCs w:val="18"/>
          <w:color w:val="auto"/>
        </w:rPr>
        <w:t>Other income / expense, net consists primarily of costs of the fair value of the warrants associated with the credit agreement (the “Credit Agreement”) we entered into with OrbiMed Royalty &amp; Credit Opportunities III, LP (“OrbiMed”).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 Interest Expense</w:t>
      </w:r>
    </w:p>
    <w:p>
      <w:pPr>
        <w:spacing w:after="0" w:line="212" w:lineRule="exact"/>
        <w:rPr>
          <w:sz w:val="20"/>
          <w:szCs w:val="20"/>
          <w:color w:val="auto"/>
        </w:rPr>
      </w:pPr>
    </w:p>
    <w:p>
      <w:pPr>
        <w:ind w:firstLine="749"/>
        <w:spacing w:after="0" w:line="276" w:lineRule="auto"/>
        <w:rPr>
          <w:sz w:val="20"/>
          <w:szCs w:val="20"/>
          <w:color w:val="auto"/>
        </w:rPr>
      </w:pPr>
      <w:r>
        <w:rPr>
          <w:rFonts w:ascii="Arial" w:cs="Arial" w:eastAsia="Arial" w:hAnsi="Arial"/>
          <w:sz w:val="18"/>
          <w:szCs w:val="18"/>
          <w:color w:val="auto"/>
        </w:rPr>
        <w:t>Interest income / expense, net consists primarily of interest expense on debt facilities and amortization of debt issuance costs offset by interest income earned on our cash balances.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selected items in our condensed statements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4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product revenue</w:t>
            </w: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103,454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 of product sales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10"/>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8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37,719</w:t>
            </w: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85,634</w:t>
            </w: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62,319</w:t>
            </w: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38,297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27,477</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26,280</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22,415</w:t>
            </w:r>
          </w:p>
        </w:tc>
        <w:tc>
          <w:tcPr>
            <w:tcW w:w="120" w:type="dxa"/>
            <w:vAlign w:val="bottom"/>
            <w:shd w:val="clear" w:color="auto" w:fill="CFF0FC"/>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27,339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112,211</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(29,804)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(112,211)</w:t>
            </w:r>
          </w:p>
        </w:tc>
      </w:tr>
      <w:tr>
        <w:trPr>
          <w:trHeight w:val="216"/>
        </w:trPr>
        <w:tc>
          <w:tcPr>
            <w:tcW w:w="4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on debt extinguishment</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(22,639)</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(1,525)</w:t>
            </w: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(3,071)</w:t>
            </w:r>
          </w:p>
        </w:tc>
        <w:tc>
          <w:tcPr>
            <w:tcW w:w="380" w:type="dxa"/>
            <w:vAlign w:val="bottom"/>
          </w:tcPr>
          <w:p>
            <w:pPr>
              <w:spacing w:after="0"/>
              <w:rPr>
                <w:sz w:val="18"/>
                <w:szCs w:val="18"/>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(6,946)</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(20,254)</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(3,326)</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Net income (loss) before provision for income taxes</w:t>
            </w:r>
          </w:p>
        </w:tc>
        <w:tc>
          <w:tcPr>
            <w:tcW w:w="8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(36,736)</w:t>
            </w: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(115,537)</w:t>
            </w:r>
          </w:p>
        </w:tc>
        <w:tc>
          <w:tcPr>
            <w:tcW w:w="1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(36,736)</w:t>
            </w:r>
          </w:p>
        </w:tc>
        <w:tc>
          <w:tcPr>
            <w:tcW w:w="2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212" w:lineRule="exact"/>
        <w:rPr>
          <w:sz w:val="20"/>
          <w:szCs w:val="20"/>
          <w:color w:val="auto"/>
        </w:rPr>
      </w:pPr>
    </w:p>
    <w:p>
      <w:pPr>
        <w:ind w:right="540" w:firstLine="749"/>
        <w:spacing w:after="0" w:line="276" w:lineRule="auto"/>
        <w:rPr>
          <w:sz w:val="20"/>
          <w:szCs w:val="20"/>
          <w:color w:val="auto"/>
        </w:rPr>
      </w:pPr>
      <w:r>
        <w:rPr>
          <w:rFonts w:ascii="Arial" w:cs="Arial" w:eastAsia="Arial" w:hAnsi="Arial"/>
          <w:sz w:val="18"/>
          <w:szCs w:val="18"/>
          <w:color w:val="auto"/>
        </w:rPr>
        <w:t>Net product revenue increased by $45.6 million and $103.5 million for the three and nine months ended September 30, 2020, respectively, as compared to the same periods in 2019 due to the commercial launch of WAKIX on November 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12" w:lineRule="exact"/>
        <w:rPr>
          <w:sz w:val="20"/>
          <w:szCs w:val="20"/>
          <w:color w:val="auto"/>
        </w:rPr>
      </w:pPr>
    </w:p>
    <w:p>
      <w:pPr>
        <w:ind w:right="680" w:firstLine="749"/>
        <w:spacing w:after="0" w:line="276" w:lineRule="auto"/>
        <w:rPr>
          <w:sz w:val="20"/>
          <w:szCs w:val="20"/>
          <w:color w:val="auto"/>
        </w:rPr>
      </w:pPr>
      <w:r>
        <w:rPr>
          <w:rFonts w:ascii="Arial" w:cs="Arial" w:eastAsia="Arial" w:hAnsi="Arial"/>
          <w:sz w:val="18"/>
          <w:szCs w:val="18"/>
          <w:color w:val="auto"/>
        </w:rPr>
        <w:t>Cost of product sales increased by $ 7.9 million and $17.8 million for the three and nine months ended September 30, 2020, respectively, as compared to the same period in 2019 due to the commercial launch of WAKIX on November 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2" w:lineRule="exact"/>
        <w:rPr>
          <w:sz w:val="20"/>
          <w:szCs w:val="20"/>
          <w:color w:val="auto"/>
        </w:rPr>
      </w:pPr>
    </w:p>
    <w:p>
      <w:pPr>
        <w:jc w:val="both"/>
        <w:ind w:right="240" w:firstLine="749"/>
        <w:spacing w:after="0" w:line="248" w:lineRule="auto"/>
        <w:rPr>
          <w:sz w:val="20"/>
          <w:szCs w:val="20"/>
          <w:color w:val="auto"/>
        </w:rPr>
      </w:pPr>
      <w:r>
        <w:rPr>
          <w:rFonts w:ascii="Arial" w:cs="Arial" w:eastAsia="Arial" w:hAnsi="Arial"/>
          <w:sz w:val="18"/>
          <w:szCs w:val="18"/>
          <w:color w:val="auto"/>
        </w:rPr>
        <w:t>Research and development expenses remained consistent for the three months ended September 30, 2020 as compared to the same period in 2019. Research and development expenses decreased $50.5 million, or 81.0%, for the nine months ended September 30, 2020 as compared to the same period in 2019 primarily due to a milestone payment in February 2019 of $50.0 million associated with the Bioprojet License Agreement upon the acceptance of our NDA for WAKIX by the FDA and an increase in clinical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Sales and marketing expenses remained consistent for the three months ended September 30, 2020 as compared to the same period in 2019. Sales and marketing expenses increased by $10.8 million, or 39.4% for the nine months ended September 30, 2020, as compared to the same period in 2019 primarily due to field sales force personnel expenses and related field sales operations associated with the commercial launch of WAKIX.</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General and administrative expenses decreased by $2.1 million, or 16.4% for the three months ended September 30, 2020 as compared to the same period in 2019. This is primarily due to a legal settlement with our former CEO and an extension payment to Bioprojet in 2019 offset by the termination fee in connection with the Management Services Agreement. General and administrative expenses increased by $3.9 million, or 17.2% for the nine months ended September 30, 2020 as compared to the same prior-year period in 2019 primarily due to intangible asset amortization for a full nine months in 2020, the termination fee in connection with the Management Services Agreement and additional fees associated with our IPO in 2020, offset by the legal settlement with our former CEO and an extension payment to Bioprojet in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Loss on debt extinguishment was zero for the three months ended September 30, 2020 compared to the same period in 2019, and increased $22.6 million, or 100%, for the nine months ended September 30, 2020 as compared to the same period in 2019 primarily due to costs of extinguishment of debt during the period related to the prepayment of the Loan Agreement with CRG.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12" w:lineRule="exact"/>
        <w:rPr>
          <w:sz w:val="20"/>
          <w:szCs w:val="20"/>
          <w:color w:val="auto"/>
        </w:rPr>
      </w:pPr>
    </w:p>
    <w:p>
      <w:pPr>
        <w:ind w:right="200" w:firstLine="749"/>
        <w:spacing w:after="0" w:line="276" w:lineRule="auto"/>
        <w:rPr>
          <w:sz w:val="20"/>
          <w:szCs w:val="20"/>
          <w:color w:val="auto"/>
        </w:rPr>
      </w:pPr>
      <w:r>
        <w:rPr>
          <w:rFonts w:ascii="Arial" w:cs="Arial" w:eastAsia="Arial" w:hAnsi="Arial"/>
          <w:sz w:val="18"/>
          <w:szCs w:val="18"/>
          <w:color w:val="auto"/>
        </w:rPr>
        <w:t>Other income (expense), net increased by $1.5 million, or 100%, and $ 3.1 million, or 100%, for the three and nine months ended September 30, 2020, respectively, as compared to the same period in 2019 due to the change in the fair value of warrants.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12" w:lineRule="exact"/>
        <w:rPr>
          <w:sz w:val="20"/>
          <w:szCs w:val="20"/>
          <w:color w:val="auto"/>
        </w:rPr>
      </w:pPr>
    </w:p>
    <w:p>
      <w:pPr>
        <w:ind w:right="380" w:firstLine="749"/>
        <w:spacing w:after="0" w:line="255" w:lineRule="auto"/>
        <w:rPr>
          <w:sz w:val="20"/>
          <w:szCs w:val="20"/>
          <w:color w:val="auto"/>
        </w:rPr>
      </w:pPr>
      <w:r>
        <w:rPr>
          <w:rFonts w:ascii="Arial" w:cs="Arial" w:eastAsia="Arial" w:hAnsi="Arial"/>
          <w:sz w:val="18"/>
          <w:szCs w:val="18"/>
          <w:color w:val="auto"/>
        </w:rPr>
        <w:t>Interest expense increased by $4.9 million, or 231.6%, and $ 16.9 million, or 509.0%, for the three and nine months ended September 30, 2020, respectively, as compared to the same period in 2019 primarily due to payment of interest on the outstanding debt facility and amortization of debt issuance costs, partially offset by interest income earned on our cash balances.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For interim periods, we estimate the annual effective income tax rate and apply the estimated rate to the year-to-date income or loss before income taxes. The effective income tax rate was 0.0% for all periods. Currently, we have recorded a full valuation allowance against our net deferred tax assets, primarily related to federal and state net operating losses.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(i) our Loan Agreement with CRG and (ii) our Credit Agreement with OrbiMed, and (c) the proceeds from our IPO. From our inception through September 30, 2020, we have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began trading on the Nasdaq Global Market on August 19, 2020. The shares were sold at a price of $24.00 per share for net proceeds of approximately $135.4 million. As of September 30, 2020, we had cash, cash equivalents and restricted cash of $222.5 million and accumulated deficit of $487.9 million. As of September 30, 2020, we had outstanding debt, net of issuance costs, of $192.9 million.</w:t>
      </w:r>
    </w:p>
    <w:p>
      <w:pPr>
        <w:spacing w:after="0" w:line="288" w:lineRule="exact"/>
        <w:rPr>
          <w:sz w:val="20"/>
          <w:szCs w:val="20"/>
          <w:color w:val="auto"/>
        </w:rPr>
      </w:pPr>
    </w:p>
    <w:p>
      <w:pPr>
        <w:ind w:right="300" w:firstLine="637"/>
        <w:spacing w:after="0" w:line="248"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 We have incurred operating losses and negative cash flows from operations since inception resulting in an accumulated deficit of $487.9 million as of September 30, 2020.</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19" w:right="419" w:bottom="1440" w:gutter="0" w:footer="0" w:header="0"/>
        </w:sectPr>
      </w:pPr>
    </w:p>
    <w:bookmarkStart w:id="30" w:name="page31"/>
    <w:bookmarkEnd w:id="30"/>
    <w:p>
      <w:pPr>
        <w:ind w:firstLine="749"/>
        <w:spacing w:after="0" w:line="248" w:lineRule="auto"/>
        <w:rPr>
          <w:sz w:val="20"/>
          <w:szCs w:val="20"/>
          <w:color w:val="auto"/>
        </w:rPr>
      </w:pPr>
      <w:r>
        <w:rPr>
          <w:rFonts w:ascii="Arial" w:cs="Arial" w:eastAsia="Arial" w:hAnsi="Arial"/>
          <w:sz w:val="18"/>
          <w:szCs w:val="18"/>
          <w:color w:val="auto"/>
        </w:rPr>
        <w:t>We believe that our anticipated cash from operating and financing activities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 See “—Company Overview— Liquidity and Sources of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OrbiMed Credit Agreement</w:t>
      </w:r>
    </w:p>
    <w:p>
      <w:pPr>
        <w:spacing w:after="0" w:line="212"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On February 28, 2019, we entered into the Loan Agreement with CRG for an aggregate of $200.0 million of which $102.5 million was outstanding as of December 31, 2019. On January 9, 2020, we entered into the Credit Agreement with OrbiMed for an aggregate of $200.0 million and paid off all of our obligations under the Loan Agreement. Borrowings under the Credit Agreement are collateralized by all of the Company’s assets, excluding the intellectual property licensed through the Bioprojet License Agreement. The Credit Agreement matures on January 9, 2026 and bears an interest rate of the greater of (a) LIBOR or (b) 2.00% per annum, plus 11.00% per annum. When the LIBOR rate is no longer used post-2021, the Prime Rate will be used in the determination of the interest rate. The Credit Agreement requires compliance with certain financial covenants, including minimum net revenue thresholds and cash balance requirements (which include maintaining minimum liquidity of $12.5 million), and financial reporting requirements. We have been in compliance with the financial covenants under the Credit Agreement since it was entered into on January 9, 2020. The Credit Agreement also contains certain negative restrictive covenants that either limit our ability to, or require a mandatory prepayment in the event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and change our name, location, executive office or executive management without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Upcoming Milestone Payment</w:t>
      </w:r>
    </w:p>
    <w:p>
      <w:pPr>
        <w:spacing w:after="0" w:line="212" w:lineRule="exact"/>
        <w:rPr>
          <w:sz w:val="20"/>
          <w:szCs w:val="20"/>
          <w:color w:val="auto"/>
        </w:rPr>
      </w:pPr>
    </w:p>
    <w:p>
      <w:pPr>
        <w:ind w:right="500" w:firstLine="749"/>
        <w:spacing w:after="0" w:line="247" w:lineRule="auto"/>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w:t>
      </w:r>
    </w:p>
    <w:p>
      <w:pPr>
        <w:spacing w:after="0" w:line="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We expect to make the $100.0 million Cataplexy Milestone Payment to Bioprojet on or before its due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2" w:lineRule="exact"/>
        <w:rPr>
          <w:sz w:val="20"/>
          <w:szCs w:val="20"/>
          <w:color w:val="auto"/>
        </w:rPr>
      </w:pPr>
    </w:p>
    <w:p>
      <w:pPr>
        <w:ind w:right="340" w:firstLine="749"/>
        <w:spacing w:after="0" w:line="276" w:lineRule="auto"/>
        <w:rPr>
          <w:sz w:val="20"/>
          <w:szCs w:val="20"/>
          <w:color w:val="auto"/>
        </w:rPr>
      </w:pPr>
      <w:r>
        <w:rPr>
          <w:rFonts w:ascii="Arial" w:cs="Arial" w:eastAsia="Arial" w:hAnsi="Arial"/>
          <w:sz w:val="18"/>
          <w:szCs w:val="18"/>
          <w:color w:val="auto"/>
        </w:rPr>
        <w:t>The following table presents the major components of net cash flows used in and provided by operating, investing and financing activities for the periods indicated.</w:t>
      </w:r>
    </w:p>
    <w:p>
      <w:pPr>
        <w:spacing w:after="0" w:line="16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69"/>
        </w:trPr>
        <w:tc>
          <w:tcPr>
            <w:tcW w:w="20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20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9"/>
              </w:rPr>
              <w:t>Selected cash flow data</w:t>
            </w:r>
          </w:p>
        </w:tc>
        <w:tc>
          <w:tcPr>
            <w:tcW w:w="56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Cash provided by (used in):</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(13,032)</w:t>
            </w:r>
          </w:p>
        </w:tc>
        <w:tc>
          <w:tcPr>
            <w:tcW w:w="6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(51,449)</w:t>
            </w:r>
          </w:p>
        </w:tc>
      </w:tr>
      <w:tr>
        <w:trPr>
          <w:trHeight w:val="216"/>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8"/>
                <w:szCs w:val="18"/>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(50,113)</w:t>
            </w:r>
          </w:p>
        </w:tc>
      </w:tr>
      <w:tr>
        <w:trPr>
          <w:trHeight w:val="216"/>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210,317</w:t>
            </w:r>
          </w:p>
        </w:tc>
        <w:tc>
          <w:tcPr>
            <w:tcW w:w="6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119,559</w:t>
            </w:r>
          </w:p>
        </w:tc>
        <w:tc>
          <w:tcPr>
            <w:tcW w:w="120" w:type="dxa"/>
            <w:vAlign w:val="bottom"/>
            <w:shd w:val="clear" w:color="auto" w:fill="CFF0FC"/>
          </w:tcPr>
          <w:p>
            <w:pPr>
              <w:spacing w:after="0"/>
              <w:rPr>
                <w:sz w:val="18"/>
                <w:szCs w:val="18"/>
                <w:color w:val="auto"/>
              </w:rPr>
            </w:pPr>
          </w:p>
        </w:tc>
      </w:tr>
    </w:tbl>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Net cash used in operating activities decreased to $ 13.0 million for the nine months ended September 30, 2020 as compared to $51.4 million for the same period in 2019. This decrease was primarily attributable to company growth associated with the commercial launch of WAKIX.</w:t>
      </w:r>
    </w:p>
    <w:p>
      <w:pPr>
        <w:spacing w:after="0" w:line="164"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2020 consisted of our net loss of $36.7 million adjusted for non-cash items of $22.6 million associated with loss on extinguishment of debt and $8.7 million related to intangible amortization and fair value of warrants.</w:t>
      </w:r>
    </w:p>
    <w:p>
      <w:pPr>
        <w:spacing w:after="0" w:line="164" w:lineRule="exact"/>
        <w:rPr>
          <w:sz w:val="20"/>
          <w:szCs w:val="20"/>
          <w:color w:val="auto"/>
        </w:rPr>
      </w:pPr>
    </w:p>
    <w:p>
      <w:pPr>
        <w:ind w:right="20" w:firstLine="749"/>
        <w:spacing w:after="0" w:line="306" w:lineRule="auto"/>
        <w:rPr>
          <w:sz w:val="20"/>
          <w:szCs w:val="20"/>
          <w:color w:val="auto"/>
        </w:rPr>
      </w:pPr>
      <w:r>
        <w:rPr>
          <w:rFonts w:ascii="Arial" w:cs="Arial" w:eastAsia="Arial" w:hAnsi="Arial"/>
          <w:sz w:val="17"/>
          <w:szCs w:val="17"/>
          <w:color w:val="auto"/>
        </w:rPr>
        <w:t>Net cash used in operating activities for the nine months ended September 30, 2019 consisted of net loss of $115.5 million adjusted for a reclassification of $50.0 million to investing activities related to a milestone payment associated with the Bioprojet License Agreement.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12" w:lineRule="exact"/>
        <w:rPr>
          <w:sz w:val="20"/>
          <w:szCs w:val="20"/>
          <w:color w:val="auto"/>
        </w:rPr>
      </w:pPr>
    </w:p>
    <w:p>
      <w:pPr>
        <w:jc w:val="both"/>
        <w:ind w:right="140" w:firstLine="749"/>
        <w:spacing w:after="0" w:line="255" w:lineRule="auto"/>
        <w:rPr>
          <w:sz w:val="20"/>
          <w:szCs w:val="20"/>
          <w:color w:val="auto"/>
        </w:rPr>
      </w:pPr>
      <w:r>
        <w:rPr>
          <w:rFonts w:ascii="Arial" w:cs="Arial" w:eastAsia="Arial" w:hAnsi="Arial"/>
          <w:sz w:val="18"/>
          <w:szCs w:val="18"/>
          <w:color w:val="auto"/>
        </w:rPr>
        <w:t>Net cash used in investing activities decreased by $50.0 million to a minor amount for the nine months ended September 30, 2020 as compared to $ 50.1 million for the same period in 2019. This change was primarily due to $50.0 million of milestone payments associated with the Bioprojet License Agreement.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12" w:lineRule="exact"/>
        <w:rPr>
          <w:sz w:val="20"/>
          <w:szCs w:val="20"/>
          <w:color w:val="auto"/>
        </w:rPr>
      </w:pPr>
    </w:p>
    <w:p>
      <w:pPr>
        <w:ind w:right="280" w:firstLine="749"/>
        <w:spacing w:after="0" w:line="255" w:lineRule="auto"/>
        <w:rPr>
          <w:sz w:val="20"/>
          <w:szCs w:val="20"/>
          <w:color w:val="auto"/>
        </w:rPr>
      </w:pPr>
      <w:r>
        <w:rPr>
          <w:rFonts w:ascii="Arial" w:cs="Arial" w:eastAsia="Arial" w:hAnsi="Arial"/>
          <w:sz w:val="18"/>
          <w:szCs w:val="18"/>
          <w:color w:val="auto"/>
        </w:rPr>
        <w:t>Net cash provided by financing activities for the nine months ended September 30, 2020 was $ 210.3 million, which primarily consisted of $194.2 million associated with the OrbiMed Credit Agreement net of issuance costs and net proceeds from our IPO of $135.4 million, offset with $120.6 million of repayment and exit fees associated with the CRG Loan Agreement.</w:t>
      </w:r>
    </w:p>
    <w:p>
      <w:pPr>
        <w:spacing w:after="0" w:line="164" w:lineRule="exact"/>
        <w:rPr>
          <w:sz w:val="20"/>
          <w:szCs w:val="20"/>
          <w:color w:val="auto"/>
        </w:rPr>
      </w:pPr>
    </w:p>
    <w:p>
      <w:pPr>
        <w:ind w:right="660" w:firstLine="749"/>
        <w:spacing w:after="0" w:line="276" w:lineRule="auto"/>
        <w:rPr>
          <w:sz w:val="20"/>
          <w:szCs w:val="20"/>
          <w:color w:val="auto"/>
        </w:rPr>
      </w:pPr>
      <w:r>
        <w:rPr>
          <w:rFonts w:ascii="Arial" w:cs="Arial" w:eastAsia="Arial" w:hAnsi="Arial"/>
          <w:sz w:val="18"/>
          <w:szCs w:val="18"/>
          <w:color w:val="auto"/>
        </w:rPr>
        <w:t>Net cash provided by financing activities for the nine months ended September 30, 2019 was $119.6 million, which primarily consisted of borrowings under the CRG Loan Agreement net of issuance costs and net proceeds from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right="580" w:firstLine="749"/>
        <w:spacing w:after="0" w:line="276" w:lineRule="auto"/>
        <w:rPr>
          <w:sz w:val="20"/>
          <w:szCs w:val="20"/>
          <w:color w:val="auto"/>
        </w:rPr>
      </w:pPr>
      <w:r>
        <w:rPr>
          <w:rFonts w:ascii="Arial" w:cs="Arial" w:eastAsia="Arial" w:hAnsi="Arial"/>
          <w:sz w:val="18"/>
          <w:szCs w:val="18"/>
          <w:color w:val="auto"/>
        </w:rPr>
        <w:t>For the three and nine months ended September 30, 2020 and 2019, we did not have, and we do not currently have, any off-balance sheet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some of our costs incurred under our Services Agreement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0"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We define our critical accounting policies as those under U.S. GAAP that require us to make subjective estimates and judgments about matters that are uncertain and are likely to have a material impact on our financial condition and results of operations, as well as the specific manner in which we apply those principles. While our accounting policies are more fully described in Note 3 to our consolidated financial statements appearing elsewhere in this Quarterly Report on Form 10-Q, we believe the following are the critical accounting policies used in the preparation of our consolidated financial statements that require significant estimates and judgments.</w:t>
      </w:r>
    </w:p>
    <w:p>
      <w:pPr>
        <w:spacing w:after="0" w:line="172"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in the final prospectus for our IPO, filed pursuant to Rule 424(b) under the Securities Act with the SEC on August 18, 2020 (the “Prospectus”) and the notes to the unaudited condensed consolidated financial statements appearing elsewhere in this Quarterly Report on Form 10-Q. During the three and nine months ended September 30, 2020, there were no material changes to our critical accounting policies from those discussed in the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right="400" w:firstLine="749"/>
        <w:spacing w:after="0" w:line="276" w:lineRule="auto"/>
        <w:rPr>
          <w:sz w:val="20"/>
          <w:szCs w:val="20"/>
          <w:color w:val="auto"/>
        </w:rPr>
      </w:pPr>
      <w:r>
        <w:rPr>
          <w:rFonts w:ascii="Arial" w:cs="Arial" w:eastAsia="Arial" w:hAnsi="Arial"/>
          <w:sz w:val="18"/>
          <w:szCs w:val="18"/>
          <w:color w:val="auto"/>
        </w:rPr>
        <w:t>See Note 3 to our condensed consolidated financial statements appearing elsewhere in this Quarterly Report on Form 10-Q for more information.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The JOBS Act</w:t>
      </w:r>
    </w:p>
    <w:p>
      <w:pPr>
        <w:spacing w:after="0" w:line="214" w:lineRule="exact"/>
        <w:rPr>
          <w:sz w:val="20"/>
          <w:szCs w:val="20"/>
          <w:color w:val="auto"/>
        </w:rPr>
      </w:pPr>
    </w:p>
    <w:p>
      <w:pPr>
        <w:ind w:right="200" w:firstLine="749"/>
        <w:spacing w:after="0" w:line="255" w:lineRule="auto"/>
        <w:rPr>
          <w:sz w:val="20"/>
          <w:szCs w:val="20"/>
          <w:color w:val="auto"/>
        </w:rPr>
      </w:pPr>
      <w:r>
        <w:rPr>
          <w:rFonts w:ascii="Arial" w:cs="Arial" w:eastAsia="Arial" w:hAnsi="Arial"/>
          <w:sz w:val="18"/>
          <w:szCs w:val="18"/>
          <w:color w:val="auto"/>
        </w:rPr>
        <w:t>We are an “emerging growth company” (“EGC”),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4" w:lineRule="exact"/>
        <w:rPr>
          <w:sz w:val="20"/>
          <w:szCs w:val="20"/>
          <w:color w:val="auto"/>
        </w:rPr>
      </w:pPr>
    </w:p>
    <w:p>
      <w:pPr>
        <w:ind w:firstLine="749"/>
        <w:spacing w:after="0" w:line="245"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17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We will remain an EGC until the earliest of (i) the last day of our fiscal year (a) following the fifth anniversary of the completing of this offering, (b) in which we have total annual gross revenues of at least $ 1.07 billion or (ii) in which we are deemed to be a large accelerated filer, which means the market value of our common stock that is held by non-affiliates exceeds $ 700.0 million as of the prior June 30</w:t>
      </w:r>
      <w:r>
        <w:rPr>
          <w:rFonts w:ascii="Arial" w:cs="Arial" w:eastAsia="Arial" w:hAnsi="Arial"/>
          <w:sz w:val="15"/>
          <w:szCs w:val="15"/>
          <w:color w:val="auto"/>
        </w:rPr>
        <w:t>th</w:t>
      </w:r>
      <w:r>
        <w:rPr>
          <w:rFonts w:ascii="Arial" w:cs="Arial" w:eastAsia="Arial" w:hAnsi="Arial"/>
          <w:sz w:val="18"/>
          <w:szCs w:val="18"/>
          <w:color w:val="auto"/>
        </w:rPr>
        <w:t xml:space="preserve"> and (iii) the date on which we have issued more than $1.0 billion in non-convertible debt securities over a three-year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33" w:name="page34"/>
    <w:bookmarkEnd w:id="33"/>
    <w:p>
      <w:pPr>
        <w:ind w:right="5500"/>
        <w:spacing w:after="0" w:line="360" w:lineRule="auto"/>
        <w:rPr>
          <w:sz w:val="20"/>
          <w:szCs w:val="20"/>
          <w:color w:val="auto"/>
        </w:rPr>
      </w:pPr>
      <w:r>
        <w:rPr>
          <w:rFonts w:ascii="Arial" w:cs="Arial" w:eastAsia="Arial" w:hAnsi="Arial"/>
          <w:sz w:val="18"/>
          <w:szCs w:val="18"/>
          <w:b w:val="1"/>
          <w:bCs w:val="1"/>
          <w:i w:val="1"/>
          <w:iCs w:val="1"/>
          <w:color w:val="auto"/>
        </w:rPr>
        <w:t xml:space="preserve">Item 3. Quantitative and Qualitative Disclosures About Market Risk </w:t>
      </w:r>
      <w:r>
        <w:rPr>
          <w:rFonts w:ascii="Arial" w:cs="Arial" w:eastAsia="Arial" w:hAnsi="Arial"/>
          <w:sz w:val="18"/>
          <w:szCs w:val="18"/>
          <w:i w:val="1"/>
          <w:iCs w:val="1"/>
          <w:color w:val="auto"/>
        </w:rPr>
        <w:t>Interest Rate Fluctuation Risk</w:t>
      </w:r>
    </w:p>
    <w:p>
      <w:pPr>
        <w:ind w:right="240" w:firstLine="637"/>
        <w:spacing w:after="0" w:line="245" w:lineRule="auto"/>
        <w:rPr>
          <w:sz w:val="20"/>
          <w:szCs w:val="20"/>
          <w:color w:val="auto"/>
        </w:rPr>
      </w:pPr>
      <w:r>
        <w:rPr>
          <w:rFonts w:ascii="Arial" w:cs="Arial" w:eastAsia="Arial" w:hAnsi="Arial"/>
          <w:sz w:val="18"/>
          <w:szCs w:val="18"/>
          <w:color w:val="auto"/>
        </w:rPr>
        <w:t>We are exposed to market risk related to changes in interest rates. As of September 30, 2020,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72"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As of September 30, 2020, we had $200.0 million in borrowings outstanding. The term loan bears interest at an interest rate of the greater of (a) LIBOR or (b) 2.00% per annum, plus 11.00% per annum. Based on the $200.0 million of principal outstanding as of September 30, 2020, an immediate 10% change in the Prime Rate would not have a material impact on our debt-related obligations, financial position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Fluctuation Risk</w:t>
      </w:r>
    </w:p>
    <w:p>
      <w:pPr>
        <w:spacing w:after="0" w:line="102"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Fluctuation Risk</w:t>
      </w:r>
    </w:p>
    <w:p>
      <w:pPr>
        <w:spacing w:after="0" w:line="102" w:lineRule="exact"/>
        <w:rPr>
          <w:sz w:val="20"/>
          <w:szCs w:val="20"/>
          <w:color w:val="auto"/>
        </w:rPr>
      </w:pPr>
    </w:p>
    <w:p>
      <w:pPr>
        <w:ind w:right="380" w:firstLine="637"/>
        <w:spacing w:after="0" w:line="306"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had a material effect on our business, financial condition or results of operations for the three and nine months ending September 30, 2020 and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2020</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Based on that evaluation, our principal executive officer and principal financial officer concluded that, as of September 30, 2020,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Changes in Internal Control over Financial Reporting</w:t>
      </w:r>
    </w:p>
    <w:p>
      <w:pPr>
        <w:spacing w:after="0" w:line="115" w:lineRule="exact"/>
        <w:rPr>
          <w:sz w:val="20"/>
          <w:szCs w:val="20"/>
          <w:color w:val="auto"/>
        </w:rPr>
      </w:pPr>
    </w:p>
    <w:p>
      <w:pPr>
        <w:ind w:right="220" w:firstLine="637"/>
        <w:spacing w:after="0" w:line="255" w:lineRule="auto"/>
        <w:rPr>
          <w:sz w:val="20"/>
          <w:szCs w:val="20"/>
          <w:color w:val="auto"/>
        </w:rPr>
      </w:pPr>
      <w:r>
        <w:rPr>
          <w:rFonts w:ascii="Arial" w:cs="Arial" w:eastAsia="Arial" w:hAnsi="Arial"/>
          <w:sz w:val="18"/>
          <w:szCs w:val="18"/>
          <w:color w:val="212529"/>
        </w:rPr>
        <w:t>There were no changes in our internal control over financial reporting, as defined in Rules 13a-15(f) and 15d-15(f) under the Exchange Act, during the quarter ended September 30, 2020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Limitations on Effectiveness of Controls and Procedures</w:t>
      </w:r>
    </w:p>
    <w:p>
      <w:pPr>
        <w:spacing w:after="0" w:line="115" w:lineRule="exact"/>
        <w:rPr>
          <w:sz w:val="20"/>
          <w:szCs w:val="20"/>
          <w:color w:val="auto"/>
        </w:rPr>
      </w:pPr>
    </w:p>
    <w:p>
      <w:pPr>
        <w:ind w:right="140" w:firstLine="637"/>
        <w:spacing w:after="0" w:line="243" w:lineRule="auto"/>
        <w:rPr>
          <w:sz w:val="20"/>
          <w:szCs w:val="20"/>
          <w:color w:val="auto"/>
        </w:rPr>
      </w:pPr>
      <w:r>
        <w:rPr>
          <w:rFonts w:ascii="Arial" w:cs="Arial" w:eastAsia="Arial" w:hAnsi="Arial"/>
          <w:sz w:val="18"/>
          <w:szCs w:val="18"/>
          <w:color w:val="212529"/>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04" w:lineRule="exact"/>
        <w:rPr>
          <w:sz w:val="20"/>
          <w:szCs w:val="20"/>
          <w:color w:val="auto"/>
        </w:rPr>
      </w:pPr>
    </w:p>
    <w:p>
      <w:pPr>
        <w:ind w:firstLine="637"/>
        <w:spacing w:after="0" w:line="255"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included or incorporated by reference in this Quarterly Report on Form 10-Q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Quarterly Report on Form 10-Q also contains forward-looking statements that involve risks and uncertainties. See “Part I— Management’s Discussion and Analysis of Financial Condition and Results of Operations—Cautionary Note Regarding Forward-Looking Statements.” Our actual results could differ materially and adversely from those anticipated in these forward-looking statements as a result of certain factors, including those set forth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Risks</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risks related to our financial condition and capital requirements, risks related to our business, risks related to development, regulatory approval and commercialization, risks related to intellectual property, and risks related to being a public company. There are also risks related to ownership of our common stock. Some of our most significant risks include the following:</w:t>
      </w:r>
    </w:p>
    <w:p>
      <w:pPr>
        <w:spacing w:after="0" w:line="56" w:lineRule="exact"/>
        <w:rPr>
          <w:sz w:val="20"/>
          <w:szCs w:val="20"/>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for most periods since our inception and may never achieve or maintain profitability.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only recently begun generating revenue from product sales and may never be profitable.</w:t>
      </w:r>
    </w:p>
    <w:p>
      <w:pPr>
        <w:spacing w:after="0" w:line="116" w:lineRule="exact"/>
        <w:rPr>
          <w:rFonts w:ascii="Times New Roman" w:cs="Times New Roman" w:eastAsia="Times New Roman" w:hAnsi="Times New Roman"/>
          <w:sz w:val="18"/>
          <w:szCs w:val="18"/>
          <w:color w:val="auto"/>
        </w:rPr>
      </w:pPr>
    </w:p>
    <w:p>
      <w:pPr>
        <w:ind w:left="1120" w:right="320" w:hanging="370"/>
        <w:spacing w:after="0" w:line="27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history of commercializing drugs, which may make it difficult for you to evaluate the success of our business to date and to assess our future viability.</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only limited capital and may need to raise additional capital before we become profitable.</w:t>
      </w:r>
    </w:p>
    <w:p>
      <w:pPr>
        <w:spacing w:after="0" w:line="116" w:lineRule="exact"/>
        <w:rPr>
          <w:rFonts w:ascii="Times New Roman" w:cs="Times New Roman" w:eastAsia="Times New Roman" w:hAnsi="Times New Roman"/>
          <w:sz w:val="18"/>
          <w:szCs w:val="18"/>
          <w:color w:val="auto"/>
        </w:rPr>
      </w:pPr>
    </w:p>
    <w:p>
      <w:pPr>
        <w:ind w:left="1120" w:right="40" w:hanging="370"/>
        <w:spacing w:after="0" w:line="25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54" w:lineRule="exact"/>
        <w:rPr>
          <w:rFonts w:ascii="Times New Roman" w:cs="Times New Roman" w:eastAsia="Times New Roman" w:hAnsi="Times New Roman"/>
          <w:sz w:val="18"/>
          <w:szCs w:val="18"/>
          <w:color w:val="auto"/>
        </w:rPr>
      </w:pPr>
    </w:p>
    <w:p>
      <w:pPr>
        <w:ind w:left="1120" w:right="40" w:hanging="370"/>
        <w:spacing w:after="0" w:line="27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Our auditor has previously expressed substantial doubt about our ability to continue as a going concern and we may be unable to remain a going concern.</w:t>
      </w:r>
    </w:p>
    <w:p>
      <w:pPr>
        <w:spacing w:after="0" w:line="37" w:lineRule="exact"/>
        <w:rPr>
          <w:rFonts w:ascii="Times New Roman" w:cs="Times New Roman" w:eastAsia="Times New Roman" w:hAnsi="Times New Roman"/>
          <w:sz w:val="18"/>
          <w:szCs w:val="18"/>
          <w:color w:val="auto"/>
        </w:rPr>
      </w:pPr>
    </w:p>
    <w:p>
      <w:pPr>
        <w:ind w:left="1120" w:right="660" w:hanging="370"/>
        <w:spacing w:after="0" w:line="27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and we may be required to make significant payments in the future to Bioprojet under our licensing and collaboration agreements for pitolisant.</w:t>
      </w:r>
    </w:p>
    <w:p>
      <w:pPr>
        <w:spacing w:after="0" w:line="37" w:lineRule="exact"/>
        <w:rPr>
          <w:rFonts w:ascii="Times New Roman" w:cs="Times New Roman" w:eastAsia="Times New Roman" w:hAnsi="Times New Roman"/>
          <w:sz w:val="18"/>
          <w:szCs w:val="18"/>
          <w:color w:val="auto"/>
        </w:rPr>
      </w:pPr>
    </w:p>
    <w:p>
      <w:pPr>
        <w:ind w:left="1120" w:right="120" w:hanging="370"/>
        <w:spacing w:after="0" w:line="25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54" w:lineRule="exact"/>
        <w:rPr>
          <w:rFonts w:ascii="Times New Roman" w:cs="Times New Roman" w:eastAsia="Times New Roman" w:hAnsi="Times New Roman"/>
          <w:sz w:val="18"/>
          <w:szCs w:val="18"/>
          <w:color w:val="auto"/>
        </w:rPr>
      </w:pPr>
    </w:p>
    <w:p>
      <w:pPr>
        <w:ind w:left="1120" w:right="260" w:hanging="370"/>
        <w:spacing w:after="0" w:line="27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commercial adoption of WAKIX and any other product candidates we develop will depend on the degree of their market acceptance.</w:t>
      </w:r>
    </w:p>
    <w:p>
      <w:pPr>
        <w:spacing w:after="0" w:line="37" w:lineRule="exact"/>
        <w:rPr>
          <w:rFonts w:ascii="Times New Roman" w:cs="Times New Roman" w:eastAsia="Times New Roman" w:hAnsi="Times New Roman"/>
          <w:sz w:val="18"/>
          <w:szCs w:val="18"/>
          <w:color w:val="auto"/>
        </w:rPr>
      </w:pPr>
    </w:p>
    <w:p>
      <w:pPr>
        <w:jc w:val="both"/>
        <w:ind w:left="1120" w:right="100" w:hanging="370"/>
        <w:spacing w:after="0" w:line="25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54" w:lineRule="exact"/>
        <w:rPr>
          <w:rFonts w:ascii="Times New Roman" w:cs="Times New Roman" w:eastAsia="Times New Roman" w:hAnsi="Times New Roman"/>
          <w:sz w:val="18"/>
          <w:szCs w:val="18"/>
          <w:color w:val="auto"/>
        </w:rPr>
      </w:pPr>
    </w:p>
    <w:p>
      <w:pPr>
        <w:jc w:val="both"/>
        <w:ind w:left="1120" w:right="240" w:hanging="370"/>
        <w:spacing w:after="0" w:line="255" w:lineRule="auto"/>
        <w:tabs>
          <w:tab w:leader="none" w:pos="11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35" w:name="page36"/>
    <w:bookmarkEnd w:id="35"/>
    <w:p>
      <w:pPr>
        <w:ind w:left="1120" w:right="80" w:hanging="370"/>
        <w:spacing w:after="0" w:line="255" w:lineRule="auto"/>
        <w:tabs>
          <w:tab w:leader="none" w:pos="11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Because a number of companies compete with us, many of which have greater resources that we do, and because we face rapid changes in science in our industry, we cannot be certain that our products will be accepted in the marketplace or capture market share.</w:t>
      </w:r>
    </w:p>
    <w:p>
      <w:pPr>
        <w:spacing w:after="0" w:line="54" w:lineRule="exact"/>
        <w:rPr>
          <w:rFonts w:ascii="Times New Roman" w:cs="Times New Roman" w:eastAsia="Times New Roman" w:hAnsi="Times New Roman"/>
          <w:sz w:val="18"/>
          <w:szCs w:val="18"/>
          <w:color w:val="auto"/>
        </w:rPr>
      </w:pPr>
    </w:p>
    <w:p>
      <w:pPr>
        <w:ind w:left="1120" w:right="100" w:hanging="370"/>
        <w:spacing w:after="0" w:line="255" w:lineRule="auto"/>
        <w:tabs>
          <w:tab w:leader="none" w:pos="11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54" w:lineRule="exact"/>
        <w:rPr>
          <w:rFonts w:ascii="Times New Roman" w:cs="Times New Roman" w:eastAsia="Times New Roman" w:hAnsi="Times New Roman"/>
          <w:sz w:val="18"/>
          <w:szCs w:val="18"/>
          <w:color w:val="auto"/>
        </w:rPr>
      </w:pPr>
    </w:p>
    <w:p>
      <w:pPr>
        <w:ind w:left="1120" w:right="160" w:hanging="370"/>
        <w:spacing w:after="0" w:line="275" w:lineRule="auto"/>
        <w:tabs>
          <w:tab w:leader="none" w:pos="11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obtain and sustain an adequate level of coverage and reimbursement for WAKIX and other product candidates by third-party payors, sales would be adversely affected.</w:t>
      </w:r>
    </w:p>
    <w:p>
      <w:pPr>
        <w:spacing w:after="0" w:line="37" w:lineRule="exact"/>
        <w:rPr>
          <w:rFonts w:ascii="Times New Roman" w:cs="Times New Roman" w:eastAsia="Times New Roman" w:hAnsi="Times New Roman"/>
          <w:sz w:val="18"/>
          <w:szCs w:val="18"/>
          <w:color w:val="auto"/>
        </w:rPr>
      </w:pPr>
    </w:p>
    <w:p>
      <w:pPr>
        <w:ind w:left="1120" w:right="180" w:hanging="370"/>
        <w:spacing w:after="0" w:line="244" w:lineRule="auto"/>
        <w:tabs>
          <w:tab w:leader="none" w:pos="11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WAKIX has been approved by the FDA for the treatment of EDS or cataplexy in adult patients with narcolepsy. Regulatory approval is limited by the FDA to the specific indications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6"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expect to incur significant losses for the foreseeable future and may never achieve or maintain profitability.</w:t>
      </w:r>
    </w:p>
    <w:p>
      <w:pPr>
        <w:spacing w:after="0" w:line="12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Investment in pharmaceutical product development is highly speculative because it entails substantial upfront capital expenditures and significant risk that a product candidate will fail to gain regulatory approval or fail to become commercially viable. We have only recently begun to generate revenue from product sales and have incurred losses in each year since our inception for most periods. Our ability to generate revenue and achieve profitability depends on our ability to successfully commercialize WAKIX for the treatment of EDS in adult patients with narcolepsy and cataplexy in adult patients with narcolepsy, and to successfully develop and obtain the regulatory approvals necessary to commercialize pitolisant for other indications. We expect to continue to incur losses for the foreseeable future, and we anticipate these losses will increase as we commercialize WAKIX and as we continue to develop and potentially commercialize pitolisant for other indications.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recently begun generating revenue from product sales and may never be profitable.</w:t>
      </w:r>
    </w:p>
    <w:p>
      <w:pPr>
        <w:spacing w:after="0" w:line="212"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Other than WAKIX, we do not currently have any products that are available for commercial sale, and we may never achieve profitability. Our net loss was $ 36.7 million and $115.5 million for the nine months ended September 30, 2020 and 2019, respectively, and our net loss was $152.0 million for the year ended December 31, 2019. As of September 30, 2020, we had an accumulated deficit of $487.9 million. Our ability to become and remain profitable depends on our ability to generate revenue. We do not expect to generate significant revenue until we further commercialize WAKIX and obtain regulatory approval for potential additional indications for pitolisant, or any other product candidates we may develop. We generated net product revenues of $103.5 million and zero for the nine months ended September 30, 2020 and 2019 and net product revenues of $6.0 million for the years ended December 31, 2019. Successful commercialization will require achievement of many key milestones, including demonstrating safety and efficacy in clinical trials, obtaining regulatory approval, including marketing approval for these product candidates, manufacturing, marketing and selling those products for which we, or any of our future collaborators,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w:t>
      </w:r>
    </w:p>
    <w:p>
      <w:pPr>
        <w:spacing w:after="0" w:line="188"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suffer losses as we have in the past, investors may not receive any return on their investment and may lose their entire investment.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7" w:right="359" w:bottom="1440" w:gutter="0" w:footer="0" w:header="0"/>
        </w:sectPr>
      </w:pPr>
    </w:p>
    <w:bookmarkStart w:id="36" w:name="page37"/>
    <w:bookmarkEnd w:id="36"/>
    <w:p>
      <w:pPr>
        <w:ind w:right="540"/>
        <w:spacing w:after="0" w:line="285" w:lineRule="auto"/>
        <w:rPr>
          <w:sz w:val="20"/>
          <w:szCs w:val="20"/>
          <w:color w:val="auto"/>
        </w:rPr>
      </w:pPr>
      <w:r>
        <w:rPr>
          <w:rFonts w:ascii="Arial" w:cs="Arial" w:eastAsia="Arial" w:hAnsi="Arial"/>
          <w:sz w:val="18"/>
          <w:szCs w:val="18"/>
          <w:b w:val="1"/>
          <w:bCs w:val="1"/>
          <w:i w:val="1"/>
          <w:iCs w:val="1"/>
          <w:color w:val="auto"/>
        </w:rPr>
        <w:t>We have a limited operating history and history of commercializing drugs, which may make it difficult for you to evaluate the success of our business to date and to assess our future viability.</w:t>
      </w:r>
    </w:p>
    <w:p>
      <w:pPr>
        <w:spacing w:after="0" w:line="129"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We commenced operations in 2017, and our operations to date have been largely focused on staffing our company, business planning, raising capital, acquiring the rights to pitolisant, seeking registration in the United States for our product WAKIX, which is approved for the treatment of EDS in adult patients with narcolepsy and cataplexy in adult patients with narcolepsy, the commercialization of WAKIX, manufacturing WAKIX on a commercial scale, and preparing to develop pitolisant for other potential indications. This has included preparing the application for regulatory approval and other activities that were required for us to obtain approval of our NDA, and activities related to commercializing WAKIX. WAKIX is our only drug candidate for which we have obtained regulatory approval. Consequently, any predictions about our future success or viability may not be as accurate as they could be if we had a longer operating history or a longer history of successfully developing and commercializing drugs.</w:t>
      </w:r>
    </w:p>
    <w:p>
      <w:pPr>
        <w:spacing w:after="0" w:line="180" w:lineRule="exact"/>
        <w:rPr>
          <w:sz w:val="20"/>
          <w:szCs w:val="20"/>
          <w:color w:val="auto"/>
        </w:rPr>
      </w:pPr>
    </w:p>
    <w:p>
      <w:pPr>
        <w:jc w:val="both"/>
        <w:ind w:right="320" w:firstLine="637"/>
        <w:spacing w:after="0" w:line="255" w:lineRule="auto"/>
        <w:rPr>
          <w:sz w:val="20"/>
          <w:szCs w:val="20"/>
          <w:color w:val="auto"/>
        </w:rPr>
      </w:pPr>
      <w:r>
        <w:rPr>
          <w:rFonts w:ascii="Arial" w:cs="Arial" w:eastAsia="Arial" w:hAnsi="Arial"/>
          <w:sz w:val="18"/>
          <w:szCs w:val="18"/>
          <w:color w:val="auto"/>
        </w:rPr>
        <w:t>We expect our financial condition and operating results to continue to fluctuate from quarter to quarter and year to year due to a variety of factors, many of which are beyond our control. We may encounter unforeseen expenses, difficulties, complications, delays and other known or unknown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only limited capital and, may need to raise additional capital before we become profitable.</w:t>
      </w:r>
    </w:p>
    <w:p>
      <w:pPr>
        <w:spacing w:after="0" w:line="212" w:lineRule="exact"/>
        <w:rPr>
          <w:sz w:val="20"/>
          <w:szCs w:val="20"/>
          <w:color w:val="auto"/>
        </w:rPr>
      </w:pPr>
    </w:p>
    <w:p>
      <w:pPr>
        <w:ind w:right="180" w:firstLine="637"/>
        <w:spacing w:after="0" w:line="248" w:lineRule="auto"/>
        <w:rPr>
          <w:sz w:val="20"/>
          <w:szCs w:val="20"/>
          <w:color w:val="auto"/>
        </w:rPr>
      </w:pPr>
      <w:r>
        <w:rPr>
          <w:rFonts w:ascii="Arial" w:cs="Arial" w:eastAsia="Arial" w:hAnsi="Arial"/>
          <w:sz w:val="18"/>
          <w:szCs w:val="18"/>
          <w:color w:val="auto"/>
        </w:rPr>
        <w:t>As of September 30, 2020, we had an accumulated deficit of $487.9 million, and available cash and cash equivalents of $221.7 million. We have $200.0 million of debt outstanding under our Credit Agreement with OrbiMed. We believe that our anticipated cash from operating and financing activities and existing cash and cash equivalents will enable us to meet its operational liquidity needs and fund our planned investing activities for the next 12 months.</w:t>
      </w:r>
    </w:p>
    <w:p>
      <w:pPr>
        <w:spacing w:after="0" w:line="170" w:lineRule="exact"/>
        <w:rPr>
          <w:sz w:val="20"/>
          <w:szCs w:val="20"/>
          <w:color w:val="auto"/>
        </w:rPr>
      </w:pPr>
    </w:p>
    <w:p>
      <w:pPr>
        <w:ind w:right="100" w:firstLine="637"/>
        <w:spacing w:after="0" w:line="248" w:lineRule="auto"/>
        <w:rPr>
          <w:sz w:val="20"/>
          <w:szCs w:val="20"/>
          <w:color w:val="auto"/>
        </w:rPr>
      </w:pPr>
      <w:r>
        <w:rPr>
          <w:rFonts w:ascii="Arial" w:cs="Arial" w:eastAsia="Arial" w:hAnsi="Arial"/>
          <w:sz w:val="18"/>
          <w:szCs w:val="18"/>
          <w:color w:val="auto"/>
        </w:rPr>
        <w:t>This estimate is based on assumptions that may prove to be wrong, and we could exhaust our available capital resources sooner than we currently expect. Because the length of time and activities associated with the successful development of our product candidates is highly uncertain, we are unable to estimate with certainty the actual funds we will require for development and any approved marketing and commercialization activities.</w:t>
      </w:r>
    </w:p>
    <w:p>
      <w:pPr>
        <w:spacing w:after="0" w:line="170" w:lineRule="exact"/>
        <w:rPr>
          <w:sz w:val="20"/>
          <w:szCs w:val="20"/>
          <w:color w:val="auto"/>
        </w:rPr>
      </w:pPr>
    </w:p>
    <w:p>
      <w:pPr>
        <w:ind w:firstLine="637"/>
        <w:spacing w:after="0" w:line="255" w:lineRule="auto"/>
        <w:rPr>
          <w:sz w:val="20"/>
          <w:szCs w:val="20"/>
          <w:color w:val="auto"/>
        </w:rPr>
      </w:pPr>
      <w:r>
        <w:rPr>
          <w:rFonts w:ascii="Arial" w:cs="Arial" w:eastAsia="Arial" w:hAnsi="Arial"/>
          <w:sz w:val="18"/>
          <w:szCs w:val="18"/>
          <w:color w:val="auto"/>
        </w:rPr>
        <w:t>To fund future operations to the point at which we are able to generate positive cash flow from sales of WAKIX or other potential product candidates, we may need to raise significant additional capital. The amount and timing of future funding requirements will depend on many factors, including, but not limited to:</w:t>
      </w:r>
    </w:p>
    <w:p>
      <w:pPr>
        <w:spacing w:after="0" w:line="56" w:lineRule="exact"/>
        <w:rPr>
          <w:sz w:val="20"/>
          <w:szCs w:val="20"/>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commercialization of WAKIX;</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commercial-scale manufacturing activities;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payment of royalties and milestone payments to Bioprojet;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timing and cost of meeting regulatory requirements established by the FDA and other regulatory authorities;</w:t>
      </w:r>
    </w:p>
    <w:p>
      <w:pPr>
        <w:spacing w:after="0" w:line="116" w:lineRule="exact"/>
        <w:rPr>
          <w:rFonts w:ascii="Times New Roman" w:cs="Times New Roman" w:eastAsia="Times New Roman" w:hAnsi="Times New Roman"/>
          <w:sz w:val="18"/>
          <w:szCs w:val="18"/>
          <w:color w:val="auto"/>
        </w:rPr>
      </w:pPr>
    </w:p>
    <w:p>
      <w:pPr>
        <w:ind w:left="1120" w:right="60" w:hanging="370"/>
        <w:spacing w:after="0" w:line="255" w:lineRule="auto"/>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other comparable regulatory authorities to accept our clinical trial designs, as well as data from our completed and planned clinical trials and preclinical studies and other work, as the basis for the review and approval of pitolisant for other potential indications or of any other product candidates;</w:t>
      </w:r>
    </w:p>
    <w:p>
      <w:pPr>
        <w:spacing w:after="0" w:line="54" w:lineRule="exact"/>
        <w:rPr>
          <w:rFonts w:ascii="Times New Roman" w:cs="Times New Roman" w:eastAsia="Times New Roman" w:hAnsi="Times New Roman"/>
          <w:sz w:val="18"/>
          <w:szCs w:val="18"/>
          <w:color w:val="auto"/>
        </w:rPr>
      </w:pPr>
    </w:p>
    <w:p>
      <w:pPr>
        <w:ind w:left="1120" w:right="40" w:hanging="370"/>
        <w:spacing w:after="0" w:line="275" w:lineRule="auto"/>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expansion of our current development programs to seek new indications for pitolisant, potential new development programs for additional indications, and related general and administrative support;</w:t>
      </w:r>
    </w:p>
    <w:p>
      <w:pPr>
        <w:spacing w:after="0" w:line="37" w:lineRule="exact"/>
        <w:rPr>
          <w:rFonts w:ascii="Times New Roman" w:cs="Times New Roman" w:eastAsia="Times New Roman" w:hAnsi="Times New Roman"/>
          <w:sz w:val="18"/>
          <w:szCs w:val="18"/>
          <w:color w:val="auto"/>
        </w:rPr>
      </w:pPr>
    </w:p>
    <w:p>
      <w:pPr>
        <w:ind w:left="1120" w:right="200" w:hanging="370"/>
        <w:spacing w:after="0" w:line="275" w:lineRule="auto"/>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progress, timing, and results of our clinical trials through all phases of development for pitolisant as a treatment for other indications and any other product candidates;</w:t>
      </w:r>
    </w:p>
    <w:p>
      <w:pPr>
        <w:spacing w:after="0" w:line="37" w:lineRule="exact"/>
        <w:rPr>
          <w:rFonts w:ascii="Times New Roman" w:cs="Times New Roman" w:eastAsia="Times New Roman" w:hAnsi="Times New Roman"/>
          <w:sz w:val="18"/>
          <w:szCs w:val="18"/>
          <w:color w:val="auto"/>
        </w:rPr>
      </w:pPr>
    </w:p>
    <w:p>
      <w:pPr>
        <w:ind w:left="1120" w:right="260" w:hanging="370"/>
        <w:spacing w:after="0" w:line="275" w:lineRule="auto"/>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filing, prosecuting, defending and enforcing our patent claims and other intellectual property rights, in-licensed or otherwise;</w:t>
      </w:r>
    </w:p>
    <w:p>
      <w:pPr>
        <w:spacing w:after="0" w:line="37" w:lineRule="exact"/>
        <w:rPr>
          <w:rFonts w:ascii="Times New Roman" w:cs="Times New Roman" w:eastAsia="Times New Roman" w:hAnsi="Times New Roman"/>
          <w:sz w:val="18"/>
          <w:szCs w:val="18"/>
          <w:color w:val="auto"/>
        </w:rPr>
      </w:pPr>
    </w:p>
    <w:p>
      <w:pPr>
        <w:ind w:left="1120" w:right="420" w:hanging="370"/>
        <w:spacing w:after="0" w:line="275" w:lineRule="auto"/>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for pitolisant or future product candidates;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acquiring rights to other pharmaceutical products in the future to further develop and commercialize;</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general operating expenses;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37" w:name="page38"/>
    <w:bookmarkEnd w:id="37"/>
    <w:p>
      <w:pPr>
        <w:ind w:left="1120" w:right="80" w:hanging="370"/>
        <w:spacing w:after="0" w:line="275" w:lineRule="auto"/>
        <w:tabs>
          <w:tab w:leader="none" w:pos="11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establishing sales, marketing and distribution capabilities for our product candidates in regions where those product candidates are approved and where we choose to commercialize our products on our own; and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224"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Other than our Credit Agreement with OrbiMed, we have no committed source of additional capital and we anticipate that we may seek to fund our operations through public or private equity offerings, debt financings, collaborations, licensing arrangements or other sources, or any combination of the foregoing. We cannot assure you that anticipated additional financing will be available to us on favorable terms, or at all. Although we have been successful in obtaining financing through the issuance of our equity securities and debt facilities, we cannot assure you that we will be able to do so in the future. If we are unable to raise additional capital in sufficient amounts or on terms acceptable to us to fund our commercialization of WAKIX and clinical development and commercialization of pitolisant for other indications, if approved, and other business activities, we could be forced to significantly delay, scale back, or discontinue the development or commercialization of our product candidates or curtail or cease our operations.</w:t>
      </w:r>
    </w:p>
    <w:p>
      <w:pPr>
        <w:spacing w:after="0" w:line="180"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 to our technologies or product candidates.</w:t>
      </w:r>
    </w:p>
    <w:p>
      <w:pPr>
        <w:spacing w:after="0" w:line="151"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We expect that significant additional capital will be needed in the future to continue our planned operations. Until such time, if ever, that we can generate sufficient product revenue from the sale of WAKIX, we may need to finance our cash needs through a combination of equity offerings, debt financings, including our Credit Agreement,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adversely affect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 which could adversely affect our ability to conduct our business.</w:t>
      </w:r>
    </w:p>
    <w:p>
      <w:pPr>
        <w:spacing w:after="0" w:line="180" w:lineRule="exact"/>
        <w:rPr>
          <w:sz w:val="20"/>
          <w:szCs w:val="20"/>
          <w:color w:val="auto"/>
        </w:rPr>
      </w:pPr>
    </w:p>
    <w:p>
      <w:pPr>
        <w:ind w:right="140" w:firstLine="637"/>
        <w:spacing w:after="0" w:line="24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72"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Our auditor has previously expressed substantial doubt about our ability to continue as a going concern and we may be unable to remain a going concern.</w:t>
      </w:r>
    </w:p>
    <w:p>
      <w:pPr>
        <w:spacing w:after="0" w:line="129"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In light of our recurring losses, accumulated deficit and negative cash flow as described in our notes to our audited financial statements, we had previously concluded there was substantial doubt regarding our ability to continue as a going concern and the report of our independent registered public accounting firm on our financial statements for the year ended December 31, 2019 contained an explanatory paragraph communicating this matter. Our financial statements did not include any adjustments that may have been necessary in the event we were unable to continue as a going concern. Had we been unable to establish to the satisfaction of our independent registered public accounting firm that our expected operational performance and liquidity would be sufficient to allow for the removal of this going concern qualification, we would have needed to significantly modify our operational plans for us to continue as a going concern. We believe that our anticipated cash from operating and financing activities and existing cash and cash equivalents, including the net proceeds from our initial public offering, will enable us to meet our operational liquidity needs and fund our planned investing activities for the next 12 months.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8" w:name="page39"/>
    <w:bookmarkEnd w:id="38"/>
    <w:p>
      <w:pPr>
        <w:ind w:right="180"/>
        <w:spacing w:after="0" w:line="285" w:lineRule="auto"/>
        <w:rPr>
          <w:sz w:val="20"/>
          <w:szCs w:val="20"/>
          <w:color w:val="auto"/>
        </w:rPr>
      </w:pPr>
      <w:r>
        <w:rPr>
          <w:rFonts w:ascii="Arial" w:cs="Arial" w:eastAsia="Arial" w:hAnsi="Arial"/>
          <w:sz w:val="18"/>
          <w:szCs w:val="18"/>
          <w:b w:val="1"/>
          <w:bCs w:val="1"/>
          <w:i w:val="1"/>
          <w:iCs w:val="1"/>
          <w:color w:val="auto"/>
        </w:rPr>
        <w:t>We have made and may be required in the future to make significant payments to Bioprojet under our licensing and collaboration agreements for pitolisant.</w:t>
      </w:r>
    </w:p>
    <w:p>
      <w:pPr>
        <w:spacing w:after="0" w:line="129"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Under our agreements with Bioprojet, we are subject to significant obligations, including payment obligations upon the achievement of specified milestones and payments based on product sales, as well as other material obligations. Certain of the milestone payments payable by us under these agreements were paid prior to our commercialization of WAKIX. In addition, we are subject to two further milestone payments pursuant to the Bioprojet License Agreement: (i) a milestone payment of $40.0 million upon the attainment of aggregate net sales of WAKIX in the United States of $500.0 million subsequent to the date of NDA approval by the FDA and (ii) the $100.0 million Cataplexy Milestone Payment, which we became obligated to make upon the Cataplexy Milestone Trigger Date. Upon the Cataplexy Milestone Trigger Date, in October 2020, we made a payment to Bioprojet of $2.0 million to extend the Cataplexy Milestone Payment due date to within 90 days of the Cataplexy Milestone Trigger Date. We expect to make the $100.0 million Cataplexy Milestone Payment to Bioprojet which is due 90 days after the due date. There can be no assurance that we will have the funds necessary to make such payments in the future, or be able to raise such funds when needed, on terms acceptable to us, or at all. If we fail to comply with our payment obligations, Bioprojet has the right to terminate the license agreement, in which event we would not be able to develop, manufacture or market WAKIX or any other pitolisant-based product candidate. Furthermore, if we are forced to raise additional funds to make such payments, we may be required to delay, limit, reduce or terminate our product development or future commercialization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limited.</w:t>
      </w:r>
    </w:p>
    <w:p>
      <w:pPr>
        <w:spacing w:after="0" w:line="212" w:lineRule="exact"/>
        <w:rPr>
          <w:sz w:val="20"/>
          <w:szCs w:val="20"/>
          <w:color w:val="auto"/>
        </w:rPr>
      </w:pPr>
    </w:p>
    <w:p>
      <w:pPr>
        <w:ind w:right="40" w:firstLine="637"/>
        <w:spacing w:after="0" w:line="239" w:lineRule="auto"/>
        <w:rPr>
          <w:sz w:val="20"/>
          <w:szCs w:val="20"/>
          <w:color w:val="auto"/>
        </w:rPr>
      </w:pPr>
      <w:r>
        <w:rPr>
          <w:rFonts w:ascii="Arial" w:cs="Arial" w:eastAsia="Arial" w:hAnsi="Arial"/>
          <w:sz w:val="18"/>
          <w:szCs w:val="18"/>
          <w:color w:val="auto"/>
        </w:rPr>
        <w:t>As of December 31, 2019, we had U.S. federal and state net operating loss carryforwards of approximately $147.8 million and $139.3 million, respectively. Our ability to utilize our federal net operating loss carryforwards may be limited under Section 382 of the Internal Revenue Code of 1986, as amended (the “Code”). The limitations apply if we experience an “ownership change,” which is generally defined as a greater than 50 percentage point change (by value) in the ownership of our equity by certain stockholders over a rolling three-year period. Similar provisions of state tax law may also apply to limit the use of our state net operating loss carryforwards. We have not assessed whether such an ownership change has previously occurred. If we have experienced an ownership change at any time since our incorporation, we may already be subject to limitations on our ability to utilize our existing net operating loss carryforwards to offset taxable income. In addition, future changes in our stock ownership, which may be outside of our control, may trigger an ownership change and, consequently, the limitations under Section 382 of the Code. As a result, if or when we earn net taxable income, our ability to use our pre-change net operating loss carryforwards to offset such taxable income may be subject to limitations, which could adversely affect our future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restrictive and financial covenants that may limit our operating flexibility.</w:t>
      </w:r>
    </w:p>
    <w:p>
      <w:pPr>
        <w:spacing w:after="0" w:line="21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Our Credit Agreement with OrbiMed contains certain restrictive covenants that either limit our ability to, or require a mandatory prepayment in the event that,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or change our name, location, executive office or executive management without notice. We, therefore, may not be able to engage in any of the foregoing transactions unless we obtain the consent of OrbiMed or prepay the outstanding amount under the Credit Agreement. The Credit Agreement also contains certain financial covenants, including minimum revenue and cash balance requirements (which include maintaining minimum liquidity of $12.5 million), and financial reporting requirements.</w:t>
      </w:r>
    </w:p>
    <w:p>
      <w:pPr>
        <w:spacing w:after="0" w:line="180"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Our obligations under the Credit Agreement are secured by all of our property, with certain exceptions. We may not be able to generate sufficient cash flow or sales to meet the financial covenants or pay the principal and interest under the Credit Agreement. Furthermore, our future working capital, borrowings or equity financing could be unavailable to repay or refinance the amounts outstanding under the Credit Agreement. In the event of a liquidation, OrbiMed would be repaid all outstanding principal and interest prior to distribution of assets to unsecured creditors, and the holders of our common stock would receive a portion of any liquidation proceeds only if all of our creditors then existing, including OrbiMed, were first repaid in full.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b w:val="1"/>
          <w:bCs w:val="1"/>
          <w:i w:val="1"/>
          <w:iCs w:val="1"/>
          <w:color w:val="auto"/>
        </w:rPr>
        <w:t>We are substantially dependent on our ability to successfully commercialize WAKIX, which is currently our only approved product. If we are unable to successfully commercialize WAKIX, our ability to generate revenue and our financial condition will be adversely affected.</w:t>
      </w:r>
    </w:p>
    <w:p>
      <w:pPr>
        <w:spacing w:after="0" w:line="151" w:lineRule="exact"/>
        <w:rPr>
          <w:sz w:val="20"/>
          <w:szCs w:val="20"/>
          <w:color w:val="auto"/>
        </w:rPr>
      </w:pPr>
    </w:p>
    <w:p>
      <w:pPr>
        <w:ind w:right="480" w:firstLine="637"/>
        <w:spacing w:after="0" w:line="248" w:lineRule="auto"/>
        <w:rPr>
          <w:sz w:val="20"/>
          <w:szCs w:val="20"/>
          <w:color w:val="auto"/>
        </w:rPr>
      </w:pPr>
      <w:r>
        <w:rPr>
          <w:rFonts w:ascii="Arial" w:cs="Arial" w:eastAsia="Arial" w:hAnsi="Arial"/>
          <w:sz w:val="18"/>
          <w:szCs w:val="18"/>
          <w:color w:val="auto"/>
        </w:rPr>
        <w:t>Since our inception, we have invested substantially all of our capital resources on the development, registration and commercialization of WAKIX, which was approved for the treatment of EDS in adult patients with narcolepsy in August 2019 and for the treatment of cataplexy in adult patients with narcolepsy in October 2020. We cannot be certain that WAKIX will be successfully commercialized.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ability to generate revenue from product sales depends heavily on our success in many areas, including but not limited to:</w:t>
      </w:r>
    </w:p>
    <w:p>
      <w:pPr>
        <w:spacing w:after="0" w:line="104" w:lineRule="exact"/>
        <w:rPr>
          <w:sz w:val="20"/>
          <w:szCs w:val="20"/>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commercializing WAKIX, either independently or with marketing service providers;</w:t>
      </w:r>
    </w:p>
    <w:p>
      <w:pPr>
        <w:spacing w:after="0" w:line="116" w:lineRule="exact"/>
        <w:rPr>
          <w:rFonts w:ascii="Times New Roman" w:cs="Times New Roman" w:eastAsia="Times New Roman" w:hAnsi="Times New Roman"/>
          <w:sz w:val="18"/>
          <w:szCs w:val="18"/>
          <w:color w:val="auto"/>
        </w:rPr>
      </w:pPr>
    </w:p>
    <w:p>
      <w:pPr>
        <w:ind w:left="1120" w:right="300" w:hanging="370"/>
        <w:spacing w:after="0" w:line="275" w:lineRule="auto"/>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our sales and marketing strategy and operations, and obtaining market acceptance of WAKIX, including garnering market share from existing and future treatment alternatives;</w:t>
      </w:r>
    </w:p>
    <w:p>
      <w:pPr>
        <w:spacing w:after="0" w:line="37" w:lineRule="exact"/>
        <w:rPr>
          <w:rFonts w:ascii="Times New Roman" w:cs="Times New Roman" w:eastAsia="Times New Roman" w:hAnsi="Times New Roman"/>
          <w:sz w:val="18"/>
          <w:szCs w:val="18"/>
          <w:color w:val="auto"/>
        </w:rPr>
      </w:pPr>
    </w:p>
    <w:p>
      <w:pPr>
        <w:ind w:left="1120" w:right="80" w:hanging="370"/>
        <w:spacing w:after="0" w:line="275" w:lineRule="auto"/>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compliance with all regulatory requirements applicable to WAKIX and our commercial activities, including the post-marketing requirements and post-marketing commitments required by the FDA;</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from third-party payors for each of our product candidates;</w:t>
      </w:r>
    </w:p>
    <w:p>
      <w:pPr>
        <w:spacing w:after="0" w:line="116" w:lineRule="exact"/>
        <w:rPr>
          <w:rFonts w:ascii="Times New Roman" w:cs="Times New Roman" w:eastAsia="Times New Roman" w:hAnsi="Times New Roman"/>
          <w:sz w:val="18"/>
          <w:szCs w:val="18"/>
          <w:color w:val="auto"/>
        </w:rPr>
      </w:pPr>
    </w:p>
    <w:p>
      <w:pPr>
        <w:ind w:left="1120" w:right="20" w:hanging="370"/>
        <w:spacing w:after="0" w:line="248" w:lineRule="auto"/>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acceptability of the safety profile of WAKIX and the occurrence of any unexpected side effects, adverse reactions or misuse, including potential business impact such as the need to withdraw the product (either voluntarily or as mandated by the FDA), loss of support by the advocacy communities or loss of positive corporate reputation resulting in related unfavorable media coverage in these areas;</w:t>
      </w:r>
    </w:p>
    <w:p>
      <w:pPr>
        <w:spacing w:after="0" w:line="61"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managing third-party service providers involved in the manufacturing and development of pitolisant;</w:t>
      </w:r>
    </w:p>
    <w:p>
      <w:pPr>
        <w:spacing w:after="0" w:line="116" w:lineRule="exact"/>
        <w:rPr>
          <w:rFonts w:ascii="Times New Roman" w:cs="Times New Roman" w:eastAsia="Times New Roman" w:hAnsi="Times New Roman"/>
          <w:sz w:val="18"/>
          <w:szCs w:val="18"/>
          <w:color w:val="auto"/>
        </w:rPr>
      </w:pPr>
    </w:p>
    <w:p>
      <w:pPr>
        <w:ind w:left="1120" w:right="480" w:hanging="370"/>
        <w:spacing w:after="0" w:line="275" w:lineRule="auto"/>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completing the development of pitolisant in other indications by demonstrating safety, tolerability and efficacy profiles that are satisfactory to the FDA;</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approvals to market pitolisant for other indications;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complying with the terms of the license agreement with Bioprojet;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6"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protecting and expanding the portfolio of intellectual property rights, including patents, trade secrets and knowhow; and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ind w:right="140" w:firstLine="637"/>
        <w:spacing w:after="0" w:line="241" w:lineRule="auto"/>
        <w:rPr>
          <w:sz w:val="20"/>
          <w:szCs w:val="20"/>
          <w:color w:val="auto"/>
        </w:rPr>
      </w:pPr>
      <w:r>
        <w:rPr>
          <w:rFonts w:ascii="Arial" w:cs="Arial" w:eastAsia="Arial" w:hAnsi="Arial"/>
          <w:sz w:val="18"/>
          <w:szCs w:val="18"/>
          <w:color w:val="auto"/>
        </w:rPr>
        <w:t>In our efforts to market WAKIX for the treatment of EDS in adult patients with narcolepsy and cataplexy in adult patients with narcolepsy, our revenue will be dependent, in part, on the size of the markets in the United States, or in other territories where we may seek and obtain regulatory approval, the number of competitors in such markets, the acceptance of the price of the product in those markets and the ability to obtain reimbursement at any price. If the number of our addressable patients is not as large as we estimate or the reasonably accepted population for treatment is narrowed by competition, physician choice or treatment guidelines, we may not generate significant revenue from sales of such products. If we are not able to generate substantial revenue from the sale of approved products, we may never become profitable.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40" w:name="page41"/>
    <w:bookmarkEnd w:id="40"/>
    <w:p>
      <w:pPr>
        <w:ind w:right="680"/>
        <w:spacing w:after="0" w:line="285" w:lineRule="auto"/>
        <w:rPr>
          <w:sz w:val="20"/>
          <w:szCs w:val="20"/>
          <w:color w:val="auto"/>
        </w:rPr>
      </w:pPr>
      <w:r>
        <w:rPr>
          <w:rFonts w:ascii="Arial" w:cs="Arial" w:eastAsia="Arial" w:hAnsi="Arial"/>
          <w:sz w:val="18"/>
          <w:szCs w:val="18"/>
          <w:b w:val="1"/>
          <w:bCs w:val="1"/>
          <w:i w:val="1"/>
          <w:iCs w:val="1"/>
          <w:color w:val="auto"/>
        </w:rPr>
        <w:t>The commercial adoption of WAKIX and any other product candidates we develop will depend on the degree of their market acceptance.</w:t>
      </w:r>
    </w:p>
    <w:p>
      <w:pPr>
        <w:spacing w:after="0" w:line="129" w:lineRule="exact"/>
        <w:rPr>
          <w:sz w:val="20"/>
          <w:szCs w:val="20"/>
          <w:color w:val="auto"/>
        </w:rPr>
      </w:pPr>
    </w:p>
    <w:p>
      <w:pPr>
        <w:ind w:right="20" w:firstLine="637"/>
        <w:spacing w:after="0" w:line="260" w:lineRule="auto"/>
        <w:rPr>
          <w:sz w:val="20"/>
          <w:szCs w:val="20"/>
          <w:color w:val="auto"/>
        </w:rPr>
      </w:pPr>
      <w:r>
        <w:rPr>
          <w:rFonts w:ascii="Arial" w:cs="Arial" w:eastAsia="Arial" w:hAnsi="Arial"/>
          <w:sz w:val="17"/>
          <w:szCs w:val="17"/>
          <w:color w:val="auto"/>
        </w:rPr>
        <w:t>Even with the requisite approvals from the FDA and other regulatory authorities, the commercial adoption of WAKIX for the treatment of EDS in adult patients with narcolepsy and cataplexy in adult patients with narcolepsy, and any other indications and product candidates we may develop, will depend on the degree of their acceptance by physicians, patients, third-party payors and others in the medical community. If WAKIX or any other product candidates we develop do not achieve an adequate level of market acceptance, we may not generate significant product revenues or any profits from operations. The degree of market acceptance of WAKIX or any other product candidates we develop, if approved for commercial sale, will depend on a number of factors, some of which are beyond our control, including:</w:t>
      </w:r>
    </w:p>
    <w:p>
      <w:pPr>
        <w:spacing w:after="0" w:line="52" w:lineRule="exact"/>
        <w:rPr>
          <w:sz w:val="20"/>
          <w:szCs w:val="20"/>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and efficacy of the product as demonstrated in clinical trials;</w:t>
      </w:r>
    </w:p>
    <w:p>
      <w:pPr>
        <w:spacing w:after="0" w:line="116" w:lineRule="exact"/>
        <w:rPr>
          <w:rFonts w:ascii="Times New Roman" w:cs="Times New Roman" w:eastAsia="Times New Roman" w:hAnsi="Times New Roman"/>
          <w:sz w:val="18"/>
          <w:szCs w:val="18"/>
          <w:color w:val="auto"/>
        </w:rPr>
      </w:pPr>
    </w:p>
    <w:p>
      <w:pPr>
        <w:jc w:val="both"/>
        <w:ind w:left="1120" w:right="300" w:hanging="370"/>
        <w:spacing w:after="0" w:line="305" w:lineRule="auto"/>
        <w:tabs>
          <w:tab w:leader="none" w:pos="11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perception of physicians, patients, third-party payors and others in the medical community of the relative safety, efficacy, convenience, effect on quality-of-life and cost-effectiveness of the product, compared to those of other available treatments;</w:t>
      </w:r>
    </w:p>
    <w:p>
      <w:pPr>
        <w:spacing w:after="0" w:line="15" w:lineRule="exact"/>
        <w:rPr>
          <w:rFonts w:ascii="Times New Roman" w:cs="Times New Roman" w:eastAsia="Times New Roman" w:hAnsi="Times New Roman"/>
          <w:sz w:val="17"/>
          <w:szCs w:val="17"/>
          <w:color w:val="auto"/>
        </w:rPr>
      </w:pPr>
    </w:p>
    <w:p>
      <w:pPr>
        <w:ind w:left="1120" w:right="140" w:hanging="370"/>
        <w:spacing w:after="0" w:line="255" w:lineRule="auto"/>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product’s approved labeling, including the description of the product’s approved indications, the description of its efficacy, including the endpoints in which it showed an improvement, and the prevalence and severity of any side effects, including any associated limitations or warnings;</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differentiate WAKIX or other approved products from other treatments in the same space;</w:t>
      </w:r>
    </w:p>
    <w:p>
      <w:pPr>
        <w:spacing w:after="0" w:line="116" w:lineRule="exact"/>
        <w:rPr>
          <w:rFonts w:ascii="Times New Roman" w:cs="Times New Roman" w:eastAsia="Times New Roman" w:hAnsi="Times New Roman"/>
          <w:sz w:val="18"/>
          <w:szCs w:val="18"/>
          <w:color w:val="auto"/>
        </w:rPr>
      </w:pPr>
    </w:p>
    <w:p>
      <w:pPr>
        <w:ind w:left="1120" w:right="480" w:hanging="370"/>
        <w:spacing w:after="0" w:line="275" w:lineRule="auto"/>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adoption of WAKIX as a first-line therapy for EDS in adult patients with narcolepsy and cataplexy in adult patients with narcolepsy;</w:t>
      </w:r>
    </w:p>
    <w:p>
      <w:pPr>
        <w:spacing w:after="0" w:line="37" w:lineRule="exact"/>
        <w:rPr>
          <w:rFonts w:ascii="Times New Roman" w:cs="Times New Roman" w:eastAsia="Times New Roman" w:hAnsi="Times New Roman"/>
          <w:sz w:val="18"/>
          <w:szCs w:val="18"/>
          <w:color w:val="auto"/>
        </w:rPr>
      </w:pPr>
    </w:p>
    <w:p>
      <w:pPr>
        <w:ind w:left="1120" w:right="1380" w:hanging="370"/>
        <w:spacing w:after="0" w:line="275" w:lineRule="auto"/>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 including those that may be discovered following approval and commercialization;</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products or competing products and treatments;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product liability litigation alleging injuries relating to our products or similar classes of drugs;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any post-approval study requirements for our products and the results thereof;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third-party insurance coverage and reimbursement.</w:t>
      </w:r>
    </w:p>
    <w:p>
      <w:pPr>
        <w:spacing w:after="0" w:line="224" w:lineRule="exact"/>
        <w:rPr>
          <w:sz w:val="20"/>
          <w:szCs w:val="20"/>
          <w:color w:val="auto"/>
        </w:rPr>
      </w:pPr>
    </w:p>
    <w:p>
      <w:pPr>
        <w:ind w:right="200" w:firstLine="637"/>
        <w:spacing w:after="0"/>
        <w:rPr>
          <w:sz w:val="20"/>
          <w:szCs w:val="20"/>
          <w:color w:val="auto"/>
        </w:rPr>
      </w:pPr>
      <w:r>
        <w:rPr>
          <w:rFonts w:ascii="Arial" w:cs="Arial" w:eastAsia="Arial" w:hAnsi="Arial"/>
          <w:sz w:val="18"/>
          <w:szCs w:val="18"/>
          <w:color w:val="auto"/>
        </w:rPr>
        <w:t>Our continuing efforts to educate physicians, patients, third-party payors and others in the medical community on the benefits and risks of WAKIX may require significant resources and may never be successful. The adoption of WAKIX could be limited if physicians prescribe it only as a second line therapy. Physicians may opt to prescribe the products of our competitors for a variety of reasons. For example, WAKIX did not demonstrate non-inferiority to modafinil and, as such, physicians and patients may choose modafinil rather than WAKIX. Furthermore, because the clinical response to WAKIX may take several weeks before addressing EDS symptoms, patients and physicians may choose other fast acting, stimulant and wake promoting agents over WAKIX. If WAKIX fails to achieve an adequate level of acceptance by physicians, patients, third-party payors and others in the medical community, we will not be able to generate sufficient revenue to become or remain profitable.</w:t>
      </w:r>
    </w:p>
    <w:p>
      <w:pPr>
        <w:spacing w:after="0" w:line="180"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We cannot guarantee that WAKIX or any other product candidates we may seek to develop will ever be commercially successful, and to the extent they are not commercially successful, such product candidates would incur significant expense with no corresponding revenue. Because we expect the sales of WAKIX to generate substantially all of our revenue for the foreseeable future, the failure of WAKIX to find market acceptance would substantially harm our business and could require us to seek additional financing.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The market opportunity for WAKIX or any future product candidate we develop may be smaller than we estimate.</w:t>
      </w:r>
    </w:p>
    <w:p>
      <w:pPr>
        <w:spacing w:after="0" w:line="212" w:lineRule="exact"/>
        <w:rPr>
          <w:sz w:val="20"/>
          <w:szCs w:val="20"/>
          <w:color w:val="auto"/>
        </w:rPr>
      </w:pPr>
    </w:p>
    <w:p>
      <w:pPr>
        <w:ind w:firstLine="637"/>
        <w:spacing w:after="0" w:line="256" w:lineRule="auto"/>
        <w:rPr>
          <w:sz w:val="20"/>
          <w:szCs w:val="20"/>
          <w:color w:val="auto"/>
        </w:rPr>
      </w:pPr>
      <w:r>
        <w:rPr>
          <w:rFonts w:ascii="Arial" w:cs="Arial" w:eastAsia="Arial" w:hAnsi="Arial"/>
          <w:sz w:val="17"/>
          <w:szCs w:val="17"/>
          <w:color w:val="auto"/>
        </w:rPr>
        <w:t>The potential market opportunity for WAKIX and any future product candidate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While we believe our estimates are reasonable and reliable, they may prove to be incorrect. Further, new studies may change the estimated incidence or prevalence of diseases and disorders. The number of patients may turn out to be lower than expected. Additionally, the potentially addressable patient population for WAKIX or any future product candidate we develop may be limited or may not be amenable to treatment with WAKIX or such future product candidate, and new patients may become increasingly difficult to identify or gain access to, which would adversely affect our results of operations and our business.</w:t>
      </w:r>
    </w:p>
    <w:p>
      <w:pPr>
        <w:spacing w:after="0" w:line="16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We rely on our license agreement with Bioprojet to provide rights to the core intellectual property relating to pitolisant, and any termination or loss of significant rights under the agreement would adversely affect our development and/or commercialization of pitolisant.</w:t>
      </w:r>
    </w:p>
    <w:p>
      <w:pPr>
        <w:spacing w:after="0" w:line="151"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We have licensed our core intellectual property relating to pitolisant from Bioprojet. If, for any reason, our license and commercialization agreement with Bioprojet is terminated or we otherwise lose those rights, it would materially adversely affect our business. Pursuant to our license and commercialization agreement, we obtained intellectual property rights in connection with the commercialization of pitolisant in the United States and its territories, commonwealths and protectorates, including Puerto Rico, which includes an exclusive license to use certain intellectual property owned by Bioprojet related to clinically developing and commercializing the pitolisant product candidate for narcolepsy, obstructive sleep apnea, idiopathic hypersomnia and Parkinson’s Disease.</w:t>
      </w:r>
    </w:p>
    <w:p>
      <w:pPr>
        <w:spacing w:after="0" w:line="174"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Under the license agreement, Bioprojet is responsible for conducting all preclinical studies and clinical trials necessary for achieving and maintaining regulatory approval in the United States for narcolepsy and cataplexy indications, including all costs and expenses. We are responsible for all other costs associated with other development and regulatory activities, unless Bioprojet otherwise agrees to participate in funding such activities. We must obtain consent from Bioprojet before commencing any clinical trials related to pitolisant. Our ability to pursue indications other than the ones specifically enumerated in the license agreement is also contingent on mutual agreement of Bioprojet and us as to those indications and such agreement may be withheld at Bioprojet’s discretion. If Bioprojet denies consent for us to conduct clinical trials or pursue any such other indication for any reason, we will not have the right under our license and commercialization agreement to commercialize our product for such indication. In such event, Bioprojet may pursue commercialization of such indication for itself in our territory, or it may license the right to commercialize such indication in our territory to third parties, including our competitors.</w:t>
      </w:r>
    </w:p>
    <w:p>
      <w:pPr>
        <w:spacing w:after="0" w:line="176" w:lineRule="exact"/>
        <w:rPr>
          <w:sz w:val="20"/>
          <w:szCs w:val="20"/>
          <w:color w:val="auto"/>
        </w:rPr>
      </w:pPr>
    </w:p>
    <w:p>
      <w:pPr>
        <w:ind w:right="160" w:firstLine="637"/>
        <w:spacing w:after="0" w:line="245" w:lineRule="auto"/>
        <w:rPr>
          <w:sz w:val="20"/>
          <w:szCs w:val="20"/>
          <w:color w:val="auto"/>
        </w:rPr>
      </w:pPr>
      <w:r>
        <w:rPr>
          <w:rFonts w:ascii="Arial" w:cs="Arial" w:eastAsia="Arial" w:hAnsi="Arial"/>
          <w:sz w:val="18"/>
          <w:szCs w:val="18"/>
          <w:color w:val="auto"/>
        </w:rPr>
        <w:t>Our license and commercialization agreement also imposes on us obligations relating to exclusivity, territorial rights, development, commercialization, funding, payment, diligence, sublicensing, insurance, intellectual property protection and other matters. If we breach any material obligations, or use the intellectual property licensed to us in an unauthorized manner, we may be required to pay damages to Bioprojet, and Bioprojet may have the right to terminate our license, which would result in us being unable to develop, manufacture and sell pitolisant and would materially adversely affect our business.</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The ongoing COVID-19 pandemic may result in disruptions to our commercialization, clinical trials, manufacturing and other business operations, which could have a material adverse effect on our business, financial condition, operating results, cash flows and prospects.</w:t>
      </w:r>
    </w:p>
    <w:p>
      <w:pPr>
        <w:spacing w:after="0" w:line="151"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The outbreak of COVID-19, which has been declared a global pandemic by the World Health Organization, has spread across the globe and is impacting worldwide economic activity. A public health epidemic, including COVID-19, poses the risk that we or our employees, contractors, suppliers, distributors and other partners, as well as physicians treating narcolepsy patients, may be prevented from conducting business and patient-care activities for an indefinite period of time, including due to shutdowns and quarantines that may be requested or mandated by governmental authorities. Beginning in March 2020, we transitioned our field-based sales, market access, and medical employees to remote work and suspended work-related travel and in-person customer interactions with healthcare professionals and customers. Our increased reliance on personnel working from home may negatively impact productivity or disrupt, delay or otherwise adversely impact our business. In addition, remote working could increase our cyber security risk.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2" w:name="page43"/>
    <w:bookmarkEnd w:id="42"/>
    <w:p>
      <w:pPr>
        <w:ind w:firstLine="637"/>
        <w:spacing w:after="0" w:line="239" w:lineRule="auto"/>
        <w:rPr>
          <w:sz w:val="20"/>
          <w:szCs w:val="20"/>
          <w:color w:val="auto"/>
        </w:rPr>
      </w:pPr>
      <w:r>
        <w:rPr>
          <w:rFonts w:ascii="Arial" w:cs="Arial" w:eastAsia="Arial" w:hAnsi="Arial"/>
          <w:sz w:val="18"/>
          <w:szCs w:val="18"/>
          <w:color w:val="auto"/>
        </w:rPr>
        <w:t>General protective measures put into place at various governmental levels, including quarantines, travel restrictions and business shutdowns, may also negatively affect our operations. The responses to the COVID-19 pandemic may have had an impact on demand for WAKIX as a result of a reduced ability of prescribers to diagnose narcolepsy patients given the limitations in access to sleep testing, the reduced ability to see patients due to cancelled appointments and the reprioritization of healthcare resources toward treating COVID-19. In particular, we expect that our ability to convert prescriptions to revenue and the corresponding revenue growth rate in the fourth quarter of 2020 and possible future quarters will be adversely impacted by the ongoing COVID-19 pandemic. The COVID-19 pandemic has affected our ability to access HCPs, and has caused fewer patients visits to their HCP, resulting in fewer prescriptions being written. The COVID-19 pandemic is leading to high unemployment and corresponding loss of insurance, resulting in more eligible patients taking advantage of patient assistance and/or free good programs, which is impacting our ability to convert demand to revenue and the corresponding revenue growth rate in the fourth quarter of 2020 and possible future quarters will be adversely impacted by the ongoing COVID-19 pandemic.</w:t>
      </w:r>
    </w:p>
    <w:p>
      <w:pPr>
        <w:spacing w:after="0" w:line="180"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The continued spread of COVID-19 and the measures taken by the governments of countries affected, particularly the United States and France, could also disrupt the supply chain and the manufacture or shipment of WAKIX and of drug substance and finished drug product. Any delays or interruptions in the manufacture and supply of WAKIX could result in delays for our planned clinical trials, impair our ability to meet demand for new WAKIX prescriptions and impede our clinical trial recruitment, testing, monitoring, data collection and analysis and other related activities.</w:t>
      </w:r>
    </w:p>
    <w:p>
      <w:pPr>
        <w:spacing w:after="0" w:line="172"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Any of the foregoing factors could have a material adverse impact on our business, financial condition, operating results, cash flows and prospects. The extent to which COVID-19 impacts our operations and those of our third-party partners will depend on future developments, which are highly uncertain and cannot be predicted with confidence, including the duration of the pandemic, additional or modified government actions, new information which emerges concerning the severity of COVID-19 and the actions taken to contain the virus or treat its impact, among others. In particular, the speed of the continued spread of COVID-19 globally, and the magnitude of interventions to contain the spread of the virus, will determine the impact of the pandemic on our operations.</w:t>
      </w:r>
    </w:p>
    <w:p>
      <w:pPr>
        <w:spacing w:after="0" w:line="174"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We may not be successful in our efforts to identify, in-license or acquire, discover, develop or commercialize additional product candidates, or identify other indications for pitolisant beyond EDS or cataplexy in adult patients with narcolepsy.</w:t>
      </w:r>
    </w:p>
    <w:p>
      <w:pPr>
        <w:spacing w:after="0" w:line="129" w:lineRule="exact"/>
        <w:rPr>
          <w:sz w:val="20"/>
          <w:szCs w:val="20"/>
          <w:color w:val="auto"/>
        </w:rPr>
      </w:pPr>
    </w:p>
    <w:p>
      <w:pPr>
        <w:ind w:right="40" w:firstLine="639"/>
        <w:spacing w:after="0"/>
        <w:rPr>
          <w:sz w:val="20"/>
          <w:szCs w:val="20"/>
          <w:color w:val="auto"/>
        </w:rPr>
      </w:pPr>
      <w:r>
        <w:rPr>
          <w:rFonts w:ascii="Arial" w:cs="Arial" w:eastAsia="Arial" w:hAnsi="Arial"/>
          <w:sz w:val="18"/>
          <w:szCs w:val="18"/>
          <w:color w:val="auto"/>
        </w:rPr>
        <w:t>Although a substantial amount of our effort will focus on the commercialization of WAKIX for the treatment of EDS in adult patients with narcolepsy and cataplexy in adult patients with narcolepsy, we also may seek to identify, in-license or acquire, discover, develop and commercialize additional product candidates in the rare neurological disorders field, and to identify other indications for pitolisant beyond the treatment of EDS in adult patients with narcolepsy and cataplexy in adult patients with narcolepsy. We cannot assure you that our efforts to do so will be successful. Even if we are successful at in-licensing or acquiring additional product candidates, their requisite development activities may require substantial resources, and we cannot assure you that these development activities will result in regulatory approvals. We also cannot assure you that our efforts to develop and commercialize pitolisant for other indications beyond the treatment of EDS in adult patients with narcolepsy and cataplexy in adult patients with narcolepsy will be successful.</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Our business, products or product pricing could be subject to negative publicity, which could have a material adverse effect on our reputation, business, financial position, results of operations, liquidity and cash flows.</w:t>
      </w:r>
    </w:p>
    <w:p>
      <w:pPr>
        <w:spacing w:after="0" w:line="129" w:lineRule="exact"/>
        <w:rPr>
          <w:sz w:val="20"/>
          <w:szCs w:val="20"/>
          <w:color w:val="auto"/>
        </w:rPr>
      </w:pPr>
    </w:p>
    <w:p>
      <w:pPr>
        <w:ind w:right="180" w:firstLine="639"/>
        <w:spacing w:after="0"/>
        <w:rPr>
          <w:sz w:val="20"/>
          <w:szCs w:val="20"/>
          <w:color w:val="auto"/>
        </w:rPr>
      </w:pPr>
      <w:r>
        <w:rPr>
          <w:rFonts w:ascii="Arial" w:cs="Arial" w:eastAsia="Arial" w:hAnsi="Arial"/>
          <w:sz w:val="18"/>
          <w:szCs w:val="18"/>
          <w:color w:val="auto"/>
        </w:rPr>
        <w:t>In recent years, the pharmaceutical industry has been the subject of public complaints and significant publicity regarding the pricing of pharmaceutical products, including publicity and pressure resulting from prices charged by competitors and peer companies for new products as well as price increases by competitors and peer companies on older products that the public has deemed excessive. We may experience downward pricing pressure on the price of WAKIX and any other future approved products due to social or political pressure to lower the cost of drugs, which could reduce our revenue and future profitability. Orphan drugs in particular have received recent negative publicity for the perceived high prices charged for them by their manufacturers, and as a result orphan drug developers such as us may be negatively impacted by such publicity and any U.S. or other government regulatory response. Due to these factors, we may suffer public criticism and negative publicity in media coverage, by industry trade associations and legislators.</w:t>
      </w:r>
    </w:p>
    <w:p>
      <w:pPr>
        <w:spacing w:after="0" w:line="180" w:lineRule="exact"/>
        <w:rPr>
          <w:sz w:val="20"/>
          <w:szCs w:val="20"/>
          <w:color w:val="auto"/>
        </w:rPr>
      </w:pPr>
    </w:p>
    <w:p>
      <w:pPr>
        <w:ind w:right="180" w:firstLine="639"/>
        <w:spacing w:after="0" w:line="248" w:lineRule="auto"/>
        <w:rPr>
          <w:sz w:val="20"/>
          <w:szCs w:val="20"/>
          <w:color w:val="auto"/>
        </w:rPr>
      </w:pPr>
      <w:r>
        <w:rPr>
          <w:rFonts w:ascii="Arial" w:cs="Arial" w:eastAsia="Arial" w:hAnsi="Arial"/>
          <w:sz w:val="18"/>
          <w:szCs w:val="18"/>
          <w:color w:val="auto"/>
        </w:rPr>
        <w:t>Any of the events or developments described above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liquidity, cash flows and/or share price.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3" w:name="page44"/>
    <w:bookmarkEnd w:id="43"/>
    <w:p>
      <w:pPr>
        <w:ind w:right="340"/>
        <w:spacing w:after="0" w:line="285" w:lineRule="auto"/>
        <w:rPr>
          <w:sz w:val="20"/>
          <w:szCs w:val="20"/>
          <w:color w:val="auto"/>
        </w:rPr>
      </w:pPr>
      <w:r>
        <w:rPr>
          <w:rFonts w:ascii="Arial" w:cs="Arial" w:eastAsia="Arial" w:hAnsi="Arial"/>
          <w:sz w:val="18"/>
          <w:szCs w:val="18"/>
          <w:b w:val="1"/>
          <w:bCs w:val="1"/>
          <w:i w:val="1"/>
          <w:iCs w:val="1"/>
          <w:color w:val="auto"/>
        </w:rPr>
        <w:t>Third-party relationships are important to our business. If we are unable to enter into and maintain strategic collaborations or if these relationships are not successful, our business could be adversely affected.</w:t>
      </w:r>
    </w:p>
    <w:p>
      <w:pPr>
        <w:spacing w:after="0" w:line="129" w:lineRule="exact"/>
        <w:rPr>
          <w:sz w:val="20"/>
          <w:szCs w:val="20"/>
          <w:color w:val="auto"/>
        </w:rPr>
      </w:pPr>
    </w:p>
    <w:p>
      <w:pPr>
        <w:ind w:right="80" w:firstLine="639"/>
        <w:spacing w:after="0"/>
        <w:rPr>
          <w:sz w:val="20"/>
          <w:szCs w:val="20"/>
          <w:color w:val="auto"/>
        </w:rPr>
      </w:pPr>
      <w:r>
        <w:rPr>
          <w:rFonts w:ascii="Arial" w:cs="Arial" w:eastAsia="Arial" w:hAnsi="Arial"/>
          <w:sz w:val="18"/>
          <w:szCs w:val="18"/>
          <w:color w:val="auto"/>
        </w:rPr>
        <w:t>We have limited product development and distribution capabilities and we do not yet have any product manufacturing capabilities. In addition, we may enter into collaborations for the development and commercialization of certain of our product candidates.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 Relationships we enter into may pose a number of risks, including the following:</w:t>
      </w:r>
    </w:p>
    <w:p>
      <w:pPr>
        <w:spacing w:after="0" w:line="72" w:lineRule="exact"/>
        <w:rPr>
          <w:sz w:val="20"/>
          <w:szCs w:val="20"/>
          <w:color w:val="auto"/>
        </w:rPr>
      </w:pPr>
    </w:p>
    <w:p>
      <w:pPr>
        <w:ind w:left="1120" w:right="52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current or future third parties have, and future third-party collaborators may have, significant discretion in determining the efforts and resources that they will apply;</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perform their obligations as expected;</w:t>
      </w:r>
    </w:p>
    <w:p>
      <w:pPr>
        <w:spacing w:after="0" w:line="116" w:lineRule="exact"/>
        <w:rPr>
          <w:rFonts w:ascii="Times New Roman" w:cs="Times New Roman" w:eastAsia="Times New Roman" w:hAnsi="Times New Roman"/>
          <w:sz w:val="18"/>
          <w:szCs w:val="18"/>
          <w:color w:val="auto"/>
        </w:rPr>
      </w:pPr>
    </w:p>
    <w:p>
      <w:pPr>
        <w:ind w:left="1120" w:right="20" w:hanging="370"/>
        <w:spacing w:after="0" w:line="248"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pursue development and commercialization of any product candidates that we decide to develop as drugs and that achieve regulatory approval or may elect not to continue or renew development or commercialization programs based on clinical study or trial results, changes in the third parties’ strategic focus or available funding, or external factors, such as a strategic transaction that may divert resources or create competing priorities;</w:t>
      </w:r>
    </w:p>
    <w:p>
      <w:pPr>
        <w:spacing w:after="0" w:line="61" w:lineRule="exact"/>
        <w:rPr>
          <w:rFonts w:ascii="Times New Roman" w:cs="Times New Roman" w:eastAsia="Times New Roman" w:hAnsi="Times New Roman"/>
          <w:sz w:val="18"/>
          <w:szCs w:val="18"/>
          <w:color w:val="auto"/>
        </w:rPr>
      </w:pPr>
    </w:p>
    <w:p>
      <w:pPr>
        <w:ind w:left="1120" w:right="40" w:hanging="370"/>
        <w:spacing w:after="0" w:line="25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delay preclinical studies or clinical trials, provide insufficient funding for a preclinical study or clinical trial, stop a preclinical study or clinical trial or abandon one of our product candidates, repeat or conduct clinical studies or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ind w:left="1120" w:right="100" w:hanging="370"/>
        <w:spacing w:after="0" w:line="25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could independently develop, or develop with other third parties, products that compete directly or indirectly with our products and product candidates if the third parties believe that the competitive products are more likely to be successfully developed or can be commercialized under terms that are more economically attractive than ours;</w:t>
      </w:r>
    </w:p>
    <w:p>
      <w:pPr>
        <w:spacing w:after="0" w:line="54" w:lineRule="exact"/>
        <w:rPr>
          <w:rFonts w:ascii="Times New Roman" w:cs="Times New Roman" w:eastAsia="Times New Roman" w:hAnsi="Times New Roman"/>
          <w:sz w:val="18"/>
          <w:szCs w:val="18"/>
          <w:color w:val="auto"/>
        </w:rPr>
      </w:pPr>
    </w:p>
    <w:p>
      <w:pPr>
        <w:ind w:left="1120" w:right="20" w:hanging="370"/>
        <w:spacing w:after="0" w:line="25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 candidates discovered in collaboration with us may be viewed by our current or future collaborators as competitive with their own product candidates or products, which may cause such third parties to cease to devote resources to the commercialization of our product candidates;</w:t>
      </w:r>
    </w:p>
    <w:p>
      <w:pPr>
        <w:spacing w:after="0" w:line="54" w:lineRule="exact"/>
        <w:rPr>
          <w:rFonts w:ascii="Times New Roman" w:cs="Times New Roman" w:eastAsia="Times New Roman" w:hAnsi="Times New Roman"/>
          <w:sz w:val="18"/>
          <w:szCs w:val="18"/>
          <w:color w:val="auto"/>
        </w:rPr>
      </w:pPr>
    </w:p>
    <w:p>
      <w:pPr>
        <w:ind w:left="1120" w:right="24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fail to comply with applicable regulatory requirements regarding the development, manufacture, packaging, labeling, holding, distribution and/or marketing of a product candidate or product;</w:t>
      </w:r>
    </w:p>
    <w:p>
      <w:pPr>
        <w:spacing w:after="0" w:line="37"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with marketing and distribution rights to pitolisant or any future product candidates that achieve regulatory approval may not commit sufficient resources to the marketing and distribution of such product or products;</w:t>
      </w:r>
    </w:p>
    <w:p>
      <w:pPr>
        <w:spacing w:after="0" w:line="37" w:lineRule="exact"/>
        <w:rPr>
          <w:rFonts w:ascii="Times New Roman" w:cs="Times New Roman" w:eastAsia="Times New Roman" w:hAnsi="Times New Roman"/>
          <w:sz w:val="18"/>
          <w:szCs w:val="18"/>
          <w:color w:val="auto"/>
        </w:rPr>
      </w:pPr>
    </w:p>
    <w:p>
      <w:pPr>
        <w:ind w:left="1120" w:hanging="370"/>
        <w:spacing w:after="0" w:line="248"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disagreements with third parties, including disagreements over proprietary rights, contract interpretation or the preferred course of development, might cause delays or terminations of the research, development or commercialization of pitolisant or any future product candidates, might lead to additional responsibilities for us with respect to pitolisant or any future product candidates, or might result in litigation or arbitration, any of which would be time-consuming and expensive;</w:t>
      </w:r>
    </w:p>
    <w:p>
      <w:pPr>
        <w:spacing w:after="0" w:line="61" w:lineRule="exact"/>
        <w:rPr>
          <w:rFonts w:ascii="Times New Roman" w:cs="Times New Roman" w:eastAsia="Times New Roman" w:hAnsi="Times New Roman"/>
          <w:sz w:val="18"/>
          <w:szCs w:val="18"/>
          <w:color w:val="auto"/>
        </w:rPr>
      </w:pPr>
    </w:p>
    <w:p>
      <w:pPr>
        <w:ind w:left="1120" w:right="20" w:hanging="370"/>
        <w:spacing w:after="0" w:line="25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120" w:right="28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may infringe the intellectual property rights of other third parties, which may expose us to litigation and potential liability;</w:t>
      </w:r>
    </w:p>
    <w:p>
      <w:pPr>
        <w:spacing w:after="0" w:line="37" w:lineRule="exact"/>
        <w:rPr>
          <w:rFonts w:ascii="Times New Roman" w:cs="Times New Roman" w:eastAsia="Times New Roman" w:hAnsi="Times New Roman"/>
          <w:sz w:val="18"/>
          <w:szCs w:val="18"/>
          <w:color w:val="auto"/>
        </w:rPr>
      </w:pPr>
    </w:p>
    <w:p>
      <w:pPr>
        <w:ind w:left="1120" w:right="90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if one of our third parties is involved in a business combination, the collaborator might deemphasize or terminate the development or commercialization of any product candidate licensed to it by us; and</w:t>
      </w:r>
    </w:p>
    <w:p>
      <w:pPr>
        <w:spacing w:after="0" w:line="37" w:lineRule="exact"/>
        <w:rPr>
          <w:rFonts w:ascii="Times New Roman" w:cs="Times New Roman" w:eastAsia="Times New Roman" w:hAnsi="Times New Roman"/>
          <w:sz w:val="18"/>
          <w:szCs w:val="18"/>
          <w:color w:val="auto"/>
        </w:rPr>
      </w:pPr>
    </w:p>
    <w:p>
      <w:pPr>
        <w:ind w:left="1120" w:right="540" w:hanging="370"/>
        <w:spacing w:after="0" w:line="275" w:lineRule="auto"/>
        <w:tabs>
          <w:tab w:leader="none" w:pos="11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relationships may be terminated by the collaborator, and, if terminated, we could be required to raise additional capital to pursue further development or commercialization of the applicable product candidates.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44" w:name="page45"/>
    <w:bookmarkEnd w:id="44"/>
    <w:p>
      <w:pPr>
        <w:ind w:right="20" w:firstLine="637"/>
        <w:spacing w:after="0" w:line="245" w:lineRule="auto"/>
        <w:rPr>
          <w:sz w:val="20"/>
          <w:szCs w:val="20"/>
          <w:color w:val="auto"/>
        </w:rPr>
      </w:pPr>
      <w:r>
        <w:rPr>
          <w:rFonts w:ascii="Arial" w:cs="Arial" w:eastAsia="Arial" w:hAnsi="Arial"/>
          <w:sz w:val="18"/>
          <w:szCs w:val="18"/>
          <w:color w:val="auto"/>
        </w:rPr>
        <w:t>If our relationships do not result in the successful discovery, development and commercialization of products or if a third party terminates its agreement with us, we may not receive any future research funding or milestone or royalty payments under the collaboration. If we do not receive the funding we expect under any third party agreements we enter into, our development of pitolisant or any future product candidates could be delayed and we may need additional resources. Additionally, if any third party terminates its agreement with us, we may find it more difficult to attract new collaborators and our perception in the business and financial communities could be adversely affected.</w:t>
      </w:r>
    </w:p>
    <w:p>
      <w:pPr>
        <w:spacing w:after="0" w:line="172" w:lineRule="exact"/>
        <w:rPr>
          <w:sz w:val="20"/>
          <w:szCs w:val="20"/>
          <w:color w:val="auto"/>
        </w:rPr>
      </w:pPr>
    </w:p>
    <w:p>
      <w:pPr>
        <w:ind w:right="100" w:firstLine="637"/>
        <w:spacing w:after="0" w:line="238" w:lineRule="auto"/>
        <w:rPr>
          <w:sz w:val="20"/>
          <w:szCs w:val="20"/>
          <w:color w:val="auto"/>
        </w:rPr>
      </w:pPr>
      <w:r>
        <w:rPr>
          <w:rFonts w:ascii="Arial" w:cs="Arial" w:eastAsia="Arial" w:hAnsi="Arial"/>
          <w:sz w:val="18"/>
          <w:szCs w:val="18"/>
          <w:color w:val="auto"/>
        </w:rPr>
        <w:t>Relationships are complex and time-consuming to negotiate and document. In addition, there have been a significant number of recent business combinations among large pharmaceutical companies that have resulted in a reduced number of future collaborators.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third parties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relationships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w:t>
      </w:r>
    </w:p>
    <w:p>
      <w:pPr>
        <w:spacing w:after="0" w:line="180"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for pitolisant and any future product candidate that we decide to develop. If these third parties do not successfully carry out their contractual duties, meet expected deadlines or comply with regulatory requirements, we may not be able to obtain regulatory approval of or commercialize any potential product candidates on a timely basis or at all.</w:t>
      </w:r>
    </w:p>
    <w:p>
      <w:pPr>
        <w:spacing w:after="0" w:line="160" w:lineRule="exact"/>
        <w:rPr>
          <w:sz w:val="20"/>
          <w:szCs w:val="20"/>
          <w:color w:val="auto"/>
        </w:rPr>
      </w:pPr>
    </w:p>
    <w:p>
      <w:pPr>
        <w:ind w:right="260" w:firstLine="637"/>
        <w:spacing w:after="0" w:line="255" w:lineRule="auto"/>
        <w:rPr>
          <w:sz w:val="20"/>
          <w:szCs w:val="20"/>
          <w:color w:val="auto"/>
        </w:rPr>
      </w:pPr>
      <w:r>
        <w:rPr>
          <w:rFonts w:ascii="Arial" w:cs="Arial" w:eastAsia="Arial" w:hAnsi="Arial"/>
          <w:sz w:val="18"/>
          <w:szCs w:val="18"/>
          <w:color w:val="auto"/>
        </w:rPr>
        <w:t>We will continue to rely upon third parties, including independent investigators, to conduct preclinical studies or clinical trials under agreements with universities, medical institutions, CROs, strategic partners and others. We expect to have to negotiate budgets and contracts with CROs and study or trial sites, which may result in delays to our development timelines and increased costs.</w:t>
      </w:r>
    </w:p>
    <w:p>
      <w:pPr>
        <w:spacing w:after="0" w:line="164" w:lineRule="exact"/>
        <w:rPr>
          <w:sz w:val="20"/>
          <w:szCs w:val="20"/>
          <w:color w:val="auto"/>
        </w:rPr>
      </w:pPr>
    </w:p>
    <w:p>
      <w:pPr>
        <w:ind w:right="40" w:firstLine="637"/>
        <w:spacing w:after="0" w:line="241" w:lineRule="auto"/>
        <w:rPr>
          <w:sz w:val="20"/>
          <w:szCs w:val="20"/>
          <w:color w:val="auto"/>
        </w:rPr>
      </w:pPr>
      <w:r>
        <w:rPr>
          <w:rFonts w:ascii="Arial" w:cs="Arial" w:eastAsia="Arial" w:hAnsi="Arial"/>
          <w:sz w:val="18"/>
          <w:szCs w:val="18"/>
          <w:color w:val="auto"/>
        </w:rPr>
        <w:t>We will have to rely heavily on third parties over the course of our preclinical studies and clinical trials and, as a result, will have limited control over the clinical investigators and limited visibility into their day-to-day activities, including with respect to their compliance with the approved clinical protocol and regulatory requirements. Nevertheless, we are responsible for ensuring that each of our preclinical studies and clinical trials is conducted in accordance with the applicable protocol, legal and regulatory requirements and scientific standards, and our reliance on third parties does not relieve us of our regulatory responsibilities. We and these third parties are required to comply with Good Clinical Practice (“GCP”) requirements for clinical trials, which are regulations and guidelines enforced by the FDA and comparable foreign regulatory authorities for product candidates in clinical development.</w:t>
      </w:r>
    </w:p>
    <w:p>
      <w:pPr>
        <w:spacing w:after="0" w:line="179"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Regulatory authorities enforce these GCP requirements through periodic inspections of study or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clinical trials or perform additional clinical trials before approving our marketing applications. We cannot be certain that, upon inspection, such regulatory authorities will determine that any of our clinical trials comply with the GCP or other applicable requirements. In addition, our clinical trials must be conducted with drug products produced under current Good Manufacturing Practices (“cGMP”) requirements and may require a large number of patients. Our failure or any failure by these third parties to comply with these regulations, which would delay the regulatory approval or commercialization process. Moreover, our business may be implicated if any of these third parties violates federal or state laws or regulations including fraud and abuse or false claims laws and regulations or healthcare privacy and security laws.</w:t>
      </w:r>
    </w:p>
    <w:p>
      <w:pPr>
        <w:spacing w:after="0" w:line="176"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Any parties conducting our future clinical trials, if any, generally will not be our employees and, except for remedies that may be available to us under our agreements with the third parties conducting such clinical trials, if any, we cannot control whether or not they devote sufficient time and resources to our ongoing preclinical and clinical programs. These third parties may also have relationships with other commercial entities, including our competitors, for whom they may also be conducting clinical trials or other product development activities, which could affect their performance on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5" w:name="page46"/>
    <w:bookmarkEnd w:id="45"/>
    <w:p>
      <w:pPr>
        <w:ind w:right="20"/>
        <w:spacing w:after="0" w:line="243" w:lineRule="auto"/>
        <w:rPr>
          <w:sz w:val="20"/>
          <w:szCs w:val="20"/>
          <w:color w:val="auto"/>
        </w:rPr>
      </w:pPr>
      <w:r>
        <w:rPr>
          <w:rFonts w:ascii="Arial" w:cs="Arial" w:eastAsia="Arial" w:hAnsi="Arial"/>
          <w:sz w:val="18"/>
          <w:szCs w:val="18"/>
          <w:color w:val="auto"/>
        </w:rPr>
        <w:t>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current and future product candidates. As a result, our financial results and the commercial prospects for our current and future product candidates would be harmed, our costs could increase and our ability to generate revenue could be delayed.</w:t>
      </w:r>
    </w:p>
    <w:p>
      <w:pPr>
        <w:spacing w:after="0" w:line="174"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color w:val="auto"/>
        </w:rPr>
        <w:t>If any of our relationships with these third-party CROs or others terminate, we may not be able to enter into contractual and other arrangements with alternative CROs or other third parties in a timely manner to meet projected clinical development deadlines or to do so on commercially reasonable terms. Switching or adding additional CROs involves additional cost and requires management time and focus. In addition, there is a natural transition period when a new CRO begins work. As a result, delays may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79" w:lineRule="exact"/>
        <w:rPr>
          <w:sz w:val="20"/>
          <w:szCs w:val="20"/>
          <w:color w:val="auto"/>
        </w:rPr>
      </w:pPr>
    </w:p>
    <w:p>
      <w:pPr>
        <w:ind w:right="120" w:firstLine="637"/>
        <w:spacing w:after="0" w:line="255" w:lineRule="auto"/>
        <w:rPr>
          <w:sz w:val="20"/>
          <w:szCs w:val="20"/>
          <w:color w:val="auto"/>
        </w:rPr>
      </w:pPr>
      <w:r>
        <w:rPr>
          <w:rFonts w:ascii="Arial" w:cs="Arial" w:eastAsia="Arial" w:hAnsi="Arial"/>
          <w:sz w:val="18"/>
          <w:szCs w:val="18"/>
          <w:color w:val="auto"/>
        </w:rPr>
        <w:t>If we experience delays in meeting or fail to meet the regulatory requirements for commercialization of our current or future potential product candidates, the commercial prospects for our product candidates may be harmed and our ability to generate revenues will be materially impaired.</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rely completely on third parties to manufacture and distribute our supply of WAKIX, including certain sole-source suppliers and manufacturers, and intend to rely on third parties to manufacture and distribute any future product candidates.</w:t>
      </w:r>
    </w:p>
    <w:p>
      <w:pPr>
        <w:spacing w:after="0" w:line="129"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We do not currently have, nor do we plan to acquire, the infrastructure or capability to manufacture or distribute commercial quantities of WAKIX. Our ability to commercially supply WAKIX depends, in part, on the ability of third-party manufacturers to supply and manufacture the raw materials, active pharmaceutical ingredient (“API”) and other important components related to the manufacture of WAKIX. We also rely on third parties to package the finished product. These third-party manufacturers have limited experience manufacturing the raw materials and API for WAKIX to be supplied to patients in the United States. Prior to the approval of WAKIX, we experienced minor issues related to product specifications and other minor delays in supply related to our third-party suppliers and manufacturers. While we continue to work with our third-party suppliers and manufacturers to optimize the manufacturing process for WAKIX and will work to optimize the manufacturing process for any future product candidates, we cannot guarantee that even minor changes in the process will result in products that are safe and, where applicable, effective. If we fail to develop and maintain supply relationships with these third parties, we may be unable to continue to successfully commercialize WAKIX.</w:t>
      </w:r>
    </w:p>
    <w:p>
      <w:pPr>
        <w:spacing w:after="0" w:line="180" w:lineRule="exact"/>
        <w:rPr>
          <w:sz w:val="20"/>
          <w:szCs w:val="20"/>
          <w:color w:val="auto"/>
        </w:rPr>
      </w:pPr>
    </w:p>
    <w:p>
      <w:pPr>
        <w:ind w:right="180" w:firstLine="637"/>
        <w:spacing w:after="0" w:line="248" w:lineRule="auto"/>
        <w:rPr>
          <w:sz w:val="20"/>
          <w:szCs w:val="20"/>
          <w:color w:val="auto"/>
        </w:rPr>
      </w:pPr>
      <w:r>
        <w:rPr>
          <w:rFonts w:ascii="Arial" w:cs="Arial" w:eastAsia="Arial" w:hAnsi="Arial"/>
          <w:sz w:val="18"/>
          <w:szCs w:val="18"/>
          <w:color w:val="auto"/>
        </w:rPr>
        <w:t>We rely and will continue to rely on certain third parties as the sole source of the materials they supply or the finished products they manufacture. For example, we rely on Interor S.A., Corden Pharma Chenôve SAS and Patheon UK Limited to provide intermediate supply ingredients, API and finished products, respectively. Additionally, we rely on our suppliers and manufacturers to purchase materials from other third parties. Any of our existing suppliers or manufacturers may:</w:t>
      </w:r>
    </w:p>
    <w:p>
      <w:pPr>
        <w:spacing w:after="0" w:line="62" w:lineRule="exact"/>
        <w:rPr>
          <w:sz w:val="20"/>
          <w:szCs w:val="20"/>
          <w:color w:val="auto"/>
        </w:rPr>
      </w:pPr>
    </w:p>
    <w:p>
      <w:pPr>
        <w:ind w:left="1120" w:right="500" w:hanging="370"/>
        <w:spacing w:after="0" w:line="275" w:lineRule="auto"/>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 to supply us with product on a timely basis or in the requested amount due to unexpected damage to or destruction of facilities or equipment or otherwise;</w:t>
      </w:r>
    </w:p>
    <w:p>
      <w:pPr>
        <w:spacing w:after="0" w:line="37" w:lineRule="exact"/>
        <w:rPr>
          <w:rFonts w:ascii="Times New Roman" w:cs="Times New Roman" w:eastAsia="Times New Roman" w:hAnsi="Times New Roman"/>
          <w:sz w:val="18"/>
          <w:szCs w:val="18"/>
          <w:color w:val="auto"/>
        </w:rPr>
      </w:pPr>
    </w:p>
    <w:p>
      <w:pPr>
        <w:ind w:left="1120" w:right="100" w:hanging="370"/>
        <w:spacing w:after="0" w:line="275" w:lineRule="auto"/>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 to increase manufacturing capacity and produce drug product and components in larger quantities and at higher yields in a timely or cost-effective manner, or at all, to sufficiently meet our commercial needs;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to meet our production demands due to issues related to their reliance on sole- source suppliers and manufacturers;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supply us with product that fails to meet regulatory requirements;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become unavailable through business interruption or financial insolvency;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lose regulatory status as an approved source;</w:t>
      </w:r>
    </w:p>
    <w:p>
      <w:pPr>
        <w:spacing w:after="0" w:line="116" w:lineRule="exact"/>
        <w:rPr>
          <w:rFonts w:ascii="Times New Roman" w:cs="Times New Roman" w:eastAsia="Times New Roman" w:hAnsi="Times New Roman"/>
          <w:sz w:val="18"/>
          <w:szCs w:val="18"/>
          <w:color w:val="auto"/>
        </w:rPr>
      </w:pPr>
    </w:p>
    <w:p>
      <w:pPr>
        <w:ind w:left="1120" w:right="200" w:hanging="370"/>
        <w:spacing w:after="0" w:line="275" w:lineRule="auto"/>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be unable or unwilling to (i) honor current supply agreements or (ii) renew current supply agreements when such agreements expire on a timely basis, on acceptable terms or at all; or</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discontinue production or manufacturing of necessary drug substances or products.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6" w:name="page47"/>
    <w:bookmarkEnd w:id="46"/>
    <w:p>
      <w:pPr>
        <w:ind w:firstLine="637"/>
        <w:spacing w:after="0"/>
        <w:rPr>
          <w:sz w:val="20"/>
          <w:szCs w:val="20"/>
          <w:color w:val="auto"/>
        </w:rPr>
      </w:pPr>
      <w:r>
        <w:rPr>
          <w:rFonts w:ascii="Arial" w:cs="Arial" w:eastAsia="Arial" w:hAnsi="Arial"/>
          <w:sz w:val="18"/>
          <w:szCs w:val="18"/>
          <w:color w:val="auto"/>
        </w:rPr>
        <w:t>In the event of any of the foregoing, if we do not have an alternative supplier or manufacturer in place, we would be required to expend substantial management time and expense to identify, qualify and transfer technical processes to alternative suppliers or manufacturers. Transferring technology to other sites may require additional processes, technologies and validation studies, which are costly, may take considerable amounts of time, may not be successful and, in most cases, require review and approval by the FDA. Any need to find and qualify new suppliers or manufacturers could significantly delay production of WAKIX, adversely impact our ability to market WAKIX and adversely affect our business. There can be no assurance that replacements would be available to us on a timely basis, on acceptable terms or at all. Additionally, we and our manufacturers do not currently maintain significant inventory of drug substances and other materials beyond our currently forecasted needs. Any interruption in the supply of a drug substance or other material or in the manufacture of WAKIX could have a material adverse effect on our business, financial condition, operating results and prospects.</w:t>
      </w:r>
    </w:p>
    <w:p>
      <w:pPr>
        <w:spacing w:after="0" w:line="68"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Additionally, although we are ultimately responsible for ensuring compliance with regulatory requirements such as cGMPs, we are dependent on our contract suppliers and manufacturers for day-to-day compliance with cGMP for production of both drug substances and finished products. Facilities used by our contract suppliers and manufacturers to produce the drug substances and materials or finished products for commercial sale must pass inspection and be approved by the FDA and other relevant regulatory authorities. A number of our contract suppliers and manufacturers must comply with cGMP requirements enforced by the FDA through its facilities inspection program and review of submitted technical information. If the safety of WAKIX is compromised due to a failure to adhere to applicable laws or for other reasons, we may not be able to successfully commercialize our product and we may be held liable for injuries sustained as a result. In addition, the manufacturing facilities of certain of our suppliers are located outside of the United States. This may give rise to difficulties in importing our product into the United States or other countries as a result of, among other things, regulatory agency approval requirements, taxes, tariffs, local import requirements such as import duties or inspections, incomplete or inaccurate import documentation or defective packaging.</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could adversely impact our ability to effectively commercialize WAKIX.</w:t>
      </w:r>
    </w:p>
    <w:p>
      <w:pPr>
        <w:spacing w:after="0" w:line="212"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b w:val="1"/>
          <w:bCs w:val="1"/>
          <w:i w:val="1"/>
          <w:iCs w:val="1"/>
          <w:color w:val="auto"/>
        </w:rPr>
        <w:t>Because a number of companies compete with us, many of which have greater resources than we do, and because we face rapid changes in science in our industry, we cannot be certain that our products will be accepted in the marketplace or capture market share.</w:t>
      </w:r>
    </w:p>
    <w:p>
      <w:pPr>
        <w:spacing w:after="0" w:line="43"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Competition from other biotechnology and pharmaceutical companies is intense and is expected to increase. There may be a number of companies pursuing the development of pharmaceuticals in rare neurological disorders, our area of focus. These companies may be very large, and may have financial, technical, sales and distribution and other resources substantially greater than ours. The greater resources of these competitors may enable them to develop, obtain regulatory approval for or market competing products more quickly or effectively, making it extremely difficult for us to capture a share of the market for our product. We also face competition, and may in the future face additional competition, from manufacturers of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prices at which branded products can be sold. The commercial potential of our current products and any future products may be reduced or eliminated if our competitors develop or acquire and commercialize generic or branded products that are safer or more effective, have fewer side effects, are easier to administer or are less expensive than our products. We also face competition from off-label uses of approved drugs. Additionally, the biotechnology and pharmaceutical industries are subject to rapid changes in science, and our competitors may develop and market products with improved therapeutic profiles relative to pitolisant or any future product candidates that would render pitolisant or any future product candidates noncompetitive.</w:t>
      </w:r>
    </w:p>
    <w:p>
      <w:pPr>
        <w:spacing w:after="0" w:line="17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We may need to increase the size and capabilities of our organization based on business need, and we may experience difficulties in managing our growth.</w:t>
      </w:r>
    </w:p>
    <w:p>
      <w:pPr>
        <w:spacing w:after="0" w:line="21"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We commenced operations in 2017 and, as of September 30, 2020, had approximately 150 employees. As we advance the development of pitolisant in other indications and commercialize WAKIX as a treatment for EDS in adult patients with narcolepsy and cataplexy in adult patients with narcolepsy, we must continue to grow the size of the organization. Future growth will impose significant added responsibilities on members of management, including:</w:t>
      </w:r>
    </w:p>
    <w:p>
      <w:pPr>
        <w:spacing w:after="0" w:line="62" w:lineRule="exact"/>
        <w:rPr>
          <w:sz w:val="20"/>
          <w:szCs w:val="20"/>
          <w:color w:val="auto"/>
        </w:rPr>
      </w:pPr>
    </w:p>
    <w:p>
      <w:pPr>
        <w:ind w:left="1120" w:hanging="370"/>
        <w:spacing w:after="0"/>
        <w:tabs>
          <w:tab w:leader="none" w:pos="11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6" w:lineRule="exact"/>
        <w:rPr>
          <w:rFonts w:ascii="Times New Roman" w:cs="Times New Roman" w:eastAsia="Times New Roman" w:hAnsi="Times New Roman"/>
          <w:sz w:val="18"/>
          <w:szCs w:val="18"/>
          <w:color w:val="auto"/>
        </w:rPr>
      </w:pPr>
    </w:p>
    <w:p>
      <w:pPr>
        <w:ind w:left="1120" w:right="180" w:hanging="370"/>
        <w:spacing w:after="0" w:line="275" w:lineRule="auto"/>
        <w:tabs>
          <w:tab w:leader="none" w:pos="11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our development efforts, including the clinical development and FDA or other regulatory authority review processes for pitolisant or any future product candidates;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7" w:name="page48"/>
    <w:bookmarkEnd w:id="47"/>
    <w:p>
      <w:pPr>
        <w:ind w:left="1120" w:right="180" w:hanging="370"/>
        <w:spacing w:after="0" w:line="275" w:lineRule="auto"/>
        <w:tabs>
          <w:tab w:leader="none" w:pos="11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managing any third-party service providers involved in the development and manufacture of pitolisant or any future product candidates; and</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4" w:lineRule="exact"/>
        <w:rPr>
          <w:sz w:val="20"/>
          <w:szCs w:val="20"/>
          <w:color w:val="auto"/>
        </w:rPr>
      </w:pPr>
    </w:p>
    <w:p>
      <w:pPr>
        <w:jc w:val="both"/>
        <w:ind w:right="140" w:firstLine="637"/>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commercialize WAKIX or any future product candidates will depend, in part, on our ability to effectively manage any future growth. Our management will have to dedicate a significant amount of its attention to managing these growth activities. In addition, we expect to incur additional costs in hiring, training and retaining such additional personnel.</w:t>
      </w:r>
    </w:p>
    <w:p>
      <w:pPr>
        <w:spacing w:after="0" w:line="170" w:lineRule="exact"/>
        <w:rPr>
          <w:sz w:val="20"/>
          <w:szCs w:val="20"/>
          <w:color w:val="auto"/>
        </w:rPr>
      </w:pPr>
    </w:p>
    <w:p>
      <w:pPr>
        <w:ind w:right="220" w:firstLine="637"/>
        <w:spacing w:after="0" w:line="255" w:lineRule="auto"/>
        <w:rPr>
          <w:sz w:val="20"/>
          <w:szCs w:val="20"/>
          <w:color w:val="auto"/>
        </w:rPr>
      </w:pPr>
      <w:r>
        <w:rPr>
          <w:rFonts w:ascii="Arial" w:cs="Arial" w:eastAsia="Arial" w:hAnsi="Arial"/>
          <w:sz w:val="18"/>
          <w:szCs w:val="18"/>
          <w:color w:val="auto"/>
        </w:rPr>
        <w:t>If we are not able to effectively expand our organization, we may not be able to successfully execute the tasks necessary to further develop and commercialize pitolisant or any future product candidates and, accordingly, may not achieve our research, development and commercialization goals.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key executives and to attract, retain and motivate qualified personnel.</w:t>
      </w:r>
    </w:p>
    <w:p>
      <w:pPr>
        <w:spacing w:after="0" w:line="212" w:lineRule="exact"/>
        <w:rPr>
          <w:sz w:val="20"/>
          <w:szCs w:val="20"/>
          <w:color w:val="auto"/>
        </w:rPr>
      </w:pPr>
    </w:p>
    <w:p>
      <w:pPr>
        <w:ind w:right="260" w:firstLine="637"/>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teams. We do not maintain “key person” insurance for any of our executives or other employees. The loss of the services of any of these persons could impede the achievement of our research, development and commercialization objectives.</w:t>
      </w:r>
    </w:p>
    <w:p>
      <w:pPr>
        <w:spacing w:after="0" w:line="164" w:lineRule="exact"/>
        <w:rPr>
          <w:sz w:val="20"/>
          <w:szCs w:val="20"/>
          <w:color w:val="auto"/>
        </w:rPr>
      </w:pPr>
    </w:p>
    <w:p>
      <w:pPr>
        <w:ind w:right="100" w:firstLine="637"/>
        <w:spacing w:after="0" w:line="248"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equity award grants that vest over time. The value to employees of these equity grants that vest over time may be significantly affected by changes in the price of our common stock that are beyond our control, and may at any time be insufficient to retain employees who receive more lucrative offers from other companies. Any of our employees could leave our employment at any time, with or without notice.</w:t>
      </w:r>
    </w:p>
    <w:p>
      <w:pPr>
        <w:spacing w:after="0" w:line="170" w:lineRule="exact"/>
        <w:rPr>
          <w:sz w:val="20"/>
          <w:szCs w:val="20"/>
          <w:color w:val="auto"/>
        </w:rPr>
      </w:pPr>
    </w:p>
    <w:p>
      <w:pPr>
        <w:ind w:right="40" w:firstLine="637"/>
        <w:spacing w:after="0" w:line="241" w:lineRule="auto"/>
        <w:rPr>
          <w:sz w:val="20"/>
          <w:szCs w:val="20"/>
          <w:color w:val="auto"/>
        </w:rPr>
      </w:pPr>
      <w:r>
        <w:rPr>
          <w:rFonts w:ascii="Arial" w:cs="Arial" w:eastAsia="Arial" w:hAnsi="Arial"/>
          <w:sz w:val="18"/>
          <w:szCs w:val="18"/>
          <w:color w:val="auto"/>
        </w:rPr>
        <w:t>Recruiting and retaining qualified operations, finance and accounting, quality and compliance, scientific, clinical, manufacturing and sales and marketing personnel or consultants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If we are unable to attract, retain and motivate qualified and experienced personnel, it could harm our business, results of operations and financial condition. Even if we are successful in attracting and retaining such personnel, competition for such employees may significantly increase our compensation costs and adversely affect our business, results of operations and financial condition.</w:t>
      </w:r>
    </w:p>
    <w:p>
      <w:pPr>
        <w:spacing w:after="0" w:line="179"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The loss of the services of any of our executive officers, key employees or consultants could seriously harm our ability to successfully implement our business strategy. Replacing executive officers, key employees or consultants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spacing w:after="0" w:line="174" w:lineRule="exact"/>
        <w:rPr>
          <w:sz w:val="20"/>
          <w:szCs w:val="20"/>
          <w:color w:val="auto"/>
        </w:rPr>
      </w:pPr>
    </w:p>
    <w:p>
      <w:pPr>
        <w:ind w:right="60" w:firstLine="637"/>
        <w:spacing w:after="0" w:line="255" w:lineRule="auto"/>
        <w:rPr>
          <w:sz w:val="20"/>
          <w:szCs w:val="20"/>
          <w:color w:val="auto"/>
        </w:rPr>
      </w:pPr>
      <w:r>
        <w:rPr>
          <w:rFonts w:ascii="Arial" w:cs="Arial" w:eastAsia="Arial" w:hAnsi="Arial"/>
          <w:sz w:val="18"/>
          <w:szCs w:val="18"/>
          <w:color w:val="auto"/>
        </w:rPr>
        <w:t>We may hire part-time employees or use consultants. As a result, certain of our employees, officers, directors or consultants may not devote all of their time to our business, and may from time to time serve as employees, officers, directors and consultants of other companies.</w:t>
      </w:r>
    </w:p>
    <w:p>
      <w:pPr>
        <w:spacing w:after="0" w:line="164"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29" w:lineRule="exact"/>
        <w:rPr>
          <w:sz w:val="20"/>
          <w:szCs w:val="20"/>
          <w:color w:val="auto"/>
        </w:rPr>
      </w:pPr>
    </w:p>
    <w:p>
      <w:pPr>
        <w:ind w:right="80" w:firstLine="637"/>
        <w:spacing w:after="0" w:line="241" w:lineRule="auto"/>
        <w:rPr>
          <w:sz w:val="20"/>
          <w:szCs w:val="20"/>
          <w:color w:val="auto"/>
        </w:rPr>
      </w:pPr>
      <w:r>
        <w:rPr>
          <w:rFonts w:ascii="Arial" w:cs="Arial" w:eastAsia="Arial" w:hAnsi="Arial"/>
          <w:sz w:val="18"/>
          <w:szCs w:val="18"/>
          <w:color w:val="auto"/>
        </w:rPr>
        <w:t>Any unplanned event, such as flood, fire, explosion, earthquake, extreme weather condition, medical epidemics, power shortage, telecommunication failure or other natural or manmade accidents or incidents that result in us being unable to fully utilize our facilities, the manufacturing facilities of our third-party contract manufacturers or our or their distribution networks, may have a material and adverse effect on our ability to operate our business, particularly on a daily basis, and have significant negative consequences on our financial and operating conditions. Loss of access to these facilities may result in increased costs, or interruptions in the commercialization of WAKIX or our business operations. Natural disasters could further disrupt our operations, and have a material and adverse effect on our business, financial condition, results of operations and prospects. If a natural disaster, power outage or other event occurred that prevented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us from using all or a significant portion of our headquarters, that damaged critical infrastructure, such as our research facilities, the manufacturing facilities of our third-party contract manufacturers or our or their distribution networks, or that otherwise disrupted operations, it may be difficult or, in certain cases, impossible, for us to continue our business for a substantial period of time.</w:t>
      </w:r>
    </w:p>
    <w:p>
      <w:pPr>
        <w:spacing w:after="0" w:line="164"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 Any real or perceived security breaches, loss of data, and other disruptions or incidents could compromise the privacy, security, integrity or confidentiality of sensitive information related to our business or prevent us from accessing critical information and expose us to liability and reputational harm, which could adversely affect our business, results of operations and financial condition.</w:t>
      </w:r>
    </w:p>
    <w:p>
      <w:pPr>
        <w:spacing w:after="0" w:line="160"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We collect and maintain data and information that is necessary to conduct our business, and we are increasingly dependent on information technology systems and infrastructure to operate our business, including systems infrastructure operated and maintained by our third party suppliers or providers.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and integrity of such confidential information. We have established physical, electronic and organizational measures to safeguard and secure our systems and facilities to prevent an information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or unauthorized access or use resulting from computer viruses, malware, natural disasters, terrorism, war, telecommunication and electrical failures, denial-of-service attacks, cyber- attacks or cyber-intrusions over the Internet, hacking, phishing and other social engineering attacks, attachments to emails, persons inside our organization (including employees or contractors), lost or stolen devices, or persons with access to systems inside our organization.</w:t>
      </w:r>
    </w:p>
    <w:p>
      <w:pPr>
        <w:spacing w:after="0" w:line="177" w:lineRule="exact"/>
        <w:rPr>
          <w:sz w:val="20"/>
          <w:szCs w:val="20"/>
          <w:color w:val="auto"/>
        </w:rPr>
      </w:pPr>
    </w:p>
    <w:p>
      <w:pPr>
        <w:ind w:right="20" w:firstLine="637"/>
        <w:spacing w:after="0" w:line="237" w:lineRule="auto"/>
        <w:rPr>
          <w:sz w:val="20"/>
          <w:szCs w:val="20"/>
          <w:color w:val="auto"/>
        </w:rPr>
      </w:pPr>
      <w:r>
        <w:rPr>
          <w:rFonts w:ascii="Arial" w:cs="Arial" w:eastAsia="Arial" w:hAnsi="Arial"/>
          <w:sz w:val="18"/>
          <w:szCs w:val="18"/>
          <w:color w:val="auto"/>
        </w:rPr>
        <w:t>The risk of a security breach or disruption or data loss, particularly through social engineering attacks,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real or perceived security breach affects our systems (or those of our third party providers or suppliers) or results in the loss of or accidental, unlawful or unauthorized access to, use of, release of or other processing of personally identifiable information or clinical trial data,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and state breach notification laws. We would also be exposed to a risk of loss, negative publicity, harm to our reputation, governmental investigation and/or enforcement actions, claims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9" w:name="page50"/>
    <w:bookmarkEnd w:id="49"/>
    <w:p>
      <w:pPr>
        <w:ind w:right="100"/>
        <w:spacing w:after="0" w:line="255" w:lineRule="auto"/>
        <w:rPr>
          <w:sz w:val="20"/>
          <w:szCs w:val="20"/>
          <w:color w:val="auto"/>
        </w:rPr>
      </w:pPr>
      <w:r>
        <w:rPr>
          <w:rFonts w:ascii="Arial" w:cs="Arial" w:eastAsia="Arial" w:hAnsi="Arial"/>
          <w:sz w:val="18"/>
          <w:szCs w:val="18"/>
          <w:color w:val="auto"/>
        </w:rPr>
        <w:t>or litigation and potential liability, which could materially adversely affect our business, results of operations and financial condition. The global data protection landscape is rapidly evolving, and we may be affected by or subject to new, amended or existing laws and regulations in the future, including as our operations continue to expand or if we begin to operate in foreign jurisdictions.</w:t>
      </w:r>
    </w:p>
    <w:p>
      <w:pPr>
        <w:spacing w:after="0" w:line="164" w:lineRule="exact"/>
        <w:rPr>
          <w:sz w:val="20"/>
          <w:szCs w:val="20"/>
          <w:color w:val="auto"/>
        </w:rPr>
      </w:pPr>
    </w:p>
    <w:p>
      <w:pPr>
        <w:jc w:val="both"/>
        <w:ind w:right="400"/>
        <w:spacing w:after="0" w:line="260"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51" w:lineRule="exact"/>
        <w:rPr>
          <w:sz w:val="20"/>
          <w:szCs w:val="20"/>
          <w:color w:val="auto"/>
        </w:rPr>
      </w:pPr>
    </w:p>
    <w:p>
      <w:pPr>
        <w:ind w:firstLine="637"/>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laws, data privacy and security laws and other similar non-U.S. laws; or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or misrepresentation of individually identifiable information, including, without limitation,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Regulatory Approval and Commercialization</w:t>
      </w:r>
    </w:p>
    <w:p>
      <w:pPr>
        <w:spacing w:after="0" w:line="21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i w:val="1"/>
          <w:iCs w:val="1"/>
          <w:color w:val="auto"/>
        </w:rPr>
        <w:t>The regulatory approval process of the FDA is costly, lengthy and inherently unpredictable, and if we are ultimately unable to obtain regulatory approval for pitolisant in other potential indications for which we may seek to develop pitolisant, our business will be substantially harmed.</w:t>
      </w:r>
    </w:p>
    <w:p>
      <w:pPr>
        <w:spacing w:after="0" w:line="151"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Although the commercialization of WAKIX is our primary focus, as part of our longer-term growth strategy, we plan to evaluate pitolisant in other indications and develop other product candidates. The research, testing, manufacturing, labeling, approval, selling, import, export, pricing and reimbursement marketing and distribution of drug products are subject to extensive regulation by the FDA and other regulatory agencies in the United States. Although we have obtained regulatory approval for WAKIX in the United States for the treatment of EDS or cataplexy in adult patients with narcolepsy, it is possible that we may not obtain regulatory approval for pitolisant for other indications, or for any other product candidates we may seek to develop in the future. We received a Complete Response Letter (“CRL”) for pitolisant for the treatment of cataplexy in adult patients with narcolepsy, and therefore the FDA did not approve WAKIX for this indication during the initial NDA review. Subsequently, in June 2020, we received a general advice letter from the FDA stating that the FDA had re-analyzed data from the HARMONY 1 trial that we submitted in the NDA in support of the adult cataplexy indication for WAKIX. As a result, the FDA recommended we submit a complete response resubmission in pursuit of the adult cataplexy indication for WAKIX. Following such resubmission, we received acknowledgement from the FDA that it considers the resubmission to be a complete Class 1 response to its August 14, 2019 action letter, and the user fee goal date, or decision date, was October 13, 2020. On October 13, 2020 we received regulatory approval for WAKIX for the treatment of cataplexy in adult patients with narcolepsy. Nevertheless, obtaining regulatory approval of an NDA can be a lengthy, expensive and uncertain process.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0" w:name="page51"/>
    <w:bookmarkEnd w:id="50"/>
    <w:p>
      <w:pPr>
        <w:ind w:right="380" w:firstLine="637"/>
        <w:spacing w:after="0" w:line="276" w:lineRule="auto"/>
        <w:rPr>
          <w:sz w:val="20"/>
          <w:szCs w:val="20"/>
          <w:color w:val="auto"/>
        </w:rPr>
      </w:pPr>
      <w:r>
        <w:rPr>
          <w:rFonts w:ascii="Arial" w:cs="Arial" w:eastAsia="Arial" w:hAnsi="Arial"/>
          <w:sz w:val="18"/>
          <w:szCs w:val="18"/>
          <w:color w:val="auto"/>
        </w:rPr>
        <w:t>The FDA can delay, limit or deny approval of a drug candidate for many reasons or require us to conduct additional preclinical or clinical testing, including, but not limited to, the following:</w:t>
      </w:r>
    </w:p>
    <w:p>
      <w:pPr>
        <w:spacing w:after="0" w:line="37" w:lineRule="exact"/>
        <w:rPr>
          <w:sz w:val="20"/>
          <w:szCs w:val="20"/>
          <w:color w:val="auto"/>
        </w:rPr>
      </w:pPr>
    </w:p>
    <w:p>
      <w:pPr>
        <w:ind w:left="1120" w:right="260" w:hanging="370"/>
        <w:spacing w:after="0" w:line="275" w:lineRule="auto"/>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drug candidate may not be deemed safe or effective, or the clinical and other benefits may be deemed to not outweigh the candidate’s risks;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might not approve our trial design and analysis plan;</w:t>
      </w:r>
    </w:p>
    <w:p>
      <w:pPr>
        <w:spacing w:after="0" w:line="116"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not find the data from nonclinical and clinical studies and trials sufficient or may disagree with our interpretation of data from nonclinical or clinical studies;</w:t>
      </w:r>
    </w:p>
    <w:p>
      <w:pPr>
        <w:spacing w:after="0" w:line="37" w:lineRule="exact"/>
        <w:rPr>
          <w:rFonts w:ascii="Times New Roman" w:cs="Times New Roman" w:eastAsia="Times New Roman" w:hAnsi="Times New Roman"/>
          <w:sz w:val="18"/>
          <w:szCs w:val="18"/>
          <w:color w:val="auto"/>
        </w:rPr>
      </w:pPr>
    </w:p>
    <w:p>
      <w:pPr>
        <w:ind w:left="1120" w:right="140" w:hanging="370"/>
        <w:spacing w:after="0" w:line="275" w:lineRule="auto"/>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 or other products containing the active ingredient in our product candidates;</w:t>
      </w:r>
    </w:p>
    <w:p>
      <w:pPr>
        <w:spacing w:after="0" w:line="37" w:lineRule="exact"/>
        <w:rPr>
          <w:rFonts w:ascii="Times New Roman" w:cs="Times New Roman" w:eastAsia="Times New Roman" w:hAnsi="Times New Roman"/>
          <w:sz w:val="18"/>
          <w:szCs w:val="18"/>
          <w:color w:val="auto"/>
        </w:rPr>
      </w:pPr>
    </w:p>
    <w:p>
      <w:pPr>
        <w:ind w:left="1120" w:right="20" w:hanging="370"/>
        <w:spacing w:after="0" w:line="275" w:lineRule="auto"/>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inspection(s) by the FDA or other regulatory authorities may result in unacceptable findings that could negatively impact approval of pitolisant;</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might not accept or deem acceptable a third-party manufacturers’ processes or facilities; or</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may change its approval policies or adopt new regulations.</w:t>
      </w:r>
    </w:p>
    <w:p>
      <w:pPr>
        <w:spacing w:after="0" w:line="224"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Prior to obtaining approval to commercialize a drug candidate in the United States, we or our collaborators must demonstrate with substantial evidence from well-controlled clinical trials, and to the satisfaction of the FDA, that such drug candidates are safe and effective for their intended uses. The number of nonclinical and clinical studies and trials that will be required for FDA approval varies depending on the drug candidate, the disease or condition that the drug candidate is designed to address, and the regulations applicable to any particular drug candidate. In addition, data obtained from preclinical trials and clinical trials are susceptible to varying interpretations, and regulatory authorities may not interpret our data as favorably as we do, which may further delay, limit or prevent development efforts, clinical trials or marketing approval. Furthermore, as more competing drug candidates within a particular class of drugs proceed through clinical development to regulatory review and approval, the amount and type of clinical data that may be required by regulatory authorities may increase or change. Even if we believe the preclinical or clinical data for our product candidates are promising, such data may not be sufficient to support approval by the FDA and other regulatory authorities. If pitolisant fails to demonstrate safety and efficacy in clinical trials or does not gain regulatory approval for other indications, our business and results of operations will be materially and adversely harmed. Additionally, if the FDA requires that we conduct additional clinical trials, places limitations on pitolisant in our label, delays approval to market pitolisant or limits the use of pitolisant, our business and results of operations may be harmed.</w:t>
      </w:r>
    </w:p>
    <w:p>
      <w:pPr>
        <w:spacing w:after="0" w:line="180"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If we fail to obtain and sustain an adequate level of coverage and reimbursement for WAKIX and other product candidates by third-party payors, sales would be adversely affected.</w:t>
      </w:r>
    </w:p>
    <w:p>
      <w:pPr>
        <w:spacing w:after="0" w:line="129" w:lineRule="exact"/>
        <w:rPr>
          <w:sz w:val="20"/>
          <w:szCs w:val="20"/>
          <w:color w:val="auto"/>
        </w:rPr>
      </w:pPr>
    </w:p>
    <w:p>
      <w:pPr>
        <w:ind w:right="40" w:firstLine="639"/>
        <w:spacing w:after="0" w:line="239" w:lineRule="auto"/>
        <w:rPr>
          <w:sz w:val="20"/>
          <w:szCs w:val="20"/>
          <w:color w:val="auto"/>
        </w:rPr>
      </w:pPr>
      <w:r>
        <w:rPr>
          <w:rFonts w:ascii="Arial" w:cs="Arial" w:eastAsia="Arial" w:hAnsi="Arial"/>
          <w:sz w:val="18"/>
          <w:szCs w:val="18"/>
          <w:color w:val="auto"/>
        </w:rPr>
        <w:t>Successful sales of WAKIX and any other product candidates that may receive regulatory approval depend on the availability of coverage and adequate reimbursement from third-party payors. Patients who are prescribed medications for the treatment of their conditions generally rely on third- party payors to reimburse all or part of the costs associated with their prescription drugs. There is significant uncertainty related to third-party payor coverage and reimbursement of newly approved drugs. Regulatory approvals, pricing and reimbursement for new drug products vary widely from country to country. 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Private payors tend to follow CMS to a substantial degree. Commercial third-party payors, such as private health insurers and health maintenance organizations, also decide which medications they will pay for and establish reimbursement levels, though commercial third-party payors often follow CMS’ reimbursement determinations. The availability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1" w:name="page52"/>
    <w:bookmarkEnd w:id="51"/>
    <w:p>
      <w:pPr>
        <w:ind w:right="100"/>
        <w:spacing w:after="0" w:line="245" w:lineRule="auto"/>
        <w:rPr>
          <w:sz w:val="20"/>
          <w:szCs w:val="20"/>
          <w:color w:val="auto"/>
        </w:rPr>
      </w:pPr>
      <w:r>
        <w:rPr>
          <w:rFonts w:ascii="Arial" w:cs="Arial" w:eastAsia="Arial" w:hAnsi="Arial"/>
          <w:sz w:val="18"/>
          <w:szCs w:val="18"/>
          <w:color w:val="auto"/>
        </w:rPr>
        <w:t>coverage and the extent of reimbursement by governmental and private payors is essential for most patients to be able to afford treatments. Sales of WAKIX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w:t>
      </w:r>
    </w:p>
    <w:p>
      <w:pPr>
        <w:spacing w:after="0" w:line="172" w:lineRule="exact"/>
        <w:rPr>
          <w:sz w:val="20"/>
          <w:szCs w:val="20"/>
          <w:color w:val="auto"/>
        </w:rPr>
      </w:pPr>
    </w:p>
    <w:p>
      <w:pPr>
        <w:ind w:right="760" w:firstLine="639"/>
        <w:spacing w:after="0" w:line="276"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37" w:lineRule="exact"/>
        <w:rPr>
          <w:sz w:val="20"/>
          <w:szCs w:val="20"/>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We cannot be sure that reimbursement will be available for WAKIX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79" w:lineRule="exact"/>
        <w:rPr>
          <w:sz w:val="20"/>
          <w:szCs w:val="20"/>
          <w:color w:val="auto"/>
        </w:rPr>
      </w:pPr>
    </w:p>
    <w:p>
      <w:pPr>
        <w:ind w:right="20" w:firstLine="637"/>
        <w:spacing w:after="0" w:line="25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can be an expensive and time-consuming process that could require us to provide supporting scientific, clinical and cost effectiveness data for the use of our products to the payor. The industry competition to be included in third-party payors’ drug formularies, or lists of medications for which third- party payors provide coverage and reimbursement, often leads to downward pricing pressures on pharmaceutical products. In addition, third-party payors may refuse to include a particular branded drug in their formularies or otherwise restrict patient access through formulary controls or otherwise to a branded drug when a less costly generic equivalent or other alternative is available.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In addition, many pharmaceutical manufacturers must calculate and report certain price reporting metrics to the government, such as average manufacture price and best price. Penalties may apply in some cases when such metrics are not submitted accurately and timely. We cannot be sure that reimbursement will be available for any product candidate that we commercialize and, if reimbursement is available, the level of reimbursement.</w:t>
      </w:r>
    </w:p>
    <w:p>
      <w:pPr>
        <w:spacing w:after="0" w:line="173" w:lineRule="exact"/>
        <w:rPr>
          <w:sz w:val="20"/>
          <w:szCs w:val="20"/>
          <w:color w:val="auto"/>
        </w:rPr>
      </w:pPr>
    </w:p>
    <w:p>
      <w:pPr>
        <w:ind w:right="200" w:firstLine="637"/>
        <w:spacing w:after="0" w:line="248" w:lineRule="auto"/>
        <w:rPr>
          <w:sz w:val="20"/>
          <w:szCs w:val="20"/>
          <w:color w:val="auto"/>
        </w:rPr>
      </w:pPr>
      <w:r>
        <w:rPr>
          <w:rFonts w:ascii="Arial" w:cs="Arial" w:eastAsia="Arial" w:hAnsi="Arial"/>
          <w:sz w:val="18"/>
          <w:szCs w:val="18"/>
          <w:color w:val="auto"/>
        </w:rPr>
        <w:t>In addition,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w:t>
      </w:r>
    </w:p>
    <w:p>
      <w:pPr>
        <w:spacing w:after="0" w:line="170" w:lineRule="exact"/>
        <w:rPr>
          <w:sz w:val="20"/>
          <w:szCs w:val="20"/>
          <w:color w:val="auto"/>
        </w:rPr>
      </w:pPr>
    </w:p>
    <w:p>
      <w:pPr>
        <w:ind w:right="100" w:firstLine="637"/>
        <w:spacing w:after="0" w:line="243" w:lineRule="auto"/>
        <w:rPr>
          <w:sz w:val="20"/>
          <w:szCs w:val="20"/>
          <w:color w:val="auto"/>
        </w:rPr>
      </w:pPr>
      <w:r>
        <w:rPr>
          <w:rFonts w:ascii="Arial" w:cs="Arial" w:eastAsia="Arial" w:hAnsi="Arial"/>
          <w:sz w:val="18"/>
          <w:szCs w:val="18"/>
          <w:color w:val="auto"/>
        </w:rPr>
        <w:t>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2" w:name="page53"/>
    <w:bookmarkEnd w:id="52"/>
    <w:p>
      <w:pPr>
        <w:ind w:firstLine="639"/>
        <w:spacing w:after="0" w:line="241" w:lineRule="auto"/>
        <w:rPr>
          <w:sz w:val="20"/>
          <w:szCs w:val="20"/>
          <w:color w:val="auto"/>
        </w:rPr>
      </w:pPr>
      <w:r>
        <w:rPr>
          <w:rFonts w:ascii="Arial" w:cs="Arial" w:eastAsia="Arial" w:hAnsi="Arial"/>
          <w:sz w:val="18"/>
          <w:szCs w:val="18"/>
          <w:color w:val="auto"/>
        </w:rPr>
        <w:t>While we have obtained coverage for WAKIX from certain third-party payors, the resulting reimbursement payment rates might not be adequate or may require co-payments that patients find unacceptably high. Patients are unlikely to use WAKIX unless coverage is provided and reimbursement is adequate to cover a significant portion of the cost of WAKIX.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We may suffer loss of corporate reputation due to industry-wide legislative or public scrutiny of our pricing decisions and practices within an increasingly price-sensitive environment.</w:t>
      </w:r>
    </w:p>
    <w:p>
      <w:pPr>
        <w:spacing w:after="0" w:line="179" w:lineRule="exact"/>
        <w:rPr>
          <w:sz w:val="20"/>
          <w:szCs w:val="20"/>
          <w:color w:val="auto"/>
        </w:rPr>
      </w:pPr>
    </w:p>
    <w:p>
      <w:pPr>
        <w:ind w:right="60" w:firstLine="639"/>
        <w:spacing w:after="0" w:line="239" w:lineRule="auto"/>
        <w:rPr>
          <w:sz w:val="20"/>
          <w:szCs w:val="20"/>
          <w:color w:val="auto"/>
        </w:rPr>
      </w:pPr>
      <w:r>
        <w:rPr>
          <w:rFonts w:ascii="Arial" w:cs="Arial" w:eastAsia="Arial" w:hAnsi="Arial"/>
          <w:sz w:val="18"/>
          <w:szCs w:val="18"/>
          <w:color w:val="auto"/>
        </w:rPr>
        <w:t>Despite obtaining formulary approval from certain third-party payors, sometimes with prior authorization or other formulary restrictions and requirements, including documented failure or inadequate response to alternative treatments, we expect to experience pricing pressures in connection with the sale of WAKIX due to the trend toward cost containment, managed healthcare, the increasing influence of health maintenance organizations and additional legislative changes. Large public and private payors, managed care organizations, group purchasing organizations and similar organizations are exerting increasing influence on decisions regarding the use of, and reimbursement levels for, particular treatments. Such third-party payors, including Medicare, are questioning the coverage of, and challenging the prices charged for medical products and services, and many third- party payors limit coverage of, or reimbursement for, newly approved health care products.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WAKIX.</w:t>
      </w:r>
    </w:p>
    <w:p>
      <w:pPr>
        <w:spacing w:after="0" w:line="176" w:lineRule="exact"/>
        <w:rPr>
          <w:sz w:val="20"/>
          <w:szCs w:val="20"/>
          <w:color w:val="auto"/>
        </w:rPr>
      </w:pPr>
    </w:p>
    <w:p>
      <w:pPr>
        <w:jc w:val="both"/>
        <w:ind w:right="40" w:firstLine="637"/>
        <w:spacing w:after="0" w:line="248" w:lineRule="auto"/>
        <w:rPr>
          <w:sz w:val="20"/>
          <w:szCs w:val="20"/>
          <w:color w:val="auto"/>
        </w:rPr>
      </w:pPr>
      <w:r>
        <w:rPr>
          <w:rFonts w:ascii="Arial" w:cs="Arial" w:eastAsia="Arial" w:hAnsi="Arial"/>
          <w:sz w:val="18"/>
          <w:szCs w:val="18"/>
          <w:color w:val="auto"/>
        </w:rPr>
        <w:t>These cost-control initiatives could decrease the price we have established for WAKIX, which could result in product revenues being lower than anticipated. The pricing, coverage and reimbursement of WAKIX must be adequate to support a commercial infrastructure. If the price for WAKIX decreases or if governmental and other third-party payors do not provide adequate coverage and reimbursement levels, our revenue, gross margins and prospects for profitability will suffer.</w:t>
      </w:r>
    </w:p>
    <w:p>
      <w:pPr>
        <w:spacing w:after="0" w:line="170"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While we have not taken any steps to attain regulatory or patent approvals in any specific markets outside of the United States, we plan to explore obtaining additional licensing rights from Bioprojet to expand into international markets with WAKIX</w:t>
      </w:r>
      <w:r>
        <w:rPr>
          <w:rFonts w:ascii="Arial" w:cs="Arial" w:eastAsia="Arial" w:hAnsi="Arial"/>
          <w:sz w:val="18"/>
          <w:szCs w:val="18"/>
          <w:b w:val="1"/>
          <w:bCs w:val="1"/>
          <w:color w:val="auto"/>
        </w:rPr>
        <w:t>.</w:t>
      </w:r>
      <w:r>
        <w:rPr>
          <w:rFonts w:ascii="Arial" w:cs="Arial" w:eastAsia="Arial" w:hAnsi="Arial"/>
          <w:sz w:val="18"/>
          <w:szCs w:val="18"/>
          <w:color w:val="auto"/>
        </w:rPr>
        <w:t xml:space="preserve"> Outside the United States, international operations are generally subject to extensive governmental price controls and other market regulations, and we believe the increasing emphasis on cost-containment initiatives in Europe and other countries will likely put pressure on the pricing and usage of medical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WAKIX. Accordingly, in markets outside the United States, the reimbursement for WAKIX may be reduced compared with the United States and may be insufficient to generate commercially reasonable revenue and profits.</w:t>
      </w:r>
    </w:p>
    <w:p>
      <w:pPr>
        <w:spacing w:after="0" w:line="17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WAKIX has been approved by the FDA for the treatment of EDS in adult patients with narcolepsy, and cataplexy in adult patients with narcolepsy. Regulatory approval is limited by the FDA to the specific indication for which approval has been granted and, unless we seek regulatory approval for additional indications, we will be prohibited from marketing pitolisant for other indications. We may be subject to fines, penalties or injunctions if we are determined to have promoted or be promoting the use of pitolisant for unapproved or “off-label” uses, resulting in damage to our reputation and business.</w:t>
      </w:r>
    </w:p>
    <w:p>
      <w:pPr>
        <w:spacing w:after="0" w:line="163" w:lineRule="exact"/>
        <w:rPr>
          <w:sz w:val="20"/>
          <w:szCs w:val="20"/>
          <w:color w:val="auto"/>
        </w:rPr>
      </w:pPr>
    </w:p>
    <w:p>
      <w:pPr>
        <w:ind w:right="240" w:firstLine="637"/>
        <w:spacing w:after="0" w:line="243" w:lineRule="auto"/>
        <w:rPr>
          <w:sz w:val="20"/>
          <w:szCs w:val="20"/>
          <w:color w:val="auto"/>
        </w:rPr>
      </w:pPr>
      <w:r>
        <w:rPr>
          <w:rFonts w:ascii="Arial" w:cs="Arial" w:eastAsia="Arial" w:hAnsi="Arial"/>
          <w:sz w:val="18"/>
          <w:szCs w:val="18"/>
          <w:color w:val="auto"/>
        </w:rPr>
        <w:t>While we received approval for the indications of the treatment of EDS in adult patients with narcolepsy and cataplexy in adult patients with narcolepsy, WAKIX is not indicated to treat any other conditions. We are prohibited from promoting WAKIX for any other indication unless we are granted FDA approval for such indication. The FDA strictly regulates the promotional claims that may be made about prescription products, and WAKIX may not be promoted for uses that are not approved by the FDA as reflected in its approved labeling. If we are not able to obtain FDA approval for any desired future indications for our products and product candidates, our ability to effectively market and sell our products may be reduced and our business may be adversely affected.</w:t>
      </w:r>
    </w:p>
    <w:p>
      <w:pPr>
        <w:spacing w:after="0" w:line="174" w:lineRule="exact"/>
        <w:rPr>
          <w:sz w:val="20"/>
          <w:szCs w:val="20"/>
          <w:color w:val="auto"/>
        </w:rPr>
      </w:pPr>
    </w:p>
    <w:p>
      <w:pPr>
        <w:ind w:right="200" w:firstLine="637"/>
        <w:spacing w:after="0" w:line="245" w:lineRule="auto"/>
        <w:rPr>
          <w:sz w:val="20"/>
          <w:szCs w:val="20"/>
          <w:color w:val="auto"/>
        </w:rPr>
      </w:pPr>
      <w:r>
        <w:rPr>
          <w:rFonts w:ascii="Arial" w:cs="Arial" w:eastAsia="Arial" w:hAnsi="Arial"/>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53" w:name="page54"/>
    <w:bookmarkEnd w:id="53"/>
    <w:p>
      <w:pPr>
        <w:ind w:right="20"/>
        <w:spacing w:after="0" w:line="241" w:lineRule="auto"/>
        <w:rPr>
          <w:sz w:val="20"/>
          <w:szCs w:val="20"/>
          <w:color w:val="auto"/>
        </w:rPr>
      </w:pPr>
      <w:r>
        <w:rPr>
          <w:rFonts w:ascii="Arial" w:cs="Arial" w:eastAsia="Arial" w:hAnsi="Arial"/>
          <w:sz w:val="18"/>
          <w:szCs w:val="18"/>
          <w:color w:val="auto"/>
        </w:rPr>
        <w:t>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7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auto"/>
        </w:rPr>
        <w:t>WAKIX or any of our future product candidates may cause undesirable side effects or have other properties that could delay or prevent their regulatory approval, reduce the commercial attractiveness of a prescribing label or result in significant negative consequences following regulatory approval, if approved.</w:t>
      </w:r>
    </w:p>
    <w:p>
      <w:pPr>
        <w:spacing w:after="0" w:line="151"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Clinical trials of WAKIX or other product candidates we may develop could reveal a high and unacceptable incidence and severity of undesirable side effects. Undesirable side effects could adversely affect patient enrollment in clinical studies, cause us or regulatory authorities to interrupt, delay or halt clinical studies or result in the delay, denial or withdrawal of regulatory approval by the FDA or other regulatory authorities. Undesirable or adverse side effects also could result in regulatory authorities mandating a more restrictive prescribing label for the product, which, in turn, could limit the market acceptance of the product even if approved for marketing and commercialization.</w:t>
      </w:r>
    </w:p>
    <w:p>
      <w:pPr>
        <w:spacing w:after="0" w:line="172"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Drug-related side effects could result in potential product liability claims. We believe our product liability insurance coverage is sufficient in light of our clinical programs; however, we may not be able to maintain insurance coverage at a reasonable cost or in sufficient amounts or maintain coverage at all to protect us against losses due to liability. A successful product liability claim or series of claims brought against us could cause our stock price to decline and, if judgments exceed our insurance coverage, could adversely affect our results of operations, business and financial condition. In addition, regardless of merit or eventual outcome, product liability claims may result in impairment of our business reputation, significant negative media attention, withdrawal of clinical study participants, costs due to related litigation, distraction of management’s attention from our primary business, initiation of investigations by regulators, substantial monetary awards to patients or other claimants, the inability to commercialize our current product candidate or any future product candidate, product recalls, restrictions on labeling, marketing or promotion, decreased demand for our product candidates, if approved for marketing, and loss of revenue.</w:t>
      </w:r>
    </w:p>
    <w:p>
      <w:pPr>
        <w:spacing w:after="0" w:line="180" w:lineRule="exact"/>
        <w:rPr>
          <w:sz w:val="20"/>
          <w:szCs w:val="20"/>
          <w:color w:val="auto"/>
        </w:rPr>
      </w:pPr>
    </w:p>
    <w:p>
      <w:pPr>
        <w:ind w:right="140" w:firstLine="637"/>
        <w:spacing w:after="0" w:line="255" w:lineRule="auto"/>
        <w:rPr>
          <w:sz w:val="20"/>
          <w:szCs w:val="20"/>
          <w:color w:val="auto"/>
        </w:rPr>
      </w:pPr>
      <w:r>
        <w:rPr>
          <w:rFonts w:ascii="Arial" w:cs="Arial" w:eastAsia="Arial" w:hAnsi="Arial"/>
          <w:sz w:val="18"/>
          <w:szCs w:val="18"/>
          <w:color w:val="auto"/>
        </w:rPr>
        <w:t>Additionally, if we or others later identify undesirable side effects caused by WAKIX, either in the post-marketing setting or in clinical trials in other potential indications for which we develop pitolisant, or in clinical trials for other product candidates, a number of potentially significant negative consequences could result, including but not limited to:</w:t>
      </w:r>
    </w:p>
    <w:p>
      <w:pPr>
        <w:spacing w:after="0" w:line="56" w:lineRule="exact"/>
        <w:rPr>
          <w:sz w:val="20"/>
          <w:szCs w:val="20"/>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delay, prevention or withdrawal of approvals by regulatory authorities;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additional warnings on the prescribing label;</w:t>
      </w:r>
    </w:p>
    <w:p>
      <w:pPr>
        <w:spacing w:after="0" w:line="116" w:lineRule="exact"/>
        <w:rPr>
          <w:rFonts w:ascii="Times New Roman" w:cs="Times New Roman" w:eastAsia="Times New Roman" w:hAnsi="Times New Roman"/>
          <w:sz w:val="18"/>
          <w:szCs w:val="18"/>
          <w:color w:val="auto"/>
        </w:rPr>
      </w:pPr>
    </w:p>
    <w:p>
      <w:pPr>
        <w:ind w:left="1120" w:hanging="370"/>
        <w:spacing w:after="0" w:line="255" w:lineRule="auto"/>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of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designation as a controlled substance by the U.S. Drug Enforcement Administration (“DEA”);</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and the potential to be held liable for harm caused to patients;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an adverse effect on our reputation.</w:t>
      </w:r>
    </w:p>
    <w:p>
      <w:pPr>
        <w:spacing w:after="0" w:line="224" w:lineRule="exact"/>
        <w:rPr>
          <w:sz w:val="20"/>
          <w:szCs w:val="20"/>
          <w:color w:val="auto"/>
        </w:rPr>
      </w:pPr>
    </w:p>
    <w:p>
      <w:pPr>
        <w:ind w:right="400" w:firstLine="637"/>
        <w:spacing w:after="0" w:line="276" w:lineRule="auto"/>
        <w:rPr>
          <w:sz w:val="20"/>
          <w:szCs w:val="20"/>
          <w:color w:val="auto"/>
        </w:rPr>
      </w:pPr>
      <w:r>
        <w:rPr>
          <w:rFonts w:ascii="Arial" w:cs="Arial" w:eastAsia="Arial" w:hAnsi="Arial"/>
          <w:sz w:val="18"/>
          <w:szCs w:val="18"/>
          <w:color w:val="auto"/>
        </w:rPr>
        <w:t>Any of these events could prevent us from achieving or maintaining market acceptance of pitolisant and could significantly harm our business, results of operations, financial condition and prospects.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4" w:name="page55"/>
    <w:bookmarkEnd w:id="54"/>
    <w:p>
      <w:pPr>
        <w:ind w:right="80"/>
        <w:spacing w:after="0" w:line="260" w:lineRule="auto"/>
        <w:rPr>
          <w:sz w:val="20"/>
          <w:szCs w:val="20"/>
          <w:color w:val="auto"/>
        </w:rPr>
      </w:pPr>
      <w:r>
        <w:rPr>
          <w:rFonts w:ascii="Arial" w:cs="Arial" w:eastAsia="Arial" w:hAnsi="Arial"/>
          <w:sz w:val="18"/>
          <w:szCs w:val="18"/>
          <w:b w:val="1"/>
          <w:bCs w:val="1"/>
          <w:i w:val="1"/>
          <w:iCs w:val="1"/>
          <w:color w:val="auto"/>
        </w:rPr>
        <w:t>We have never commercialized a product candidate prior to WAKIX and we may lack the necessary expertise, personnel and resources to successfully commercialize WAKIX or any other potential product candidates that receive regulatory approval on our own or together with collaborators.</w:t>
      </w:r>
    </w:p>
    <w:p>
      <w:pPr>
        <w:spacing w:after="0" w:line="151" w:lineRule="exact"/>
        <w:rPr>
          <w:sz w:val="20"/>
          <w:szCs w:val="20"/>
          <w:color w:val="auto"/>
        </w:rPr>
      </w:pPr>
    </w:p>
    <w:p>
      <w:pPr>
        <w:ind w:right="180" w:firstLine="637"/>
        <w:spacing w:after="0" w:line="245" w:lineRule="auto"/>
        <w:rPr>
          <w:sz w:val="20"/>
          <w:szCs w:val="20"/>
          <w:color w:val="auto"/>
        </w:rPr>
      </w:pPr>
      <w:r>
        <w:rPr>
          <w:rFonts w:ascii="Arial" w:cs="Arial" w:eastAsia="Arial" w:hAnsi="Arial"/>
          <w:sz w:val="18"/>
          <w:szCs w:val="18"/>
          <w:color w:val="auto"/>
        </w:rPr>
        <w:t>WAKIX is our first commercialized product. Prior to this, our operations had been limited to organizing and staffing our company, business planning, raising capital, acquiring the rights to our product candidates and undertaking preclinical studies and clinical trials of our product candidates. We currently have no in-house manufacturing, distribution or supply capabilities. To achieve commercial success of WAKIX or any other product candidate, if approved, we will have to develop our own manufacturing, distribution and supply capabilities or outsource these activities to a third party.</w:t>
      </w:r>
    </w:p>
    <w:p>
      <w:pPr>
        <w:spacing w:after="0" w:line="172"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color w:val="auto"/>
        </w:rPr>
        <w:t>We are early in our commercialization efforts.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or other key global markets. If we are unable to build our own distribution and marketing capabilities or to find suitable partners for the commercialization of our product candidates, we may have difficulties generating revenue from them.</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exclusivity before approving generic versions of our products, the sales of our products could be adversely affected.</w:t>
      </w:r>
    </w:p>
    <w:p>
      <w:pPr>
        <w:spacing w:after="0" w:line="151"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Once an NDA is approved, the product covered thereby becomes a “reference listed drug” in the FDA’s publication, “Approved Drug Products with Therapeutic Equivalence Evaluations,” commonly known as the Orange Book. Manufacturers may seek approval of generic versions of reference listed drugs through submission of abbreviated new drug applications (“ANDAs”) in the United States. In support of an ANDA, a generic manufacturer need not conduct clinical trials.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76"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The FDA may not approve an ANDA for a generic product until any applicable period of non-patent exclusivity for the reference listed drug has expired. The U.S. Federal Food, Drug, and Cosmetic Act (“FDCA”), provides a period of five years of non-patent exclusivity for a new drug containing a new chemical entity (“NCE”). Specifically, in cases where such exclusivity has been granted, an ANDA may not be submitted to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w:t>
      </w:r>
    </w:p>
    <w:p>
      <w:pPr>
        <w:spacing w:after="0" w:line="174" w:lineRule="exact"/>
        <w:rPr>
          <w:sz w:val="20"/>
          <w:szCs w:val="20"/>
          <w:color w:val="auto"/>
        </w:rPr>
      </w:pPr>
    </w:p>
    <w:p>
      <w:pPr>
        <w:ind w:right="200" w:firstLine="637"/>
        <w:spacing w:after="0" w:line="276" w:lineRule="auto"/>
        <w:rPr>
          <w:sz w:val="20"/>
          <w:szCs w:val="20"/>
          <w:color w:val="auto"/>
        </w:rPr>
      </w:pPr>
      <w:r>
        <w:rPr>
          <w:rFonts w:ascii="Arial" w:cs="Arial" w:eastAsia="Arial" w:hAnsi="Arial"/>
          <w:sz w:val="18"/>
          <w:szCs w:val="18"/>
          <w:color w:val="auto"/>
        </w:rPr>
        <w:t>While we have received five years of NCE exclusivity for WAKIX, manufacturers may seek to launch generic products following the expiration of the applicable exclusivity period we obtain, even if we still have patent protection for our product.</w:t>
      </w:r>
    </w:p>
    <w:p>
      <w:pPr>
        <w:spacing w:after="0" w:line="145" w:lineRule="exact"/>
        <w:rPr>
          <w:sz w:val="20"/>
          <w:szCs w:val="20"/>
          <w:color w:val="auto"/>
        </w:rPr>
      </w:pPr>
    </w:p>
    <w:p>
      <w:pPr>
        <w:ind w:right="260" w:firstLine="637"/>
        <w:spacing w:after="0" w:line="255" w:lineRule="auto"/>
        <w:rPr>
          <w:sz w:val="20"/>
          <w:szCs w:val="20"/>
          <w:color w:val="auto"/>
        </w:rPr>
      </w:pPr>
      <w:r>
        <w:rPr>
          <w:rFonts w:ascii="Arial" w:cs="Arial" w:eastAsia="Arial" w:hAnsi="Arial"/>
          <w:sz w:val="18"/>
          <w:szCs w:val="18"/>
          <w:color w:val="auto"/>
        </w:rPr>
        <w:t>Competition that our products may face from generic versions of our products could materially and adversely affect our future revenue, profitability and cash flows and substantially limit our ability to obtain a return on the investments we have made in those product candidates.</w:t>
      </w:r>
    </w:p>
    <w:p>
      <w:pPr>
        <w:spacing w:after="0" w:line="164"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29"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 candidates are safe and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5" w:name="page56"/>
    <w:bookmarkEnd w:id="55"/>
    <w:p>
      <w:pPr>
        <w:ind w:right="240" w:firstLine="637"/>
        <w:spacing w:after="0" w:line="255"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56" w:lineRule="exact"/>
        <w:rPr>
          <w:sz w:val="20"/>
          <w:szCs w:val="20"/>
          <w:color w:val="auto"/>
        </w:rPr>
      </w:pPr>
    </w:p>
    <w:p>
      <w:pPr>
        <w:ind w:left="1120" w:hanging="370"/>
        <w:spacing w:after="0" w:line="275"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institutional review boards (“IRBs”) or other reviewing bodies may not authorize us or our investigators to commence a clinical trial, or to conduct or continue a clinical trial at a prospective or specific trial site;</w:t>
      </w:r>
    </w:p>
    <w:p>
      <w:pPr>
        <w:spacing w:after="0" w:line="37"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37" w:lineRule="exact"/>
        <w:rPr>
          <w:rFonts w:ascii="Times New Roman" w:cs="Times New Roman" w:eastAsia="Times New Roman" w:hAnsi="Times New Roman"/>
          <w:sz w:val="18"/>
          <w:szCs w:val="18"/>
          <w:color w:val="auto"/>
        </w:rPr>
      </w:pPr>
    </w:p>
    <w:p>
      <w:pPr>
        <w:jc w:val="both"/>
        <w:ind w:left="1120" w:hanging="370"/>
        <w:spacing w:after="0" w:line="248"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or patients required for clinical trials of pitolisant in additional indications or any other product candidate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61"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37" w:lineRule="exact"/>
        <w:rPr>
          <w:rFonts w:ascii="Times New Roman" w:cs="Times New Roman" w:eastAsia="Times New Roman" w:hAnsi="Times New Roman"/>
          <w:sz w:val="18"/>
          <w:szCs w:val="18"/>
          <w:color w:val="auto"/>
        </w:rPr>
      </w:pPr>
    </w:p>
    <w:p>
      <w:pPr>
        <w:jc w:val="both"/>
        <w:ind w:left="1120" w:hanging="370"/>
        <w:spacing w:after="0" w:line="255"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amend clinical trial protocols submitted to regulatory authorities or conduct additional studies to reflect changes in regulatory requirements or guidance, which we may be required to resubmit to an IRB and regulatory authorities for re-examination;</w:t>
      </w:r>
    </w:p>
    <w:p>
      <w:pPr>
        <w:spacing w:after="0" w:line="54" w:lineRule="exact"/>
        <w:rPr>
          <w:rFonts w:ascii="Times New Roman" w:cs="Times New Roman" w:eastAsia="Times New Roman" w:hAnsi="Times New Roman"/>
          <w:sz w:val="18"/>
          <w:szCs w:val="18"/>
          <w:color w:val="auto"/>
        </w:rPr>
      </w:pPr>
    </w:p>
    <w:p>
      <w:pPr>
        <w:jc w:val="both"/>
        <w:ind w:left="1120" w:hanging="370"/>
        <w:spacing w:after="0" w:line="244"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 or the supply or quality of pitolisant or any other product candidate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1120" w:hanging="370"/>
        <w:spacing w:after="0" w:line="275" w:lineRule="auto"/>
        <w:tabs>
          <w:tab w:leader="none" w:pos="11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46" w:lineRule="exact"/>
        <w:rPr>
          <w:sz w:val="20"/>
          <w:szCs w:val="20"/>
          <w:color w:val="auto"/>
        </w:rPr>
      </w:pPr>
    </w:p>
    <w:p>
      <w:pPr>
        <w:ind w:right="60" w:firstLine="637"/>
        <w:spacing w:after="0" w:line="245" w:lineRule="auto"/>
        <w:rPr>
          <w:sz w:val="20"/>
          <w:szCs w:val="20"/>
          <w:color w:val="auto"/>
        </w:rPr>
      </w:pPr>
      <w:r>
        <w:rPr>
          <w:rFonts w:ascii="Arial" w:cs="Arial" w:eastAsia="Arial" w:hAnsi="Arial"/>
          <w:sz w:val="18"/>
          <w:szCs w:val="18"/>
          <w:color w:val="auto"/>
        </w:rPr>
        <w:t>Regulators, IRBs of the institutions in which clinical trials are being conducted or data monitoring committees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2" w:lineRule="exact"/>
        <w:rPr>
          <w:sz w:val="20"/>
          <w:szCs w:val="20"/>
          <w:color w:val="auto"/>
        </w:rPr>
      </w:pPr>
    </w:p>
    <w:p>
      <w:pPr>
        <w:ind w:right="60" w:firstLine="637"/>
        <w:spacing w:after="0" w:line="243" w:lineRule="auto"/>
        <w:rPr>
          <w:sz w:val="20"/>
          <w:szCs w:val="20"/>
          <w:color w:val="auto"/>
        </w:rPr>
      </w:pPr>
      <w:r>
        <w:rPr>
          <w:rFonts w:ascii="Arial" w:cs="Arial" w:eastAsia="Arial" w:hAnsi="Arial"/>
          <w:sz w:val="18"/>
          <w:szCs w:val="18"/>
          <w:color w:val="auto"/>
        </w:rPr>
        <w:t>Negative or inconclusive results from our ongoing clinical trials of pitolisant for the treatment of narcolepsy, or any other clinical trial or preclinical studies in animals that we conduct, could mandate repeated or additional clinical trials and could result in changes to or delays in clinical trials in other indications. We do not know whether any clinical trials that we may conduct will demonstrate adequate efficacy and safety to result in regulatory approval to market pitolisant for our initial or potential additional indications, or any other product candidate. If later stage clinical trials do not produce favorable results, our ability to obtain regulatory approval for pitolisant for initial or potential additional indications, or any other product candidate, may be adversely impacted.</w:t>
      </w:r>
    </w:p>
    <w:p>
      <w:pPr>
        <w:spacing w:after="0" w:line="174"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Our failure to successfully initiate and complete clinical trials of pitolisant for potential additional indications or any other product candidate and to demonstrate the efficacy and safety necessary to obtain regulatory approval to market pitolisant or any other product candidate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pitolisant or any other product candidate.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6" w:name="page57"/>
    <w:bookmarkEnd w:id="56"/>
    <w:p>
      <w:pPr>
        <w:ind w:right="20" w:firstLine="637"/>
        <w:spacing w:after="0" w:line="239" w:lineRule="auto"/>
        <w:rPr>
          <w:sz w:val="20"/>
          <w:szCs w:val="20"/>
          <w:color w:val="auto"/>
        </w:rPr>
      </w:pPr>
      <w:r>
        <w:rPr>
          <w:rFonts w:ascii="Arial" w:cs="Arial" w:eastAsia="Arial" w:hAnsi="Arial"/>
          <w:sz w:val="18"/>
          <w:szCs w:val="18"/>
          <w:color w:val="auto"/>
        </w:rPr>
        <w:t>In addition, prior to our acquisition of the rights to pitolisant, we had no involvement with or control over the nonclinical or clinical development of pitolisant. Additionally, pursuant to our collaboration agreement with Bioprojet, we will rely on data generated by Bioprojet in connection with seeking regulatory approval of pitolisant in the territories in which we have rights to develop and commercialize pitolisant. We are dependent on Bioprojet having conducted such research and development in accordance with the applicable protocols and legal, regulatory and scientific standards, having accurately reported the results of all clinical trials and other research they conducted prior to our acquisition of the rights to pitolisant, having correctly collected and interpreted the data from these trials and other research, and having supplied us with complete information, data sets and reports required to adequately demonstrate the results reported through the date of our acquisition of these assets. Problems related to predecessors could result in increased costs and delays in the development of pitolisant for additional indications, which could adversely affect our ability to generate any future revenue from sales of pitolisant, if approved for additional indications.</w:t>
      </w:r>
    </w:p>
    <w:p>
      <w:pPr>
        <w:spacing w:after="0" w:line="18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1" w:lineRule="exact"/>
        <w:rPr>
          <w:sz w:val="20"/>
          <w:szCs w:val="20"/>
          <w:color w:val="auto"/>
        </w:rPr>
      </w:pPr>
    </w:p>
    <w:p>
      <w:pPr>
        <w:ind w:right="20" w:firstLine="637"/>
        <w:spacing w:after="0" w:line="239"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topline data, and the results and related findings and conclusions are subject to change following completion of the study or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76"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76"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29" w:lineRule="exact"/>
        <w:rPr>
          <w:sz w:val="20"/>
          <w:szCs w:val="20"/>
          <w:color w:val="auto"/>
        </w:rPr>
      </w:pPr>
    </w:p>
    <w:p>
      <w:pPr>
        <w:ind w:right="140" w:firstLine="637"/>
        <w:spacing w:after="0"/>
        <w:rPr>
          <w:sz w:val="20"/>
          <w:szCs w:val="20"/>
          <w:color w:val="auto"/>
        </w:rPr>
      </w:pPr>
      <w:r>
        <w:rPr>
          <w:rFonts w:ascii="Arial" w:cs="Arial" w:eastAsia="Arial" w:hAnsi="Arial"/>
          <w:sz w:val="18"/>
          <w:szCs w:val="18"/>
          <w:color w:val="auto"/>
        </w:rPr>
        <w:t>We may encounter delays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Patient enrollment and retention in clinical trials depends on many factors, including the size of the patient population, the nature of the trial protocol, our ability to recruit clinical trial investigators with the appropriate competencies and experience,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our ability to obtain and maintain patient consents, and the risk that patients enrolled in clinical trials will drop out of the trials before completion.</w:t>
      </w:r>
    </w:p>
    <w:p>
      <w:pPr>
        <w:spacing w:after="0" w:line="176" w:lineRule="exact"/>
        <w:rPr>
          <w:sz w:val="20"/>
          <w:szCs w:val="20"/>
          <w:color w:val="auto"/>
        </w:rPr>
      </w:pPr>
    </w:p>
    <w:p>
      <w:pPr>
        <w:ind w:right="100" w:firstLine="637"/>
        <w:spacing w:after="0" w:line="255" w:lineRule="auto"/>
        <w:rPr>
          <w:sz w:val="20"/>
          <w:szCs w:val="20"/>
          <w:color w:val="auto"/>
        </w:rPr>
      </w:pPr>
      <w:r>
        <w:rPr>
          <w:rFonts w:ascii="Arial" w:cs="Arial" w:eastAsia="Arial" w:hAnsi="Arial"/>
          <w:sz w:val="18"/>
          <w:szCs w:val="18"/>
          <w:color w:val="auto"/>
        </w:rPr>
        <w:t>Furthermore, any negative results or new safety signals we or third parties may report in clinical trials of our product candidates may make it difficult or impossible to recruit and retain patients in our clinical trials. Similarly, negative results reported by our competitors about their drug candidates may negatively affect patient recruitment in our clinical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7" w:name="page58"/>
    <w:bookmarkEnd w:id="57"/>
    <w:p>
      <w:pPr>
        <w:spacing w:after="0" w:line="243" w:lineRule="auto"/>
        <w:rPr>
          <w:sz w:val="20"/>
          <w:szCs w:val="20"/>
          <w:color w:val="auto"/>
        </w:rPr>
      </w:pPr>
      <w:r>
        <w:rPr>
          <w:rFonts w:ascii="Arial" w:cs="Arial" w:eastAsia="Arial" w:hAnsi="Arial"/>
          <w:sz w:val="18"/>
          <w:szCs w:val="18"/>
          <w:color w:val="auto"/>
        </w:rPr>
        <w:t>trials. In addition, marketing authorization of competitors in this same class of drugs may impair our ability to enroll patients into our clinical trials, delaying or potentially preventing us from completing recruitment of one or more of our trials. Delays or failures in planned patient enrollment or retention may result in increased costs, program delays or both, which could have a harmful effect on our ability to develop pitolisant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w:t>
      </w:r>
    </w:p>
    <w:p>
      <w:pPr>
        <w:spacing w:after="0" w:line="174"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Even though the FDA granted orphan drug designation to pitolisant for the treatment of narcolepsy, we may not be able to obtain or maintain orphan drug marketing exclusivity for this product candidate or any other product candidates.</w:t>
      </w:r>
    </w:p>
    <w:p>
      <w:pPr>
        <w:spacing w:after="0" w:line="129" w:lineRule="exact"/>
        <w:rPr>
          <w:sz w:val="20"/>
          <w:szCs w:val="20"/>
          <w:color w:val="auto"/>
        </w:rPr>
      </w:pPr>
    </w:p>
    <w:p>
      <w:pPr>
        <w:ind w:firstLine="637"/>
        <w:spacing w:after="0" w:line="23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annually in the United States. Pitolisant was granted orphan drug designation for the treatment of narcolepsy in 2010. Generally,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for the same indication for that time period.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The applicable exclusivity period is seven years in the United States. Orphan drug exclusivity in the United States may be unavailable where the indication for which the product candidate is approved is broader than the orphan-designated indication, or is otherwise different from the orphan-designated indication. For example, the FDA granted orphan drug designation for pitolisant for the treatment of narcolepsy. Even if we obtain orphan drug exclusivity for a drug candidate, that exclusivity may not effectively protect the candidate from competition. WAKIX may face additional competition because different drugs with a different active moiety can still be approved for the same condition. Even after an approved drug is granted orphan exclusivity, exclusivity may be lost if the FDA later determines that the request for designation was materially defective or if we are unable to assure sufficient quantities of the drug to meet the needs of patients with the rare disease or condition following approval. In addition, the FDA can subsequently approve products with the same active moiety for the same condition if the FDA concludes that the later drug is safer, more effective, or makes a major contribution to patient care.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78" w:lineRule="exact"/>
        <w:rPr>
          <w:sz w:val="20"/>
          <w:szCs w:val="20"/>
          <w:color w:val="auto"/>
        </w:rPr>
      </w:pPr>
    </w:p>
    <w:p>
      <w:pPr>
        <w:ind w:right="80" w:firstLine="637"/>
        <w:spacing w:after="0" w:line="243" w:lineRule="auto"/>
        <w:rPr>
          <w:sz w:val="20"/>
          <w:szCs w:val="20"/>
          <w:color w:val="auto"/>
        </w:rPr>
      </w:pPr>
      <w:r>
        <w:rPr>
          <w:rFonts w:ascii="Arial" w:cs="Arial" w:eastAsia="Arial" w:hAnsi="Arial"/>
          <w:sz w:val="18"/>
          <w:szCs w:val="18"/>
          <w:color w:val="auto"/>
        </w:rPr>
        <w:t>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or condition in order to receive orphan drug exclusivity.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We are subject to ongoing regulatory obligations and continued regulatory review with respect to WAKIX, which will result in significant additional expense. Additionally, WAKIX could be subject to labeling and other restrictions and market withdrawal, and we may be subject to penalties if we fail to comply with regulatory requirements or experience unanticipated problems with WAKIX.</w:t>
      </w:r>
    </w:p>
    <w:p>
      <w:pPr>
        <w:spacing w:after="0" w:line="134" w:lineRule="exact"/>
        <w:rPr>
          <w:sz w:val="20"/>
          <w:szCs w:val="20"/>
          <w:color w:val="auto"/>
        </w:rPr>
      </w:pPr>
    </w:p>
    <w:p>
      <w:pPr>
        <w:ind w:right="20" w:firstLine="639"/>
        <w:spacing w:after="0" w:line="241" w:lineRule="auto"/>
        <w:rPr>
          <w:sz w:val="20"/>
          <w:szCs w:val="20"/>
          <w:color w:val="auto"/>
        </w:rPr>
      </w:pPr>
      <w:r>
        <w:rPr>
          <w:rFonts w:ascii="Arial" w:cs="Arial" w:eastAsia="Arial" w:hAnsi="Arial"/>
          <w:sz w:val="18"/>
          <w:szCs w:val="18"/>
          <w:color w:val="auto"/>
        </w:rPr>
        <w:t>WAKIX is subject to extensive and ongoing regulatory requirements for manufacturing, labeling, packaging, storage, advertising, promotion, sampling, distribution, import, export, record keeping and submission of safety and other post-market information, including both federal and state requirements in the United States. In addition, manufacturers and manufacturers’ facilities are required to comply with extensive FDA requirements, including ensuring that quality control and manufacturing procedures conform to cGMP. As such, we and our contract manufacturers are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8" w:name="page59"/>
    <w:bookmarkEnd w:id="58"/>
    <w:p>
      <w:pPr>
        <w:ind w:right="180" w:firstLine="639"/>
        <w:spacing w:after="0"/>
        <w:rPr>
          <w:sz w:val="20"/>
          <w:szCs w:val="20"/>
          <w:color w:val="auto"/>
        </w:rPr>
      </w:pPr>
      <w:r>
        <w:rPr>
          <w:rFonts w:ascii="Arial" w:cs="Arial" w:eastAsia="Arial" w:hAnsi="Arial"/>
          <w:sz w:val="18"/>
          <w:szCs w:val="18"/>
          <w:color w:val="auto"/>
        </w:rPr>
        <w:t>Our regulatory approval for WAKIX for the treatment of EDS or cataplexy in adult patients with narcolepsy, and any other regulatory approvals we may receive for pitolisant or any future product candidates may be subject to limitations on the approved indicated uses for which the product may be marketed or to the conditions of approval, or contain requirements for potentially costly post-marketing testing, which must comply with applicable GCP regulations. We could also be asked to conduct post marketing clinical studies to verify the safety and efficacy of future product candidates in general or in specific patient subsets. For example, as a part of the regulatory approval for WAKIX for the treatment of EDS in adult patients with narcolepsy, we are required to conduct post-marketing studies in women exposed to pitolisant in pregnancy, including a registry-based observational cohort study to assess maternal, fetal, and infant outcomes of women exposed to pitolisant during pregnancy, and another study of a different design such as a case control study or a retrospective cohort study using electronic medical record data, and a lactation study.</w:t>
      </w:r>
    </w:p>
    <w:p>
      <w:pPr>
        <w:spacing w:after="0" w:line="176" w:lineRule="exact"/>
        <w:rPr>
          <w:sz w:val="20"/>
          <w:szCs w:val="20"/>
          <w:color w:val="auto"/>
        </w:rPr>
      </w:pPr>
    </w:p>
    <w:p>
      <w:pPr>
        <w:ind w:right="20" w:firstLine="639"/>
        <w:spacing w:after="0" w:line="245" w:lineRule="auto"/>
        <w:rPr>
          <w:sz w:val="20"/>
          <w:szCs w:val="20"/>
          <w:color w:val="auto"/>
        </w:rPr>
      </w:pPr>
      <w:r>
        <w:rPr>
          <w:rFonts w:ascii="Arial" w:cs="Arial" w:eastAsia="Arial" w:hAnsi="Arial"/>
          <w:sz w:val="18"/>
          <w:szCs w:val="18"/>
          <w:color w:val="auto"/>
        </w:rPr>
        <w:t>We will also be required to report certain adverse events and production problems, if any, to the FDA, and to comply with requirements concerning advertising and promotion for WAKIX. Promotional communications with respect to prescription drugs are subject to a variety of legal and regulatory restrictions and must be consistent with the information in the product’s approved label. As such, we may not promote WAKIX for indications or uses for which it does not have FDA approval. The holder of an approved NDA must submit new or supplemental applications and obtain approval for certain changes to the approved product, product labeling or manufacturing process.</w:t>
      </w:r>
    </w:p>
    <w:p>
      <w:pPr>
        <w:spacing w:after="0" w:line="172" w:lineRule="exact"/>
        <w:rPr>
          <w:sz w:val="20"/>
          <w:szCs w:val="20"/>
          <w:color w:val="auto"/>
        </w:rPr>
      </w:pPr>
    </w:p>
    <w:p>
      <w:pPr>
        <w:ind w:right="100" w:firstLine="639"/>
        <w:spacing w:after="0" w:line="248" w:lineRule="auto"/>
        <w:rPr>
          <w:sz w:val="20"/>
          <w:szCs w:val="20"/>
          <w:color w:val="auto"/>
        </w:rPr>
      </w:pPr>
      <w:r>
        <w:rPr>
          <w:rFonts w:ascii="Arial" w:cs="Arial" w:eastAsia="Arial" w:hAnsi="Arial"/>
          <w:sz w:val="18"/>
          <w:szCs w:val="18"/>
          <w:color w:val="auto"/>
        </w:rPr>
        <w:t>If a regulatory agency discovers previously unknown problems with WAKIX, such as adverse events of unanticipated severity or frequency, or problems with the facility where the product is manufactured, or disagrees with the promotion, marketing, or labeling of a product, the regulatory agency may impose restrictions on the product or us, including requiring withdrawal of the product from the market. If we fail to comply with applicable regulatory requirements, a regulatory agency or enforcement authority may, among other things:</w:t>
      </w:r>
    </w:p>
    <w:p>
      <w:pPr>
        <w:spacing w:after="0" w:line="62" w:lineRule="exact"/>
        <w:rPr>
          <w:sz w:val="20"/>
          <w:szCs w:val="20"/>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or untitled letters;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 including product seizures and injunctions;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limit or suspend regulatory approval;</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ongoing clinical trials;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6" w:lineRule="exact"/>
        <w:rPr>
          <w:rFonts w:ascii="Times New Roman" w:cs="Times New Roman" w:eastAsia="Times New Roman" w:hAnsi="Times New Roman"/>
          <w:sz w:val="18"/>
          <w:szCs w:val="18"/>
          <w:color w:val="auto"/>
        </w:rPr>
      </w:pPr>
    </w:p>
    <w:p>
      <w:pPr>
        <w:ind w:left="1120" w:right="520" w:hanging="370"/>
        <w:spacing w:after="0" w:line="275" w:lineRule="auto"/>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on the manufacturing of our products, or on the labeling or marketing of our products; or</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 or withdrawal of the products from the market.</w:t>
      </w:r>
    </w:p>
    <w:p>
      <w:pPr>
        <w:spacing w:after="0" w:line="224" w:lineRule="exact"/>
        <w:rPr>
          <w:sz w:val="20"/>
          <w:szCs w:val="20"/>
          <w:color w:val="auto"/>
        </w:rPr>
      </w:pPr>
    </w:p>
    <w:p>
      <w:pPr>
        <w:ind w:right="140" w:firstLine="637"/>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WAKIX or future product candidates. If regulatory sanctions are applied or if regulatory approval is withdrawn, the value of our company and our operating results will be adversely affected. Additionally, if we are unable to generate revenues from the sale of WAKIX or future product candidates, our potential for achieving profitability will be diminished and the capital necessary to fund our operations will be increased.</w:t>
      </w:r>
    </w:p>
    <w:p>
      <w:pPr>
        <w:spacing w:after="0" w:line="174" w:lineRule="exact"/>
        <w:rPr>
          <w:sz w:val="20"/>
          <w:szCs w:val="20"/>
          <w:color w:val="auto"/>
        </w:rPr>
      </w:pPr>
    </w:p>
    <w:p>
      <w:pPr>
        <w:ind w:firstLine="637"/>
        <w:spacing w:after="0" w:line="268" w:lineRule="auto"/>
        <w:rPr>
          <w:sz w:val="20"/>
          <w:szCs w:val="20"/>
          <w:color w:val="auto"/>
        </w:rPr>
      </w:pPr>
      <w:r>
        <w:rPr>
          <w:rFonts w:ascii="Arial" w:cs="Arial" w:eastAsia="Arial" w:hAnsi="Arial"/>
          <w:sz w:val="17"/>
          <w:szCs w:val="17"/>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or any future collaboration partner are not able to maintain regulatory compliance, we or such collaboration partner, as applicable, may face government enforcement action and our business will suffer.</w:t>
      </w:r>
    </w:p>
    <w:p>
      <w:pPr>
        <w:spacing w:after="0" w:line="153" w:lineRule="exact"/>
        <w:rPr>
          <w:sz w:val="20"/>
          <w:szCs w:val="20"/>
          <w:color w:val="auto"/>
        </w:rPr>
      </w:pPr>
    </w:p>
    <w:p>
      <w:pPr>
        <w:ind w:right="340" w:firstLine="637"/>
        <w:spacing w:after="0" w:line="256"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The policies of the FDA and of other regulatory authorities may change and additional government regulations may be enacted that could prevent, limit or delay regulatory approval of our product candidates. For example, certain policies of the Trump administration may affect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will be implemented, and the extent to which they will affect the FDA’s ability to exercise its regulatory authority. If these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9" w:name="page60"/>
    <w:bookmarkEnd w:id="59"/>
    <w:p>
      <w:pPr>
        <w:ind w:right="20"/>
        <w:spacing w:after="0" w:line="245" w:lineRule="auto"/>
        <w:rPr>
          <w:sz w:val="20"/>
          <w:szCs w:val="20"/>
          <w:color w:val="auto"/>
        </w:rPr>
      </w:pPr>
      <w:r>
        <w:rPr>
          <w:rFonts w:ascii="Arial" w:cs="Arial" w:eastAsia="Arial" w:hAnsi="Arial"/>
          <w:sz w:val="18"/>
          <w:szCs w:val="18"/>
          <w:color w:val="auto"/>
        </w:rPr>
        <w:t>executive actions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72" w:lineRule="exact"/>
        <w:rPr>
          <w:sz w:val="20"/>
          <w:szCs w:val="20"/>
          <w:color w:val="auto"/>
        </w:rPr>
      </w:pPr>
    </w:p>
    <w:p>
      <w:pPr>
        <w:ind w:right="60" w:firstLine="637"/>
        <w:spacing w:after="0" w:line="276"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4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1" w:lineRule="exact"/>
        <w:rPr>
          <w:sz w:val="20"/>
          <w:szCs w:val="20"/>
          <w:color w:val="auto"/>
        </w:rPr>
      </w:pPr>
    </w:p>
    <w:p>
      <w:pPr>
        <w:ind w:right="260" w:firstLine="637"/>
        <w:spacing w:after="0" w:line="245"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federal and state healthcare laws and regulations pertaining to fraud and abuse and patients’ rights. These laws may constrain the business or financial arrangements and relationships through which we conduct our operations, including how we research, market, sell and distribute our product candidates, if approved. The laws that affect our current and future operations include, but are not limited to:</w:t>
      </w:r>
    </w:p>
    <w:p>
      <w:pPr>
        <w:spacing w:after="0" w:line="64" w:lineRule="exact"/>
        <w:rPr>
          <w:sz w:val="20"/>
          <w:szCs w:val="20"/>
          <w:color w:val="auto"/>
        </w:rPr>
      </w:pPr>
    </w:p>
    <w:p>
      <w:pPr>
        <w:ind w:left="1120" w:hanging="370"/>
        <w:spacing w:after="0"/>
        <w:tabs>
          <w:tab w:leader="none" w:pos="11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receiving, offering or paying any remuneration (including any kickback, bribe, or certain rebate), directly or indirectly, overtly or covertly, in cash or in kind, in exchange for, or to induce or reward, or in return for, either the referral of an individual for, or the purchase, lease, order or recommendation of, any good, facility, item, or service for which payment may be made, in whole or in part, under any U.S. federal healthcare programs, such as the Medicare and Medicaid programs. This statute has been interpreted to apply to arrangements between pharmaceutical manufacturers on the one hand, and prescribers, purchasers and formulary managers, among others, on the other.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1120" w:right="120" w:hanging="370"/>
        <w:spacing w:after="0" w:line="238" w:lineRule="auto"/>
        <w:tabs>
          <w:tab w:leader="none" w:pos="11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civil and criminal false claims laws, such as the False Claims Act (“FCA”), which imposes significant penalties and can be enforced by private citizens through civil qui tam actions, and prohibits individuals or entities from, among other things, knowingly presenting, or causing to be presented, to the U.S. federal government, false, fictitious or fraudulent claims for payment of federal funds, and knowingly making, using or causing to be made or used a false record or statement material to a false or fraudulent claim, or from knowingly making a false statement to avoid, decrease or conceal an obligation to pay money to the U.S. federal government. For example, pharmaceutical companies have been prosecuted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FCA;</w:t>
      </w:r>
    </w:p>
    <w:p>
      <w:pPr>
        <w:spacing w:after="0" w:line="76" w:lineRule="exact"/>
        <w:rPr>
          <w:rFonts w:ascii="Times New Roman" w:cs="Times New Roman" w:eastAsia="Times New Roman" w:hAnsi="Times New Roman"/>
          <w:sz w:val="18"/>
          <w:szCs w:val="18"/>
          <w:color w:val="auto"/>
        </w:rPr>
      </w:pPr>
    </w:p>
    <w:p>
      <w:pPr>
        <w:ind w:left="1120" w:right="140" w:hanging="370"/>
        <w:spacing w:after="0" w:line="248" w:lineRule="auto"/>
        <w:tabs>
          <w:tab w:leader="none" w:pos="11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1" w:lineRule="exact"/>
        <w:rPr>
          <w:rFonts w:ascii="Times New Roman" w:cs="Times New Roman" w:eastAsia="Times New Roman" w:hAnsi="Times New Roman"/>
          <w:sz w:val="18"/>
          <w:szCs w:val="18"/>
          <w:color w:val="auto"/>
        </w:rPr>
      </w:pPr>
    </w:p>
    <w:p>
      <w:pPr>
        <w:ind w:left="1120" w:right="100" w:hanging="370"/>
        <w:spacing w:after="0" w:line="262" w:lineRule="auto"/>
        <w:tabs>
          <w:tab w:leader="none" w:pos="112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52" w:lineRule="exact"/>
        <w:rPr>
          <w:rFonts w:ascii="Times New Roman" w:cs="Times New Roman" w:eastAsia="Times New Roman" w:hAnsi="Times New Roman"/>
          <w:sz w:val="17"/>
          <w:szCs w:val="17"/>
          <w:color w:val="auto"/>
        </w:rPr>
      </w:pPr>
    </w:p>
    <w:p>
      <w:pPr>
        <w:ind w:left="1120" w:right="700" w:hanging="370"/>
        <w:spacing w:after="0" w:line="255" w:lineRule="auto"/>
        <w:tabs>
          <w:tab w:leader="none" w:pos="11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HITECH, and its implementing regulations, which imposes privacy, security and breach reporting obligations, including mandatory contractual terms, with respect to safeguarding the privacy and security of individually identifiable health information upon covered entities subject to the rule, such as health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0" w:name="page61"/>
    <w:bookmarkEnd w:id="60"/>
    <w:p>
      <w:pPr>
        <w:ind w:left="370"/>
        <w:spacing w:after="0" w:line="243" w:lineRule="auto"/>
        <w:rPr>
          <w:sz w:val="20"/>
          <w:szCs w:val="20"/>
          <w:color w:val="auto"/>
        </w:rPr>
      </w:pPr>
      <w:r>
        <w:rPr>
          <w:rFonts w:ascii="Arial" w:cs="Arial" w:eastAsia="Arial" w:hAnsi="Arial"/>
          <w:sz w:val="18"/>
          <w:szCs w:val="18"/>
          <w:color w:val="auto"/>
        </w:rPr>
        <w:t>plans, healthcare clearinghouses and healthcare providers and their respective business associates and independent contractors that perform certain services for them that involve the use or disclosure of individually identifiable health information on their behalf.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6" w:lineRule="exact"/>
        <w:rPr>
          <w:sz w:val="20"/>
          <w:szCs w:val="20"/>
          <w:color w:val="auto"/>
        </w:rPr>
      </w:pPr>
    </w:p>
    <w:p>
      <w:pPr>
        <w:ind w:left="370" w:hanging="370"/>
        <w:spacing w:after="0"/>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6" w:lineRule="exact"/>
        <w:rPr>
          <w:rFonts w:ascii="Times New Roman" w:cs="Times New Roman" w:eastAsia="Times New Roman" w:hAnsi="Times New Roman"/>
          <w:sz w:val="18"/>
          <w:szCs w:val="18"/>
          <w:color w:val="auto"/>
        </w:rPr>
      </w:pPr>
    </w:p>
    <w:p>
      <w:pPr>
        <w:ind w:left="370" w:right="540" w:hanging="370"/>
        <w:spacing w:after="0" w:line="275" w:lineRule="auto"/>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370" w:right="620" w:hanging="370"/>
        <w:spacing w:after="0" w:line="255" w:lineRule="auto"/>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4" w:lineRule="exact"/>
        <w:rPr>
          <w:rFonts w:ascii="Times New Roman" w:cs="Times New Roman" w:eastAsia="Times New Roman" w:hAnsi="Times New Roman"/>
          <w:sz w:val="18"/>
          <w:szCs w:val="18"/>
          <w:color w:val="auto"/>
        </w:rPr>
      </w:pPr>
    </w:p>
    <w:p>
      <w:pPr>
        <w:jc w:val="both"/>
        <w:ind w:left="370" w:right="160" w:hanging="370"/>
        <w:spacing w:after="0" w:line="255" w:lineRule="auto"/>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state law equivalents of each of the above federal laws, such as state anti-kickback and false claims laws which may apply to items or services reimbursed by any third-party payor, including commercial insurers, and may be broader in scope than their federal equivalents;</w:t>
      </w:r>
    </w:p>
    <w:p>
      <w:pPr>
        <w:spacing w:after="0" w:line="54" w:lineRule="exact"/>
        <w:rPr>
          <w:rFonts w:ascii="Times New Roman" w:cs="Times New Roman" w:eastAsia="Times New Roman" w:hAnsi="Times New Roman"/>
          <w:sz w:val="18"/>
          <w:szCs w:val="18"/>
          <w:color w:val="auto"/>
        </w:rPr>
      </w:pPr>
    </w:p>
    <w:p>
      <w:pPr>
        <w:ind w:left="370" w:right="220" w:hanging="370"/>
        <w:spacing w:after="0"/>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federal transparency requirements detailing interactions with and payments to healthcare providers, such as the federal reporting requirements under the Physician Payments Sunshine Act, which requires, among other things, certain manufacturers of drugs, devices, biologics and medical supplies reimbursed under Medicare, Medicaid, or the Children’s Health Insurance Program, with specific exceptions, to report annually to the HHS information related to payments and other transfers of value provided to physicians (defined to include doctors, dentists, optometrists, podiatrists and chiropractors), certain other health care professionals starting January 1, 2022, and teaching hospitals and physician ownership and investment interests, including such ownership and investment interests held by a physician’s immediate family members. Failure to submit required information may result in civil monetary penalties;</w:t>
      </w:r>
    </w:p>
    <w:p>
      <w:pPr>
        <w:spacing w:after="0" w:line="71" w:lineRule="exact"/>
        <w:rPr>
          <w:rFonts w:ascii="Times New Roman" w:cs="Times New Roman" w:eastAsia="Times New Roman" w:hAnsi="Times New Roman"/>
          <w:sz w:val="18"/>
          <w:szCs w:val="18"/>
          <w:color w:val="auto"/>
        </w:rPr>
      </w:pPr>
    </w:p>
    <w:p>
      <w:pPr>
        <w:ind w:left="370" w:right="20" w:hanging="370"/>
        <w:spacing w:after="0" w:line="239" w:lineRule="auto"/>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potential referral sources, state laws that require drug manufacturers to file reports relating to pricing information and marketing expenditures, state and local laws requiring the registration of pharmaceutical sales representatives; and other state laws and regulations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74" w:lineRule="exact"/>
        <w:rPr>
          <w:rFonts w:ascii="Times New Roman" w:cs="Times New Roman" w:eastAsia="Times New Roman" w:hAnsi="Times New Roman"/>
          <w:sz w:val="18"/>
          <w:szCs w:val="18"/>
          <w:color w:val="auto"/>
        </w:rPr>
      </w:pPr>
    </w:p>
    <w:p>
      <w:pPr>
        <w:ind w:left="370" w:right="40" w:hanging="370"/>
        <w:spacing w:after="0" w:line="267" w:lineRule="auto"/>
        <w:tabs>
          <w:tab w:leader="none" w:pos="37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47" w:lineRule="exact"/>
        <w:rPr>
          <w:rFonts w:ascii="Times New Roman" w:cs="Times New Roman" w:eastAsia="Times New Roman" w:hAnsi="Times New Roman"/>
          <w:sz w:val="17"/>
          <w:szCs w:val="17"/>
          <w:color w:val="auto"/>
        </w:rPr>
      </w:pPr>
    </w:p>
    <w:p>
      <w:pPr>
        <w:ind w:left="370" w:hanging="370"/>
        <w:spacing w:after="0" w:line="238" w:lineRule="auto"/>
        <w:tabs>
          <w:tab w:leader="none" w:pos="37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(“GDPR”). Ensuring that our business operations and current and future arrangements with third parties comply with applicable healthcare laws and regulations will likely be costly. It is possible that governmental authorities will conclude that our business practices, including, without limitation, our patient support and financial assistance programs, do not comply with current or future statutes, regulations, agency guidance or case law involving applicable fraud and abuse or other healthcare laws. If our operations are found to be in violation of any of the laws described above or any other governmental laws and regulations that apply to us, we may be subject to penalties, including civil, administrative and criminal penalties, damages, fines, the curtailment or restructuring of our operations, contractual damages, disgorgement, reputational harm, additional oversight and reporting obligations if we become subject to a corporate integrity agreement or similar agreement to resolve</w:t>
      </w:r>
    </w:p>
    <w:p>
      <w:pPr>
        <w:spacing w:after="0" w:line="185" w:lineRule="exact"/>
        <w:rPr>
          <w:sz w:val="20"/>
          <w:szCs w:val="20"/>
          <w:color w:val="auto"/>
        </w:rPr>
      </w:pPr>
    </w:p>
    <w:p>
      <w:pPr>
        <w:ind w:left="477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70"/>
          </w:cols>
          <w:pgMar w:left="1070" w:top="427" w:right="359" w:bottom="1440" w:gutter="0" w:footer="0" w:header="0"/>
        </w:sectPr>
      </w:pPr>
    </w:p>
    <w:bookmarkStart w:id="61" w:name="page62"/>
    <w:bookmarkEnd w:id="61"/>
    <w:p>
      <w:pPr>
        <w:ind w:left="1120" w:right="180"/>
        <w:spacing w:after="0" w:line="248" w:lineRule="auto"/>
        <w:rPr>
          <w:sz w:val="20"/>
          <w:szCs w:val="20"/>
          <w:color w:val="auto"/>
        </w:rPr>
      </w:pPr>
      <w:r>
        <w:rPr>
          <w:rFonts w:ascii="Arial" w:cs="Arial" w:eastAsia="Arial" w:hAnsi="Arial"/>
          <w:sz w:val="18"/>
          <w:szCs w:val="18"/>
          <w:color w:val="auto"/>
        </w:rPr>
        <w:t>allegations of non-compliance with these laws, the exclusion from participation in federal and state healthcare programs and individual imprisonment, any of which could adversely affect our ability to market pitolisant, if approved, and adversely impact our financial results. Further, defending against any such actions can be costly, time-consuming and may require significant personnel resources.</w:t>
      </w:r>
    </w:p>
    <w:p>
      <w:pPr>
        <w:spacing w:after="0" w:line="170" w:lineRule="exact"/>
        <w:rPr>
          <w:sz w:val="20"/>
          <w:szCs w:val="20"/>
          <w:color w:val="auto"/>
        </w:rPr>
      </w:pPr>
    </w:p>
    <w:p>
      <w:pPr>
        <w:ind w:right="220" w:firstLine="639"/>
        <w:spacing w:after="0" w:line="255" w:lineRule="auto"/>
        <w:rPr>
          <w:sz w:val="20"/>
          <w:szCs w:val="20"/>
          <w:color w:val="auto"/>
        </w:rPr>
      </w:pPr>
      <w:r>
        <w:rPr>
          <w:rFonts w:ascii="Arial" w:cs="Arial" w:eastAsia="Arial" w:hAnsi="Arial"/>
          <w:sz w:val="18"/>
          <w:szCs w:val="18"/>
          <w:color w:val="auto"/>
        </w:rPr>
        <w:t>Therefore, even if we are successful in defending against any such actions that may be brought against us, our business may be impaired. The risk of our being found in violation of these laws is increased by the fact that many of them have not been fully interpreted by the applicable regulatory agencies or the courts, and their provisions are open to a variety of interpretations.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212" w:lineRule="exact"/>
        <w:rPr>
          <w:sz w:val="20"/>
          <w:szCs w:val="20"/>
          <w:color w:val="auto"/>
        </w:rPr>
      </w:pPr>
    </w:p>
    <w:p>
      <w:pPr>
        <w:ind w:firstLine="639"/>
        <w:spacing w:after="0" w:line="239" w:lineRule="auto"/>
        <w:rPr>
          <w:sz w:val="20"/>
          <w:szCs w:val="20"/>
          <w:color w:val="auto"/>
        </w:rPr>
      </w:pPr>
      <w:r>
        <w:rPr>
          <w:rFonts w:ascii="Arial" w:cs="Arial" w:eastAsia="Arial" w:hAnsi="Arial"/>
          <w:sz w:val="18"/>
          <w:szCs w:val="18"/>
          <w:color w:val="auto"/>
        </w:rPr>
        <w:t>Most healthcare providers, including research institutions from which we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76" w:lineRule="exact"/>
        <w:rPr>
          <w:sz w:val="20"/>
          <w:szCs w:val="20"/>
          <w:color w:val="auto"/>
        </w:rPr>
      </w:pPr>
    </w:p>
    <w:p>
      <w:pPr>
        <w:ind w:firstLine="639"/>
        <w:spacing w:after="0" w:line="241"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 consuming to defend and could result in adverse publicity that could harm our business.</w:t>
      </w:r>
    </w:p>
    <w:p>
      <w:pPr>
        <w:spacing w:after="0" w:line="179" w:lineRule="exact"/>
        <w:rPr>
          <w:sz w:val="20"/>
          <w:szCs w:val="20"/>
          <w:color w:val="auto"/>
        </w:rPr>
      </w:pPr>
    </w:p>
    <w:p>
      <w:pPr>
        <w:ind w:right="100" w:firstLine="637"/>
        <w:spacing w:after="0" w:line="241"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9"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Clinical practice guidelines and recommendations published by various organizations could have significant influence on the use of WAKIX.</w:t>
      </w:r>
    </w:p>
    <w:p>
      <w:pPr>
        <w:spacing w:after="0" w:line="129" w:lineRule="exact"/>
        <w:rPr>
          <w:sz w:val="20"/>
          <w:szCs w:val="20"/>
          <w:color w:val="auto"/>
        </w:rPr>
      </w:pPr>
    </w:p>
    <w:p>
      <w:pPr>
        <w:ind w:right="100" w:firstLine="637"/>
        <w:spacing w:after="0" w:line="245" w:lineRule="auto"/>
        <w:rPr>
          <w:sz w:val="20"/>
          <w:szCs w:val="20"/>
          <w:color w:val="auto"/>
        </w:rPr>
      </w:pPr>
      <w:r>
        <w:rPr>
          <w:rFonts w:ascii="Arial" w:cs="Arial" w:eastAsia="Arial" w:hAnsi="Arial"/>
          <w:sz w:val="18"/>
          <w:szCs w:val="18"/>
          <w:color w:val="auto"/>
        </w:rPr>
        <w:t>Professional societies, practice management groups, private health and science foundations and organizations involved in various diseases from time to time may publish guidelines or recommendations to the healthcare and patient communities. The recommendations of these groups or organizations may relate to such matters as usage, dosage, route of administration and use of concomitant therapies. Recommendations or guidelines suggesting the reduced use of WAKIX or the use of competitive or alternative products as the standard of care to be followed by patients and healthcare providers could result in decreased use of WAKIX.</w:t>
      </w:r>
    </w:p>
    <w:p>
      <w:pPr>
        <w:spacing w:after="0" w:line="17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i w:val="1"/>
          <w:iCs w:val="1"/>
          <w:color w:val="auto"/>
        </w:rPr>
        <w:t>Product candidates we develop in the future may be classified as controlled substances, the making, use, sale, importation, exportation and distribution of which are subject to regulation by state, federal and foreign law enforcement and other regulatory agencies.</w:t>
      </w:r>
    </w:p>
    <w:p>
      <w:pPr>
        <w:spacing w:after="0" w:line="151" w:lineRule="exact"/>
        <w:rPr>
          <w:sz w:val="20"/>
          <w:szCs w:val="20"/>
          <w:color w:val="auto"/>
        </w:rPr>
      </w:pPr>
    </w:p>
    <w:p>
      <w:pPr>
        <w:jc w:val="both"/>
        <w:ind w:right="460" w:firstLine="637"/>
        <w:spacing w:after="0" w:line="255" w:lineRule="auto"/>
        <w:rPr>
          <w:sz w:val="20"/>
          <w:szCs w:val="20"/>
          <w:color w:val="auto"/>
        </w:rPr>
      </w:pPr>
      <w:r>
        <w:rPr>
          <w:rFonts w:ascii="Arial" w:cs="Arial" w:eastAsia="Arial" w:hAnsi="Arial"/>
          <w:sz w:val="18"/>
          <w:szCs w:val="18"/>
          <w:color w:val="auto"/>
        </w:rPr>
        <w:t>Product candidates we develop in the future may be classified as controlled substances, which are subject to state, federal and foreign laws and regulations regarding their manufacture, use, sale, importation, exportation and distribution. Controlled substances are regulated under the federal Controlled Substances Act of 1970 (the “CSA”) and regulations of the DEA.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62" w:name="page63"/>
    <w:bookmarkEnd w:id="62"/>
    <w:p>
      <w:pPr>
        <w:ind w:right="120" w:firstLine="637"/>
        <w:spacing w:after="0" w:line="24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70" w:lineRule="exact"/>
        <w:rPr>
          <w:sz w:val="20"/>
          <w:szCs w:val="20"/>
          <w:color w:val="auto"/>
        </w:rPr>
      </w:pPr>
    </w:p>
    <w:p>
      <w:pPr>
        <w:ind w:right="40" w:firstLine="637"/>
        <w:spacing w:after="0" w:line="241" w:lineRule="auto"/>
        <w:rPr>
          <w:sz w:val="20"/>
          <w:szCs w:val="20"/>
          <w:color w:val="auto"/>
        </w:rPr>
      </w:pPr>
      <w:r>
        <w:rPr>
          <w:rFonts w:ascii="Arial" w:cs="Arial" w:eastAsia="Arial" w:hAnsi="Arial"/>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79" w:lineRule="exact"/>
        <w:rPr>
          <w:sz w:val="20"/>
          <w:szCs w:val="20"/>
          <w:color w:val="auto"/>
        </w:rPr>
      </w:pPr>
    </w:p>
    <w:p>
      <w:pPr>
        <w:ind w:right="60" w:firstLine="637"/>
        <w:spacing w:after="0" w:line="243" w:lineRule="auto"/>
        <w:rPr>
          <w:sz w:val="20"/>
          <w:szCs w:val="20"/>
          <w:color w:val="auto"/>
        </w:rPr>
      </w:pPr>
      <w:r>
        <w:rPr>
          <w:rFonts w:ascii="Arial" w:cs="Arial" w:eastAsia="Arial" w:hAnsi="Arial"/>
          <w:sz w:val="18"/>
          <w:szCs w:val="18"/>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case of our approved products, the ability to produce and distribute our products in the volume needed to meet commercial demand.</w:t>
      </w:r>
    </w:p>
    <w:p>
      <w:pPr>
        <w:spacing w:after="0" w:line="174"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approved products or product candidates that are classified as controlled substances.</w:t>
      </w:r>
    </w:p>
    <w:p>
      <w:pPr>
        <w:spacing w:after="0" w:line="17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Enacted and future healthcare legislative changes may increase the difficulty and cost for us to obtain marketing approval for and commercialize our product candidates and affect the prices we may obtain.</w:t>
      </w:r>
    </w:p>
    <w:p>
      <w:pPr>
        <w:spacing w:after="0" w:line="129"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In the United States, the European Union and other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to broaden access to health insurance, reduce or constrain the growth of healthcare spending, enhance remedies against fraud and abuse, add new transparency requirements for health care and health insurance industries, impose new taxes and fees on the healthcare industry, and impose additional healthcare policy reforms. The law has continued the downward pressure on pharmaceutical pricing, especially under the Medicare program, and increased the industry’s regulatory burdens and operating costs. Among the provisions of the ACA of importance to the pharmaceutical industry and our potential product candidates are the following:</w:t>
      </w:r>
    </w:p>
    <w:p>
      <w:pPr>
        <w:spacing w:after="0" w:line="68" w:lineRule="exact"/>
        <w:rPr>
          <w:sz w:val="20"/>
          <w:szCs w:val="20"/>
          <w:color w:val="auto"/>
        </w:rPr>
      </w:pPr>
    </w:p>
    <w:p>
      <w:pPr>
        <w:ind w:left="1120" w:right="280" w:hanging="370"/>
        <w:spacing w:after="0" w:line="255" w:lineRule="auto"/>
        <w:tabs>
          <w:tab w:leader="none" w:pos="11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 (other than those designated as orphan drugs), which is apportioned among these entities according to their market share in certain government healthcare programs;</w:t>
      </w:r>
    </w:p>
    <w:p>
      <w:pPr>
        <w:spacing w:after="0" w:line="54" w:lineRule="exact"/>
        <w:rPr>
          <w:rFonts w:ascii="Times New Roman" w:cs="Times New Roman" w:eastAsia="Times New Roman" w:hAnsi="Times New Roman"/>
          <w:sz w:val="18"/>
          <w:szCs w:val="18"/>
          <w:color w:val="auto"/>
        </w:rPr>
      </w:pPr>
    </w:p>
    <w:p>
      <w:pPr>
        <w:ind w:left="1120" w:right="120" w:hanging="370"/>
        <w:spacing w:after="0" w:line="275" w:lineRule="auto"/>
        <w:tabs>
          <w:tab w:leader="none" w:pos="11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for branded and generic drugs;</w:t>
      </w:r>
    </w:p>
    <w:p>
      <w:pPr>
        <w:spacing w:after="0" w:line="37" w:lineRule="exact"/>
        <w:rPr>
          <w:rFonts w:ascii="Times New Roman" w:cs="Times New Roman" w:eastAsia="Times New Roman" w:hAnsi="Times New Roman"/>
          <w:sz w:val="18"/>
          <w:szCs w:val="18"/>
          <w:color w:val="auto"/>
        </w:rPr>
      </w:pPr>
    </w:p>
    <w:p>
      <w:pPr>
        <w:ind w:left="1120" w:right="280" w:hanging="370"/>
        <w:spacing w:after="0" w:line="275" w:lineRule="auto"/>
        <w:tabs>
          <w:tab w:leader="none" w:pos="11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methodology by which rebates owed by manufacturers under the Medicaid Drug Rebate Program are calculated for drugs that are inhaled, infused, instilled, implanted or injected;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63" w:name="page64"/>
    <w:bookmarkEnd w:id="63"/>
    <w:p>
      <w:pPr>
        <w:jc w:val="both"/>
        <w:ind w:left="1120" w:right="140" w:hanging="370"/>
        <w:spacing w:after="0" w:line="255" w:lineRule="auto"/>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Medicare Part D coverage gap discount program, in which manufacturers must agree to offer 70% point-of-sale discounts off negotiated prices of applicable brand drugs to eligible beneficiaries under their coverage gap period, as a condition for the manufacturer’s outpatient drugs to be covered under Medicare Part D;</w:t>
      </w:r>
    </w:p>
    <w:p>
      <w:pPr>
        <w:spacing w:after="0" w:line="54" w:lineRule="exact"/>
        <w:rPr>
          <w:rFonts w:ascii="Times New Roman" w:cs="Times New Roman" w:eastAsia="Times New Roman" w:hAnsi="Times New Roman"/>
          <w:sz w:val="18"/>
          <w:szCs w:val="18"/>
          <w:color w:val="auto"/>
        </w:rPr>
      </w:pPr>
    </w:p>
    <w:p>
      <w:pPr>
        <w:ind w:left="1120" w:right="260" w:hanging="370"/>
        <w:spacing w:after="0" w:line="275" w:lineRule="auto"/>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37" w:lineRule="exact"/>
        <w:rPr>
          <w:rFonts w:ascii="Times New Roman" w:cs="Times New Roman" w:eastAsia="Times New Roman" w:hAnsi="Times New Roman"/>
          <w:sz w:val="18"/>
          <w:szCs w:val="18"/>
          <w:color w:val="auto"/>
        </w:rPr>
      </w:pPr>
    </w:p>
    <w:p>
      <w:pPr>
        <w:ind w:left="1120" w:right="240" w:hanging="370"/>
        <w:spacing w:after="0" w:line="255" w:lineRule="auto"/>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6" w:lineRule="exact"/>
        <w:rPr>
          <w:rFonts w:ascii="Times New Roman" w:cs="Times New Roman" w:eastAsia="Times New Roman" w:hAnsi="Times New Roman"/>
          <w:sz w:val="18"/>
          <w:szCs w:val="18"/>
          <w:color w:val="auto"/>
        </w:rPr>
      </w:pPr>
    </w:p>
    <w:p>
      <w:pPr>
        <w:ind w:left="1120" w:right="60" w:hanging="370"/>
        <w:spacing w:after="0" w:line="275" w:lineRule="auto"/>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a Center for Medicare Innovation at the CMS to test innovative payment and service delivery models to lower Medicare and Medicaid spending, potentially including prescription drug spending; and</w:t>
      </w:r>
    </w:p>
    <w:p>
      <w:pPr>
        <w:spacing w:after="0" w:line="37" w:lineRule="exact"/>
        <w:rPr>
          <w:rFonts w:ascii="Times New Roman" w:cs="Times New Roman" w:eastAsia="Times New Roman" w:hAnsi="Times New Roman"/>
          <w:sz w:val="18"/>
          <w:szCs w:val="18"/>
          <w:color w:val="auto"/>
        </w:rPr>
      </w:pPr>
    </w:p>
    <w:p>
      <w:pPr>
        <w:ind w:left="1120" w:right="640" w:hanging="370"/>
        <w:spacing w:after="0" w:line="275" w:lineRule="auto"/>
        <w:tabs>
          <w:tab w:leader="none" w:pos="11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46"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and we expect there will be additional challenges and amendments to the ACA in the future. Various portions of the ACA are currently undergoing challenges in the Fifth Circuit Court and the U.S. Supreme Court, the Trump Administration has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9"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In addition, recently there has been heightened governmental scrutiny over the manner in which manufacturers set prices for their marketed products, which has resulted in several U.S. Congressional inquiries and proposed and enacted federal and state legislation and regulations designed to, among other things, bring more transparency to drug pricing, reduce the cost of prescription drugs under government payor programs, and review 2020 relationship between pricing and manufacturer patient programs, and reform government program reimbursement methodologies for drugs. For example, in April of 2018, CMS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Further, Congress has indicated that it will continue to seek new legislative measures to control drug costs. For example, on September 25, 2019, the Senate Finance Committee introduced the Prescription Drug Pricing Reduction Action of 2019, a bill intended to reduce Medicare and Medicaid prescription drug prices. The proposed legislation would restructure the Part D benefit, modify payment methodologies for certain drugs, and impose an inflation cap on drug price increases. An even more restrictive bill, the Lower Drugs Costs Now Act of 2019 has passed out of the House and was delivered to the Senate on December 16, 2019. It would require HHS to directly negotiate drug prices with manufacturers. It is unclear whether either of these bills will make it through both chambers and be signed into law, and if either is enacted, what effect it would have on our business.</w:t>
      </w:r>
    </w:p>
    <w:p>
      <w:pPr>
        <w:spacing w:after="0" w:line="177" w:lineRule="exact"/>
        <w:rPr>
          <w:sz w:val="20"/>
          <w:szCs w:val="20"/>
          <w:color w:val="auto"/>
        </w:rPr>
      </w:pPr>
    </w:p>
    <w:p>
      <w:pPr>
        <w:ind w:right="120" w:firstLine="637"/>
        <w:spacing w:after="0" w:line="255" w:lineRule="auto"/>
        <w:rPr>
          <w:sz w:val="20"/>
          <w:szCs w:val="20"/>
          <w:color w:val="auto"/>
        </w:rPr>
      </w:pPr>
      <w:r>
        <w:rPr>
          <w:rFonts w:ascii="Arial" w:cs="Arial" w:eastAsia="Arial" w:hAnsi="Arial"/>
          <w:sz w:val="17"/>
          <w:szCs w:val="17"/>
          <w:color w:val="auto"/>
        </w:rPr>
        <w:t>Additionally, in 2019,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Trump administration’s budget proposal for fiscal year 2020 contains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HHS has also begun implementation of the Trump administration Blueprint, soliciting feedback on some of these measures and, immediately implementing others under its existing authority. For example, in May 2019, CMS issued a final rule to allow Medicare Advantage Plans the option of using step therapy for Part B drugs beginning January 1, 2020.</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27" w:right="379" w:bottom="1440" w:gutter="0" w:footer="0" w:header="0"/>
        </w:sectPr>
      </w:pPr>
    </w:p>
    <w:bookmarkStart w:id="64" w:name="page65"/>
    <w:bookmarkEnd w:id="64"/>
    <w:p>
      <w:pPr>
        <w:ind w:firstLine="637"/>
        <w:spacing w:after="0"/>
        <w:rPr>
          <w:sz w:val="20"/>
          <w:szCs w:val="20"/>
          <w:color w:val="auto"/>
        </w:rPr>
      </w:pPr>
      <w:r>
        <w:rPr>
          <w:rFonts w:ascii="Arial" w:cs="Arial" w:eastAsia="Arial" w:hAnsi="Arial"/>
          <w:sz w:val="18"/>
          <w:szCs w:val="18"/>
          <w:color w:val="auto"/>
        </w:rPr>
        <w:t>Other legislative changes have been proposed and adopted in the United States since the ACA was enacted. For example, in August 2011, the Budget Control Act of 2011, among other things, led to aggregate reductions to Medicare payments to providers of 2% per fiscal year, which went into effect in April 2013 and, due to subsequent legislative amendments to the statute, will stay in effect through 2029. The Coronavirus Aid, Relief and Economic Security Act (the “CARES Act”), which was signed into law in March 2020, suspended the 2% Medicare sequester from May 1, 2020 through December 31, 2020, and extended the sequester by one additional year, through 2030. Additionally, in January 2013, the American Taxpayer Relief Act of 2012 was signed into law, which, among other things, reduced Medicare payments to several types of providers, including hospitals and cancer treatment centers, and increased the statute of limitations period in which the government may recover overpayments to providers from three to five years.</w:t>
      </w:r>
    </w:p>
    <w:p>
      <w:pPr>
        <w:spacing w:after="0" w:line="180"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2020 relationship between pricing and manufacturer patient programs. While any proposed measures will require authorization through additional legislation to become effective, Congress and the Trump administration have each indicated that it will continue to seek new legislative and/or administrative measures to control drug costs.</w:t>
      </w:r>
    </w:p>
    <w:p>
      <w:pPr>
        <w:spacing w:after="0" w:line="180"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 reference pricing systems and publication of discounts and list prices. These reforms could reduce the ultimate demand for our product candidates, once approved, or put pressure on our product pricing.</w:t>
      </w:r>
    </w:p>
    <w:p>
      <w:pPr>
        <w:spacing w:after="0" w:line="176" w:lineRule="exact"/>
        <w:rPr>
          <w:sz w:val="20"/>
          <w:szCs w:val="20"/>
          <w:color w:val="auto"/>
        </w:rPr>
      </w:pPr>
    </w:p>
    <w:p>
      <w:pPr>
        <w:jc w:val="both"/>
        <w:ind w:firstLine="637"/>
        <w:spacing w:after="0" w:line="24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 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177" w:lineRule="exact"/>
        <w:rPr>
          <w:sz w:val="20"/>
          <w:szCs w:val="20"/>
          <w:color w:val="auto"/>
        </w:rPr>
      </w:pPr>
    </w:p>
    <w:p>
      <w:pPr>
        <w:ind w:right="300" w:firstLine="637"/>
        <w:spacing w:after="0" w:line="245"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current or any future product candidates we may develop may lose any regulatory approval that may have been obtained and we may not achieve or sustain profitability.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65" w:name="page66"/>
    <w:bookmarkEnd w:id="65"/>
    <w:p>
      <w:pPr>
        <w:ind w:right="60"/>
        <w:spacing w:after="0" w:line="282"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that we participate in, we could be subject to additional reimbursement requirements, penalties, sanctions and fines, which could have a material adverse effect on our business, financial condition, results of operations and growth prospects.</w:t>
      </w:r>
    </w:p>
    <w:p>
      <w:pPr>
        <w:spacing w:after="0" w:line="134"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We expect to participate in and have certain price reporting obligations to the Medicaid Drug Rebate Program.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we would have to report on a monthly and quarterly basis to the CMS, the federal agency that administers the Medicaid Drug Rebate Program. These data include, among other things, the average manufacturer price (“AMP”) and, in the case of innovator products, the best price (“BP”) for each drug which, in general, represents the lowest price available from the manufacturer to any entity in the U.S. in any pricing structure, calculated to include all sales and associated rebates, discounts and other price concessions. We are liable for errors associated with our submission of pricing data and for any overcharging of government payors. For example, failure to submit monthly and/or quarterly AMP and BP data on a timely basis could result in a civil monetary penalty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w:t>
      </w:r>
    </w:p>
    <w:p>
      <w:pPr>
        <w:spacing w:after="0" w:line="180"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Federal law requires that any company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or other legislation or regulation could affect our 340B ceiling price calculations and negatively impact our results of operations commercializing pitolisant.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177" w:lineRule="exact"/>
        <w:rPr>
          <w:sz w:val="20"/>
          <w:szCs w:val="20"/>
          <w:color w:val="auto"/>
        </w:rPr>
      </w:pPr>
    </w:p>
    <w:p>
      <w:pPr>
        <w:ind w:right="300" w:firstLine="637"/>
        <w:spacing w:after="0" w:line="243" w:lineRule="auto"/>
        <w:rPr>
          <w:sz w:val="20"/>
          <w:szCs w:val="20"/>
          <w:color w:val="auto"/>
        </w:rPr>
      </w:pPr>
      <w:r>
        <w:rPr>
          <w:rFonts w:ascii="Arial" w:cs="Arial" w:eastAsia="Arial" w:hAnsi="Arial"/>
          <w:sz w:val="18"/>
          <w:szCs w:val="18"/>
          <w:color w:val="auto"/>
        </w:rPr>
        <w:t>In order to be eligible to have our products that we successfully commercialize paid for with federal funds under the Medicaid program and purchased by certain federal agencies and grantees, we also would have to participate in the U.S. Department of Veterans Affairs (“VA”), Federal Supply Schedule (“FSS”) pricing program. As part of this program, we would be obligated to make our products available for procurement on an FSS contract under which we must comply with standard government terms and conditions and charge a price that is no higher than the statutory Federal Ceiling Price (“FCP”) to four federal agencies (VA, U.S. Department of Defense (“DOD”), Public Health Service, and U.S. Coast Guard).</w:t>
      </w:r>
    </w:p>
    <w:p>
      <w:pPr>
        <w:spacing w:after="0" w:line="174" w:lineRule="exact"/>
        <w:rPr>
          <w:sz w:val="20"/>
          <w:szCs w:val="20"/>
          <w:color w:val="auto"/>
        </w:rPr>
      </w:pPr>
    </w:p>
    <w:p>
      <w:pPr>
        <w:jc w:val="both"/>
        <w:ind w:right="160"/>
        <w:spacing w:after="0" w:line="260"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antimony laundering laws and regulations. Compliance with these legal standards could impair our ability to compete in domestic markets. We can face criminal liability and other serious consequences for violations, which can harm our business.</w:t>
      </w:r>
    </w:p>
    <w:p>
      <w:pPr>
        <w:spacing w:after="0" w:line="151"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United States domestic bribery statute contained in 18 U.S.C. § 201, the United States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have direct or indirect interactions with officials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66" w:name="page67"/>
    <w:bookmarkEnd w:id="66"/>
    <w:p>
      <w:pPr>
        <w:ind w:right="20"/>
        <w:spacing w:after="0" w:line="245" w:lineRule="auto"/>
        <w:rPr>
          <w:sz w:val="20"/>
          <w:szCs w:val="20"/>
          <w:color w:val="auto"/>
        </w:rPr>
      </w:pPr>
      <w:r>
        <w:rPr>
          <w:rFonts w:ascii="Arial" w:cs="Arial" w:eastAsia="Arial" w:hAnsi="Arial"/>
          <w:sz w:val="18"/>
          <w:szCs w:val="18"/>
          <w:color w:val="auto"/>
        </w:rPr>
        <w:t>employees of government agencies or government- affiliated hospitals, universities, and other organizations. We can be held liable for the corrupt or other illegal activities of our employees, agents, contractors and other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2" w:lineRule="exact"/>
        <w:rPr>
          <w:sz w:val="20"/>
          <w:szCs w:val="20"/>
          <w:color w:val="auto"/>
        </w:rPr>
      </w:pPr>
    </w:p>
    <w:p>
      <w:pPr>
        <w:jc w:val="both"/>
        <w:ind w:right="440"/>
        <w:spacing w:after="0" w:line="260"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which could prevent new products and services from being developed or commercialized in a timely manner, which could negatively affect our business.</w:t>
      </w:r>
    </w:p>
    <w:p>
      <w:pPr>
        <w:spacing w:after="0" w:line="151" w:lineRule="exact"/>
        <w:rPr>
          <w:sz w:val="20"/>
          <w:szCs w:val="20"/>
          <w:color w:val="auto"/>
        </w:rPr>
      </w:pPr>
    </w:p>
    <w:p>
      <w:pPr>
        <w:ind w:right="120" w:firstLine="637"/>
        <w:spacing w:after="0" w:line="24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0"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and the SEC, have had to furlough critical FDA, SEC and other governmental employees and stop critical activities. Our business depends upon the ability of the FDA to accept and review our potential regulatory filings. If a prolonged government shutdown occurs, it could significantly affect the ability of the FDA to timely review and process our regulatory submissions, which harm our business. Similarly, a prolonged government shutdown could prevent the timely review of any of our patent applications by the U.S. Patent and Trademark Office (“USPTO”), which could delay the issuance of any U.S. patents to which we might otherwise be entitled. Further, upon completion of this offering and in our operations as a public company, future government shutdowns could affect our ability to access the public markets and obtain necessary capital in order to properly capitalize and continue our operations.</w:t>
      </w:r>
    </w:p>
    <w:p>
      <w:pPr>
        <w:spacing w:after="0" w:line="18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affect our business.</w:t>
      </w:r>
    </w:p>
    <w:p>
      <w:pPr>
        <w:spacing w:after="0" w:line="129"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If the FDA objects to any of our proposed product names, we may be required to adopt an alternative name for our product candidates. If we adopt an alternative name, we would lose the benefit of our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we may not be able to compete effectively in our markets.</w:t>
      </w:r>
    </w:p>
    <w:p>
      <w:pPr>
        <w:spacing w:after="0" w:line="129"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We rely, and will continue to rely, on a combination of patents, trademarks and confidentiality agreements with employees, consultants, collaborators, advisors and other third parties to protect the intellectual property related to our current and future product candidates. Our success depends in large part on our licensor’s ability to obtain and maintain patent protection in the United States with respect to WAKIX and our ability to obtain and maintain patent protection in the United States and any other relevant foreign jurisdictions with respect to any future product candidates that we develop. We seek to ensure that our current and future licensors obtain appropriate patent protection to all product candidates that we license from them. The patent prosecution process is expensive and time- consuming, and we and our licensors may not be able to file and prosecute all necessary or desirable patent applications at a reasonable cost or in a timely manner.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7" w:name="page68"/>
    <w:bookmarkEnd w:id="67"/>
    <w:p>
      <w:pPr>
        <w:ind w:right="20" w:firstLine="639"/>
        <w:spacing w:after="0" w:line="243" w:lineRule="auto"/>
        <w:rPr>
          <w:sz w:val="20"/>
          <w:szCs w:val="20"/>
          <w:color w:val="auto"/>
        </w:rPr>
      </w:pPr>
      <w:r>
        <w:rPr>
          <w:rFonts w:ascii="Arial" w:cs="Arial" w:eastAsia="Arial" w:hAnsi="Arial"/>
          <w:sz w:val="18"/>
          <w:szCs w:val="18"/>
          <w:color w:val="auto"/>
        </w:rPr>
        <w:t>Our patent portfolio comprises four U.S. patents exclusively licensed to us from Bioprojet. One U.S. patent, No. 8,207,197 has claims directed to a polymorph, i.e. a specific crystalline form, of pitolisant and, methods for preparing that polymorph of pitolisant, which is expected to expire in February 2029 without taking into consideration any possible patent term extension. A second U.S. patent, No. 8,486,497, has claims directed to methods of treating excessive daytime sleepiness by administering pitolisant, which is expected to expire in September 2029 without taking into consideration any possible patent term extension. With all applicable patent term adjustments available and granted to us, the term of the last-to-expire pitolisant-related patent in our portfolio extends to September 2029.</w:t>
      </w:r>
    </w:p>
    <w:p>
      <w:pPr>
        <w:spacing w:after="0" w:line="174" w:lineRule="exact"/>
        <w:rPr>
          <w:sz w:val="20"/>
          <w:szCs w:val="20"/>
          <w:color w:val="auto"/>
        </w:rPr>
      </w:pPr>
    </w:p>
    <w:p>
      <w:pPr>
        <w:ind w:firstLine="639"/>
        <w:spacing w:after="0" w:line="238" w:lineRule="auto"/>
        <w:rPr>
          <w:sz w:val="20"/>
          <w:szCs w:val="20"/>
          <w:color w:val="auto"/>
        </w:rPr>
      </w:pPr>
      <w:r>
        <w:rPr>
          <w:rFonts w:ascii="Arial" w:cs="Arial" w:eastAsia="Arial" w:hAnsi="Arial"/>
          <w:sz w:val="18"/>
          <w:szCs w:val="18"/>
          <w:color w:val="auto"/>
        </w:rPr>
        <w:t>The patents that we in-license now or the patents and patent applications that we own or in-license in the future may not have patentable claims that protect our current and future product candidates in the relevant jurisdictions where we intend to commercialize such products. There is no assurance that we and our licensor are aware of all potentially relevant prior art relating to future patent applications. As such, the patent examiner may find prior art that can prevent a patent from issuing from a pending patent application. During the patent examination process, we or our licensor may be required to narrow the pending claims to overcome prior art, a process that may limit the scope of patent protection. Even if patents do successfully issue based on our future patent applications, and even if the issued patents cover our current and future product candidates, including their compositions formulation, method of manufacture, and method of use, third parties may challenge our issued patents’ validity, enforceability or scope, which may result in such patents being narrowed, invalidated or held unenforceable. Any successful opposition to these patents or any other patents owned by or licensed to us in the future could deprive us of rights necessary for the successful commercialization of any of our current or future product candidates, if approved. Further, if we encounter delays in regulatory approvals, the period of time during which we could market a product candidate under patent protection could be reduced.</w:t>
      </w:r>
    </w:p>
    <w:p>
      <w:pPr>
        <w:spacing w:after="0" w:line="183" w:lineRule="exact"/>
        <w:rPr>
          <w:sz w:val="20"/>
          <w:szCs w:val="20"/>
          <w:color w:val="auto"/>
        </w:rPr>
      </w:pPr>
    </w:p>
    <w:p>
      <w:pPr>
        <w:ind w:right="20" w:firstLine="639"/>
        <w:spacing w:after="0" w:line="243" w:lineRule="auto"/>
        <w:rPr>
          <w:sz w:val="20"/>
          <w:szCs w:val="20"/>
          <w:color w:val="auto"/>
        </w:rPr>
      </w:pPr>
      <w:r>
        <w:rPr>
          <w:rFonts w:ascii="Arial" w:cs="Arial" w:eastAsia="Arial" w:hAnsi="Arial"/>
          <w:sz w:val="18"/>
          <w:szCs w:val="18"/>
          <w:color w:val="auto"/>
        </w:rPr>
        <w:t>If the patent applications we may own or in-license in the future with respect to our current and future product candidates fail to issue, if their breadth or strength of protection is threatened, or if they fail to provide meaningful exclusivity for any of our current or future product candidates, it could dissuade other companies from collaborating with us to develop future product candidates, and threaten our ability to commercialize our current and future product candidates. Notably, pending patent applications cannot be enforced against third parties practicing the technology claimed in such applications unless and until a patent issues from such applications. Any such outcome could have an adverse effect on our business.</w:t>
      </w:r>
    </w:p>
    <w:p>
      <w:pPr>
        <w:spacing w:after="0" w:line="174" w:lineRule="exact"/>
        <w:rPr>
          <w:sz w:val="20"/>
          <w:szCs w:val="20"/>
          <w:color w:val="auto"/>
        </w:rPr>
      </w:pPr>
    </w:p>
    <w:p>
      <w:pPr>
        <w:ind w:right="60" w:firstLine="639"/>
        <w:spacing w:after="0" w:line="239"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European patent law restricts the patentability of methods of treatment of the human body more than U.S. law does. Publications of discoveries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76" w:lineRule="exact"/>
        <w:rPr>
          <w:sz w:val="20"/>
          <w:szCs w:val="20"/>
          <w:color w:val="auto"/>
        </w:rPr>
      </w:pPr>
    </w:p>
    <w:p>
      <w:pPr>
        <w:ind w:right="60" w:firstLine="637"/>
        <w:spacing w:after="0" w:line="238"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made a number of significant changes to United States patent laws. These include provisions that affect the way patent applications are prosecuted and challenged at the USPTO and may also affect patent litigation. The USPTO has developed and continues to develop new regulations and procedures to govern administration of the Leahy-Smith Act, and many of the substantive changes to patent law associated with the Leahy-Smith Act, and in particular, the first to file provisions, only became effective on March 16, 2013. Accordingly, it remains unclear what impact the Leahy-Smith Act, subsequent rulemaking, and judicial interpretation of the Leahy-Smith Act and regulations will have on the operation of our business. However, the Leahy- Smith Act and its implementation could increase the uncertainties and costs surrounding the prosecution of our patent applications and the enforcement or defense of our issued patents, all of which could have an adverse effect on our business and financial condition. Moreover, future changes to the patent laws of the United States and foreign jurisdictions may adversely affect the term, scope, validity and enforceability of our or our licensor’s patent rights. For example, a new bill (Terminating the Extension of Rights Misappropriated Act, or TERM Act, H.R. 3199) percolating through the United States Congress aims to reduce the term of certain drug patents in order to ease generic entry and increase competition.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8" w:name="page69"/>
    <w:bookmarkEnd w:id="68"/>
    <w:p>
      <w:pPr>
        <w:ind w:right="20" w:firstLine="639"/>
        <w:spacing w:after="0" w:line="245" w:lineRule="auto"/>
        <w:rPr>
          <w:sz w:val="20"/>
          <w:szCs w:val="20"/>
          <w:color w:val="auto"/>
        </w:rPr>
      </w:pPr>
      <w:r>
        <w:rPr>
          <w:rFonts w:ascii="Arial" w:cs="Arial" w:eastAsia="Arial" w:hAnsi="Arial"/>
          <w:sz w:val="18"/>
          <w:szCs w:val="18"/>
          <w:color w:val="auto"/>
        </w:rPr>
        <w:t>The inventorship and ownership rights for patents that we in-license or may own or in-license in the future may be challenged by third parties. Such challenges could result in loss of exclusive rights to such patents, which could limit our ability to stop others from using or commercializing similar or identical technology and products, or require us to obtain a license from such third parties on commercially reasonable terms to secure exclusive rights. If any such challenges to inventorship or ownership were asserted, there is no assurance that a court would find in our favor or that, if we choose to seek a license, such license would be available to us on acceptable terms or at all.</w:t>
      </w:r>
    </w:p>
    <w:p>
      <w:pPr>
        <w:spacing w:after="0" w:line="172" w:lineRule="exact"/>
        <w:rPr>
          <w:sz w:val="20"/>
          <w:szCs w:val="20"/>
          <w:color w:val="auto"/>
        </w:rPr>
      </w:pPr>
    </w:p>
    <w:p>
      <w:pPr>
        <w:ind w:firstLine="639"/>
        <w:spacing w:after="0" w:line="241"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pre- and post-issuance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whether owned or in-licensed now or in the future, is threatened, it could dissuade companies from collaborating with us to license, develop or commercialize current or future product candidates.</w:t>
      </w:r>
    </w:p>
    <w:p>
      <w:pPr>
        <w:spacing w:after="0" w:line="179" w:lineRule="exact"/>
        <w:rPr>
          <w:sz w:val="20"/>
          <w:szCs w:val="20"/>
          <w:color w:val="auto"/>
        </w:rPr>
      </w:pPr>
    </w:p>
    <w:p>
      <w:pPr>
        <w:ind w:firstLine="639"/>
        <w:spacing w:after="0" w:line="238"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licensed patents may be challenged in the courts or patent offices in the United States.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the filing of the earliest non-provisional application to which the patent claims priority. Various extensions may be available; however, the life of a patent, and the protection it affords, is limited. We may be required to disclaim a portion of patent term in order to overcome double patenting rejections from the patent office, thus potentially shortening our exclusivity period.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current and future product candidates.</w:t>
      </w:r>
    </w:p>
    <w:p>
      <w:pPr>
        <w:spacing w:after="0" w:line="151" w:lineRule="exact"/>
        <w:rPr>
          <w:sz w:val="20"/>
          <w:szCs w:val="20"/>
          <w:color w:val="auto"/>
        </w:rPr>
      </w:pPr>
    </w:p>
    <w:p>
      <w:pPr>
        <w:ind w:right="40" w:firstLine="639"/>
        <w:spacing w:after="0"/>
        <w:rPr>
          <w:sz w:val="20"/>
          <w:szCs w:val="20"/>
          <w:color w:val="auto"/>
        </w:rPr>
      </w:pPr>
      <w:r>
        <w:rPr>
          <w:rFonts w:ascii="Arial" w:cs="Arial" w:eastAsia="Arial" w:hAnsi="Arial"/>
          <w:sz w:val="18"/>
          <w:szCs w:val="18"/>
          <w:color w:val="auto"/>
        </w:rPr>
        <w:t>We have licensed certain intellectual property rights covering pitolisant from Bioprojet, and we may license intellectual property rights from others in the future. If, for any reason, our license agreement with Bioprojet or any future licensor is terminated or we otherwise lose the rights associated with a license, it could adversely affect our business. Our license agreement with Bioprojet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76" w:lineRule="exact"/>
        <w:rPr>
          <w:sz w:val="20"/>
          <w:szCs w:val="20"/>
          <w:color w:val="auto"/>
        </w:rPr>
      </w:pPr>
    </w:p>
    <w:p>
      <w:pPr>
        <w:ind w:right="560"/>
        <w:spacing w:after="0" w:line="285"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by extending the patent term for our current and future product candidates, our business may be harmed.</w:t>
      </w:r>
    </w:p>
    <w:p>
      <w:pPr>
        <w:spacing w:after="0" w:line="129" w:lineRule="exact"/>
        <w:rPr>
          <w:sz w:val="20"/>
          <w:szCs w:val="20"/>
          <w:color w:val="auto"/>
        </w:rPr>
      </w:pPr>
    </w:p>
    <w:p>
      <w:pPr>
        <w:ind w:right="240" w:firstLine="637"/>
        <w:spacing w:after="0" w:line="245" w:lineRule="auto"/>
        <w:rPr>
          <w:sz w:val="20"/>
          <w:szCs w:val="20"/>
          <w:color w:val="auto"/>
        </w:rPr>
      </w:pPr>
      <w:r>
        <w:rPr>
          <w:rFonts w:ascii="Arial" w:cs="Arial" w:eastAsia="Arial" w:hAnsi="Arial"/>
          <w:sz w:val="18"/>
          <w:szCs w:val="18"/>
          <w:color w:val="auto"/>
        </w:rPr>
        <w:t>Our commercial success will largely depend on our licensor’s ability to obtain and maintain patent and other intellectual property in the United States for pitolisant, and our target indications, and our ability to maintain obtain and maintain patent and other intellectual property in the United States for any product candidates. Given the amount of time required for the development, testing and regulatory review of new product candidates, patents protecting product candidates might expire before or shortly after such candidates begin to be commercialized. We expect to seek extensions of patent terms in the United States.</w:t>
      </w:r>
    </w:p>
    <w:p>
      <w:pPr>
        <w:spacing w:after="0" w:line="172" w:lineRule="exact"/>
        <w:rPr>
          <w:sz w:val="20"/>
          <w:szCs w:val="20"/>
          <w:color w:val="auto"/>
        </w:rPr>
      </w:pPr>
    </w:p>
    <w:p>
      <w:pPr>
        <w:ind w:right="120" w:firstLine="637"/>
        <w:spacing w:after="0" w:line="243" w:lineRule="auto"/>
        <w:rPr>
          <w:sz w:val="20"/>
          <w:szCs w:val="20"/>
          <w:color w:val="auto"/>
        </w:rPr>
      </w:pPr>
      <w:r>
        <w:rPr>
          <w:rFonts w:ascii="Arial" w:cs="Arial" w:eastAsia="Arial" w:hAnsi="Arial"/>
          <w:sz w:val="18"/>
          <w:szCs w:val="18"/>
          <w:color w:val="auto"/>
        </w:rPr>
        <w:t>Depending upon the timing, duration and specifics of FDA marketing approval of our current and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This extension is limited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9" w:name="page70"/>
    <w:bookmarkEnd w:id="69"/>
    <w:p>
      <w:pPr>
        <w:ind w:right="20"/>
        <w:spacing w:after="0" w:line="243" w:lineRule="auto"/>
        <w:rPr>
          <w:sz w:val="20"/>
          <w:szCs w:val="20"/>
          <w:color w:val="auto"/>
        </w:rPr>
      </w:pPr>
      <w:r>
        <w:rPr>
          <w:rFonts w:ascii="Arial" w:cs="Arial" w:eastAsia="Arial" w:hAnsi="Arial"/>
          <w:sz w:val="18"/>
          <w:szCs w:val="18"/>
          <w:color w:val="auto"/>
        </w:rPr>
        <w:t>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w:t>
      </w:r>
    </w:p>
    <w:p>
      <w:pPr>
        <w:spacing w:after="0" w:line="174"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If we or our licensor are unable to extend the expiration date of our or their existing patents or obtain new patents with longer expiry dates, as applicable,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70" w:lineRule="exact"/>
        <w:rPr>
          <w:sz w:val="20"/>
          <w:szCs w:val="20"/>
          <w:color w:val="auto"/>
        </w:rPr>
      </w:pPr>
    </w:p>
    <w:p>
      <w:pPr>
        <w:ind w:right="980"/>
        <w:spacing w:after="0" w:line="285" w:lineRule="auto"/>
        <w:rPr>
          <w:sz w:val="20"/>
          <w:szCs w:val="20"/>
          <w:color w:val="auto"/>
        </w:rPr>
      </w:pPr>
      <w:r>
        <w:rPr>
          <w:rFonts w:ascii="Arial" w:cs="Arial" w:eastAsia="Arial" w:hAnsi="Arial"/>
          <w:sz w:val="18"/>
          <w:szCs w:val="18"/>
          <w:b w:val="1"/>
          <w:bCs w:val="1"/>
          <w:i w:val="1"/>
          <w:iCs w:val="1"/>
          <w:color w:val="auto"/>
        </w:rPr>
        <w:t>The validity, scope and enforceability of any patents listed in the Orange Book that cover our current and future product candidates can be challenged by third parties.</w:t>
      </w:r>
    </w:p>
    <w:p>
      <w:pPr>
        <w:spacing w:after="0" w:line="129" w:lineRule="exact"/>
        <w:rPr>
          <w:sz w:val="20"/>
          <w:szCs w:val="20"/>
          <w:color w:val="auto"/>
        </w:rPr>
      </w:pPr>
    </w:p>
    <w:p>
      <w:pPr>
        <w:ind w:firstLine="637"/>
        <w:spacing w:after="0" w:line="238" w:lineRule="auto"/>
        <w:rPr>
          <w:sz w:val="20"/>
          <w:szCs w:val="20"/>
          <w:color w:val="auto"/>
        </w:rPr>
      </w:pPr>
      <w:r>
        <w:rPr>
          <w:rFonts w:ascii="Arial" w:cs="Arial" w:eastAsia="Arial" w:hAnsi="Arial"/>
          <w:sz w:val="18"/>
          <w:szCs w:val="18"/>
          <w:color w:val="auto"/>
        </w:rPr>
        <w:t>One or more third parties may challenge the current patents, or future patents within our portfolio, which could result in the invalidation of, or render unenforceable, some or all of the relevant patent claims or a finding of non-infringement. For example, if a third party files an ANDA for a generic drug containing pitolisant, and relies in whole or in part on studies conducted by or for us, the third party will be required to certify to the FDA that either: (1) there is no patent information listed in the FDA’s Orange Book with respect to our NDA for the applicable approved product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product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77"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Moreover, a third party may challenge the current patents, or future patents within our portfolio, which could result in the invalidation of some or all of the patents that might otherwise be eligible for listing in the Orange Book for one of our products. If a third party successfully challenges all of the patents that might otherwise be eligible for listing in the Orange Book for one of our products, we will not be entitled to the 30-month stay of FDA approval upon the filing of an ANDA for a generic drug containing, for example, pitolisant, and relies in whole or in part on studies conducted by or for us.</w:t>
      </w:r>
    </w:p>
    <w:p>
      <w:pPr>
        <w:spacing w:after="0" w:line="172" w:lineRule="exact"/>
        <w:rPr>
          <w:sz w:val="20"/>
          <w:szCs w:val="20"/>
          <w:color w:val="auto"/>
        </w:rPr>
      </w:pPr>
    </w:p>
    <w:p>
      <w:pPr>
        <w:ind w:right="280" w:firstLine="637"/>
        <w:spacing w:after="0" w:line="255" w:lineRule="auto"/>
        <w:rPr>
          <w:sz w:val="20"/>
          <w:szCs w:val="20"/>
          <w:color w:val="auto"/>
        </w:rPr>
      </w:pPr>
      <w:r>
        <w:rPr>
          <w:rFonts w:ascii="Arial" w:cs="Arial" w:eastAsia="Arial" w:hAnsi="Arial"/>
          <w:sz w:val="18"/>
          <w:szCs w:val="18"/>
          <w:color w:val="auto"/>
        </w:rPr>
        <w:t>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current and future product candidates.</w:t>
      </w:r>
    </w:p>
    <w:p>
      <w:pPr>
        <w:spacing w:after="0" w:line="164"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1" w:lineRule="exact"/>
        <w:rPr>
          <w:sz w:val="20"/>
          <w:szCs w:val="20"/>
          <w:color w:val="auto"/>
        </w:rPr>
      </w:pPr>
    </w:p>
    <w:p>
      <w:pPr>
        <w:ind w:right="40" w:firstLine="637"/>
        <w:spacing w:after="0" w:line="239" w:lineRule="auto"/>
        <w:rPr>
          <w:sz w:val="20"/>
          <w:szCs w:val="20"/>
          <w:color w:val="auto"/>
        </w:rPr>
      </w:pPr>
      <w:r>
        <w:rPr>
          <w:rFonts w:ascii="Arial" w:cs="Arial" w:eastAsia="Arial" w:hAnsi="Arial"/>
          <w:sz w:val="18"/>
          <w:szCs w:val="18"/>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patents and patent applications, whether owned or in-licensed now or in the future, covering any of our current or future product candidates, our competitors might be able to enter the market, which would have an adverse effect on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0" w:name="page71"/>
    <w:bookmarkEnd w:id="70"/>
    <w:p>
      <w:pPr>
        <w:ind w:right="280"/>
        <w:spacing w:after="0" w:line="285" w:lineRule="auto"/>
        <w:rPr>
          <w:sz w:val="20"/>
          <w:szCs w:val="20"/>
          <w:color w:val="auto"/>
        </w:rPr>
      </w:pPr>
      <w:r>
        <w:rPr>
          <w:rFonts w:ascii="Arial" w:cs="Arial" w:eastAsia="Arial" w:hAnsi="Arial"/>
          <w:sz w:val="18"/>
          <w:szCs w:val="18"/>
          <w:b w:val="1"/>
          <w:bCs w:val="1"/>
          <w:i w:val="1"/>
          <w:iCs w:val="1"/>
          <w:color w:val="auto"/>
        </w:rPr>
        <w:t>We may need to acquire or license intellectual property from third parties, and such licenses may not be available or may not be available on commercially reasonable terms.</w:t>
      </w:r>
    </w:p>
    <w:p>
      <w:pPr>
        <w:spacing w:after="0" w:line="129" w:lineRule="exact"/>
        <w:rPr>
          <w:sz w:val="20"/>
          <w:szCs w:val="20"/>
          <w:color w:val="auto"/>
        </w:rPr>
      </w:pPr>
    </w:p>
    <w:p>
      <w:pPr>
        <w:ind w:right="100" w:firstLine="637"/>
        <w:spacing w:after="0" w:line="245"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current and future product candidates. It may be necessary for us to use the patented or proprietary technology of one or more third parties to commercialize our current and future product candidates. If we are unable to acquire such intellectual property outright, or obtain licenses to such intellectual property from such third parties when needed or on commercially reasonable terms, our ability to commercialize our current and future product candidates, if approved, would likely be delayed.</w:t>
      </w:r>
    </w:p>
    <w:p>
      <w:pPr>
        <w:spacing w:after="0" w:line="172" w:lineRule="exact"/>
        <w:rPr>
          <w:sz w:val="20"/>
          <w:szCs w:val="20"/>
          <w:color w:val="auto"/>
        </w:rPr>
      </w:pPr>
    </w:p>
    <w:p>
      <w:pPr>
        <w:ind w:right="20" w:firstLine="637"/>
        <w:spacing w:after="0" w:line="243" w:lineRule="auto"/>
        <w:rPr>
          <w:sz w:val="20"/>
          <w:szCs w:val="20"/>
          <w:color w:val="auto"/>
        </w:rPr>
      </w:pPr>
      <w:r>
        <w:rPr>
          <w:rFonts w:ascii="Arial" w:cs="Arial" w:eastAsia="Arial" w:hAnsi="Arial"/>
          <w:sz w:val="18"/>
          <w:szCs w:val="18"/>
          <w:color w:val="auto"/>
        </w:rPr>
        <w:t>The risks described elsewhere pertaining to our intellectual property rights also apply to the intellectual property rights that we in-license,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current or future product candidates.</w:t>
      </w:r>
    </w:p>
    <w:p>
      <w:pPr>
        <w:spacing w:after="0" w:line="129"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Our commercial success depends in part on our avoiding infringement and other violations of the patents and proprietary rights of third parties. There is a substantial amount of litigation, both within and outside the United States, involving patent and other intellectual property rights in the pharmaceutical and biotechnology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are or may in the future be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Third parties may assert that we are infringing their patents or employing their proprietary technology without authorization.</w:t>
      </w:r>
    </w:p>
    <w:p>
      <w:pPr>
        <w:spacing w:after="0" w:line="212"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There may be third-party patents or patent applications with claims to materials, formulations, methods of manufacture or methods for treatment related to the use or manufacture of our current and future product candidates. Because patent applications can take many years to issue, there may be currently pending patent applications that may later result in issued patents that our current and future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 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77" w:lineRule="exact"/>
        <w:rPr>
          <w:sz w:val="20"/>
          <w:szCs w:val="20"/>
          <w:color w:val="auto"/>
        </w:rPr>
      </w:pPr>
    </w:p>
    <w:p>
      <w:pPr>
        <w:ind w:right="140" w:firstLine="637"/>
        <w:spacing w:after="0" w:line="241"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1" w:name="page72"/>
    <w:bookmarkEnd w:id="71"/>
    <w:p>
      <w:pPr>
        <w:ind w:right="60"/>
        <w:spacing w:after="0" w:line="243" w:lineRule="auto"/>
        <w:rPr>
          <w:sz w:val="20"/>
          <w:szCs w:val="20"/>
          <w:color w:val="auto"/>
        </w:rPr>
      </w:pPr>
      <w:r>
        <w:rPr>
          <w:rFonts w:ascii="Arial" w:cs="Arial" w:eastAsia="Arial" w:hAnsi="Arial"/>
          <w:sz w:val="18"/>
          <w:szCs w:val="18"/>
          <w:color w:val="auto"/>
        </w:rPr>
        <w:t>whether it would be available on commercially reasonable terms. Furthermore, even in the absence of litigation, we may need to obtain licenses from third parties to advance our research or allow commercialization of our current and future product candidates, and we have done so from time to time. We may fail to obtain any of these licenses at a reasonable cost or on reasonable terms, if at all. In that event, we would be unable to further develop and commercialize our current and future product candidates, which could harm our business significantly. Claims that we have misappropriated the confidential information or trade secrets of third parties could have a similar negative impact on our business.</w:t>
      </w:r>
    </w:p>
    <w:p>
      <w:pPr>
        <w:spacing w:after="0" w:line="174" w:lineRule="exact"/>
        <w:rPr>
          <w:sz w:val="20"/>
          <w:szCs w:val="20"/>
          <w:color w:val="auto"/>
        </w:rPr>
      </w:pPr>
    </w:p>
    <w:p>
      <w:pPr>
        <w:jc w:val="both"/>
        <w:ind w:right="540" w:firstLine="637"/>
        <w:spacing w:after="0" w:line="255" w:lineRule="auto"/>
        <w:rPr>
          <w:sz w:val="20"/>
          <w:szCs w:val="20"/>
          <w:color w:val="auto"/>
        </w:rPr>
      </w:pPr>
      <w:r>
        <w:rPr>
          <w:rFonts w:ascii="Arial" w:cs="Arial" w:eastAsia="Arial" w:hAnsi="Arial"/>
          <w:sz w:val="18"/>
          <w:szCs w:val="18"/>
          <w:color w:val="auto"/>
        </w:rPr>
        <w:t>We cannot provide any assurances that third-party patents do not exist which might be enforced against our current and future product candidates, resulting in either an injunction prohibiting our sales, or, with respect to our sales, an obligation on our part to pay royalties or other forms of compensation to third parties.</w:t>
      </w:r>
    </w:p>
    <w:p>
      <w:pPr>
        <w:spacing w:after="0" w:line="164"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29" w:lineRule="exact"/>
        <w:rPr>
          <w:sz w:val="20"/>
          <w:szCs w:val="20"/>
          <w:color w:val="auto"/>
        </w:rPr>
      </w:pPr>
    </w:p>
    <w:p>
      <w:pPr>
        <w:ind w:right="40" w:firstLine="637"/>
        <w:spacing w:after="0" w:line="248" w:lineRule="auto"/>
        <w:rPr>
          <w:sz w:val="20"/>
          <w:szCs w:val="20"/>
          <w:color w:val="auto"/>
        </w:rPr>
      </w:pPr>
      <w:r>
        <w:rPr>
          <w:rFonts w:ascii="Arial" w:cs="Arial" w:eastAsia="Arial" w:hAnsi="Arial"/>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product candidate in any jurisdiction.</w:t>
      </w:r>
    </w:p>
    <w:p>
      <w:pPr>
        <w:spacing w:after="0" w:line="170" w:lineRule="exact"/>
        <w:rPr>
          <w:sz w:val="20"/>
          <w:szCs w:val="20"/>
          <w:color w:val="auto"/>
        </w:rPr>
      </w:pPr>
    </w:p>
    <w:p>
      <w:pPr>
        <w:ind w:right="40" w:firstLine="637"/>
        <w:spacing w:after="0" w:line="245" w:lineRule="auto"/>
        <w:rPr>
          <w:sz w:val="20"/>
          <w:szCs w:val="20"/>
          <w:color w:val="auto"/>
        </w:rPr>
      </w:pPr>
      <w:r>
        <w:rPr>
          <w:rFonts w:ascii="Arial" w:cs="Arial" w:eastAsia="Arial" w:hAnsi="Arial"/>
          <w:sz w:val="18"/>
          <w:szCs w:val="18"/>
          <w:color w:val="auto"/>
        </w:rPr>
        <w:t>It is possible that we and our current and future licensors will fail to identify patentable aspects of research and development output before it is too late to obtain patent protection. The patent applications that we may own or in-license in the future may fail to result in issued patents with claims that cover our current and future product candidates. We and our current and future licensors may also inadvertently make statements to regulatory agencies during the regulatory approval process that may be inconsistent with positions that have been taken during prosecution of the patent applications, which may result in such patents being narrowed, invalidated or held unenforceable.</w:t>
      </w:r>
    </w:p>
    <w:p>
      <w:pPr>
        <w:spacing w:after="0" w:line="172"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affect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affect our ability to develop and market our products.</w:t>
      </w:r>
    </w:p>
    <w:p>
      <w:pPr>
        <w:spacing w:after="0" w:line="174"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129" w:lineRule="exact"/>
        <w:rPr>
          <w:sz w:val="20"/>
          <w:szCs w:val="20"/>
          <w:color w:val="auto"/>
        </w:rPr>
      </w:pPr>
    </w:p>
    <w:p>
      <w:pPr>
        <w:ind w:right="60" w:firstLine="637"/>
        <w:spacing w:after="0" w:line="237" w:lineRule="auto"/>
        <w:rPr>
          <w:sz w:val="20"/>
          <w:szCs w:val="20"/>
          <w:color w:val="auto"/>
        </w:rPr>
      </w:pPr>
      <w:r>
        <w:rPr>
          <w:rFonts w:ascii="Arial" w:cs="Arial" w:eastAsia="Arial" w:hAnsi="Arial"/>
          <w:sz w:val="18"/>
          <w:szCs w:val="18"/>
          <w:color w:val="auto"/>
        </w:rPr>
        <w:t>Competitors may infringe or otherwise violate the patents of our licensor or our other intellectual property rights. To counter infringement or unauthorized use, we may be required to file legal claims, which can be expensive and time-consuming. In addition, in an infringement proceeding, a court may decide that an asserted patent is not valid or is unenforceable, or may refuse to stop the other party from using the technology at issue on the grounds that the asserted patent does not cover the technology in question. An adverse result in any litigation or defense proceedings could put one or more of asserted patents at risk of being invalidated or interpreted narrowly and could put a related patent application at risk of not issuing. The initiation of a claim against a third party may also cause the third party to bring counter claims against us such as claims asserting that our patents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post-grant review, or oppositions or similar proceedings outside the United States,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may license in the future,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72" w:name="page73"/>
    <w:bookmarkEnd w:id="72"/>
    <w:p>
      <w:pPr>
        <w:ind w:firstLine="637"/>
        <w:spacing w:after="0" w:line="248" w:lineRule="auto"/>
        <w:rPr>
          <w:sz w:val="20"/>
          <w:szCs w:val="20"/>
          <w:color w:val="auto"/>
        </w:rPr>
      </w:pPr>
      <w:r>
        <w:rPr>
          <w:rFonts w:ascii="Arial" w:cs="Arial" w:eastAsia="Arial" w:hAnsi="Arial"/>
          <w:sz w:val="18"/>
          <w:szCs w:val="18"/>
          <w:color w:val="auto"/>
        </w:rPr>
        <w:t>We may not be able to detect or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70" w:lineRule="exact"/>
        <w:rPr>
          <w:sz w:val="20"/>
          <w:szCs w:val="20"/>
          <w:color w:val="auto"/>
        </w:rPr>
      </w:pPr>
    </w:p>
    <w:p>
      <w:pPr>
        <w:ind w:right="80" w:firstLine="637"/>
        <w:spacing w:after="0" w:line="243"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17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9" w:lineRule="exact"/>
        <w:rPr>
          <w:sz w:val="20"/>
          <w:szCs w:val="20"/>
          <w:color w:val="auto"/>
        </w:rPr>
      </w:pPr>
    </w:p>
    <w:p>
      <w:pPr>
        <w:ind w:right="160" w:firstLine="639"/>
        <w:spacing w:after="0" w:line="245"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172"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29" w:lineRule="exact"/>
        <w:rPr>
          <w:sz w:val="20"/>
          <w:szCs w:val="20"/>
          <w:color w:val="auto"/>
        </w:rPr>
      </w:pPr>
    </w:p>
    <w:p>
      <w:pPr>
        <w:ind w:right="20" w:firstLine="639"/>
        <w:spacing w:after="0"/>
        <w:rPr>
          <w:sz w:val="20"/>
          <w:szCs w:val="20"/>
          <w:color w:val="auto"/>
        </w:rPr>
      </w:pPr>
      <w:r>
        <w:rPr>
          <w:rFonts w:ascii="Arial" w:cs="Arial" w:eastAsia="Arial" w:hAnsi="Arial"/>
          <w:sz w:val="18"/>
          <w:szCs w:val="18"/>
          <w:color w:val="auto"/>
        </w:rPr>
        <w:t>The United States has recently enacted and implemented wide-ranging patent reform legislation. The U.S. Supreme Court and the U.S. Court of Appeals for the Federal Circuit have issued numerous precedential opinions in recent years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76" w:lineRule="exact"/>
        <w:rPr>
          <w:sz w:val="20"/>
          <w:szCs w:val="20"/>
          <w:color w:val="auto"/>
        </w:rPr>
      </w:pPr>
    </w:p>
    <w:p>
      <w:pPr>
        <w:ind w:right="40" w:firstLine="639"/>
        <w:spacing w:after="0" w:line="245" w:lineRule="auto"/>
        <w:rPr>
          <w:sz w:val="20"/>
          <w:szCs w:val="20"/>
          <w:color w:val="auto"/>
        </w:rPr>
      </w:pPr>
      <w:r>
        <w:rPr>
          <w:rFonts w:ascii="Arial" w:cs="Arial" w:eastAsia="Arial" w:hAnsi="Arial"/>
          <w:sz w:val="18"/>
          <w:szCs w:val="18"/>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p>
    <w:p>
      <w:pPr>
        <w:spacing w:after="0" w:line="172"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129" w:lineRule="exact"/>
        <w:rPr>
          <w:sz w:val="20"/>
          <w:szCs w:val="20"/>
          <w:color w:val="auto"/>
        </w:rPr>
      </w:pPr>
    </w:p>
    <w:p>
      <w:pPr>
        <w:ind w:right="40" w:firstLine="639"/>
        <w:spacing w:after="0" w:line="238"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3" w:name="page74"/>
    <w:bookmarkEnd w:id="73"/>
    <w:p>
      <w:pPr>
        <w:ind w:right="320" w:firstLine="639"/>
        <w:spacing w:after="0" w:line="24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72" w:lineRule="exact"/>
        <w:rPr>
          <w:sz w:val="20"/>
          <w:szCs w:val="20"/>
          <w:color w:val="auto"/>
        </w:rPr>
      </w:pPr>
    </w:p>
    <w:p>
      <w:pPr>
        <w:ind w:right="560" w:firstLine="637"/>
        <w:spacing w:after="0" w:line="255" w:lineRule="auto"/>
        <w:rPr>
          <w:sz w:val="20"/>
          <w:szCs w:val="20"/>
          <w:color w:val="auto"/>
        </w:rPr>
      </w:pPr>
      <w:r>
        <w:rPr>
          <w:rFonts w:ascii="Arial" w:cs="Arial" w:eastAsia="Arial" w:hAnsi="Arial"/>
          <w:sz w:val="18"/>
          <w:szCs w:val="18"/>
          <w:color w:val="auto"/>
        </w:rPr>
        <w:t>If we or our licensors fail in prosecuting or defending any such claims, in addition to paying monetary damages, we may lose valuable intellectual property rights or personnel. Even if we and our licensors are successful in prosecuting or defending against such claims, litigation could result in substantial costs and be a distraction to management.</w:t>
      </w:r>
    </w:p>
    <w:p>
      <w:pPr>
        <w:spacing w:after="0" w:line="164" w:lineRule="exact"/>
        <w:rPr>
          <w:sz w:val="20"/>
          <w:szCs w:val="20"/>
          <w:color w:val="auto"/>
        </w:rPr>
      </w:pPr>
    </w:p>
    <w:p>
      <w:pPr>
        <w:ind w:right="860"/>
        <w:spacing w:after="0" w:line="285"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be successfully challenged, resulting in harm to our business.</w:t>
      </w:r>
    </w:p>
    <w:p>
      <w:pPr>
        <w:spacing w:after="0" w:line="129"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We expect to rely on trademarks as one means to distinguish any of our current and future product candidates that are approved for marketing from the products of our competitors. For example, we are marketing pitolisant for the treatment of EDS or cataplexy in adult patients with narcolepsy under the brand name WAKIX, which we have licensed from Bioprojet. We may design or create new trademarks and apply to register them, our trademark applications may not be approved in the United States or any relevant foreign jurisdiction.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4" w:lineRule="exact"/>
        <w:rPr>
          <w:sz w:val="20"/>
          <w:szCs w:val="20"/>
          <w:color w:val="auto"/>
        </w:rPr>
      </w:pPr>
    </w:p>
    <w:p>
      <w:pPr>
        <w:ind w:right="720"/>
        <w:spacing w:after="0" w:line="28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29"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“Sarbanes Oxley Act”), the Dodd-Frank Wall Street Reform and Consumer Protection Act, the listing requirements of Nasdaq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If, notwithstanding our efforts to comply with new or changing laws, regulations and standards, we fail to comply, regulatory authorities may initiate legal proceedings against us, and our business may be harmed. Further, failure to comply with these laws, regulations and standards may make it more difficult and more expensive for us to obtain directors’ and officers’ liability insurance, which could make it more difficult for us to attract and retain qualified members to serve on our board of directors or committees or as members of senior management. We cannot predict or estimate the amount of additional costs we will incur as a public company or the timing of such costs.</w:t>
      </w:r>
    </w:p>
    <w:p>
      <w:pPr>
        <w:spacing w:after="0" w:line="284"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common shares.</w:t>
      </w:r>
    </w:p>
    <w:p>
      <w:pPr>
        <w:spacing w:after="0" w:line="43" w:lineRule="exact"/>
        <w:rPr>
          <w:sz w:val="20"/>
          <w:szCs w:val="20"/>
          <w:color w:val="auto"/>
        </w:rPr>
      </w:pPr>
    </w:p>
    <w:p>
      <w:pPr>
        <w:ind w:right="60" w:firstLine="637"/>
        <w:spacing w:after="0"/>
        <w:rPr>
          <w:sz w:val="20"/>
          <w:szCs w:val="20"/>
          <w:color w:val="auto"/>
        </w:rPr>
      </w:pPr>
      <w:r>
        <w:rPr>
          <w:rFonts w:ascii="Arial" w:cs="Arial" w:eastAsia="Arial" w:hAnsi="Arial"/>
          <w:sz w:val="18"/>
          <w:szCs w:val="18"/>
          <w:color w:val="auto"/>
        </w:rPr>
        <w:t>We will be required, pursuant to Section 404 of the Sarbanes Oxley Act (“Section 404”), to furnish a report by management on, among other things, the effectiveness of our internal controls over financial reporting for the fiscal year beginning January 1, 2022. This assessment will need to include disclosure of any material weaknesses identified by our management in our internal controls over financial reporting. Our independent registered public accounting firm will not be required to attest to the effectiveness of our internal controls over financial reporting until our first annual report required to be filed with the SEC following the date we are no longer an emerging growth company, as defined in the JOBS Act. At such time as we are required to obtain auditor attestation, if we then have a material weakness, we would receive an adverse opinion regarding our internal control over financial reporting from our independent registered public accounting firm. We will be required to disclose significant changes made in our internal controls procedures on a quarterly basis.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74" w:name="page75"/>
    <w:bookmarkEnd w:id="74"/>
    <w:p>
      <w:pPr>
        <w:ind w:right="60" w:firstLine="637"/>
        <w:spacing w:after="0" w:line="243" w:lineRule="auto"/>
        <w:rPr>
          <w:sz w:val="20"/>
          <w:szCs w:val="20"/>
          <w:color w:val="auto"/>
        </w:rPr>
      </w:pPr>
      <w:r>
        <w:rPr>
          <w:rFonts w:ascii="Arial" w:cs="Arial" w:eastAsia="Arial" w:hAnsi="Arial"/>
          <w:sz w:val="18"/>
          <w:szCs w:val="18"/>
          <w:color w:val="auto"/>
        </w:rPr>
        <w:t>We are beginning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legal, accounting and other compliance expense and expend significant management efforts. We currently do not have an internal audit group, and we will need to hire additional accounting and finance staff and consultants with appropriate public company experience and technical accounting knowledge and compile the system and process documentation necessary to perform the evaluation needed to comply with Section 404.</w:t>
      </w:r>
    </w:p>
    <w:p>
      <w:pPr>
        <w:spacing w:after="0" w:line="174" w:lineRule="exact"/>
        <w:rPr>
          <w:sz w:val="20"/>
          <w:szCs w:val="20"/>
          <w:color w:val="auto"/>
        </w:rPr>
      </w:pPr>
    </w:p>
    <w:p>
      <w:pPr>
        <w:ind w:right="80" w:firstLine="637"/>
        <w:spacing w:after="0" w:line="239"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effective internal controls over financial reporting could severely inhibit our ability to accurately report our financial condition or results of operations. If we are unable to conclude that our internal controls over financial reporting is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shares could decline, and we could be subject to sanctions or investigations by Nasdaq, the SEC or other regulatory authorities. Failure to remedy any material weakness in our internal controls over financial reporting, or to implement or maintain other effective control systems required of public companies, could also negatively impact our ability to access to the capital markets.</w:t>
      </w:r>
    </w:p>
    <w:p>
      <w:pPr>
        <w:spacing w:after="0" w:line="180"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In addition, effective disclosure controls and procedures enable us to make timely and accurate disclosure of financial and non-financial information that we are required to disclose. As a public company, if our disclosure controls and procedures are ineffective, we may be unable to report our financial results or make other disclosures accurately on a timely basis, which could cause our reported financial results or other disclosures to be materially misstated and result in the loss of investor confidence and cause the market price of our common shares to decline. If we were to subsequently elect instead to comply with these public company effective dates, such election would be irrevocable pursuant to the JOBS Act.</w:t>
      </w:r>
    </w:p>
    <w:p>
      <w:pPr>
        <w:spacing w:after="0" w:line="174"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9" w:lineRule="exact"/>
        <w:rPr>
          <w:sz w:val="20"/>
          <w:szCs w:val="20"/>
          <w:color w:val="auto"/>
        </w:rPr>
      </w:pPr>
    </w:p>
    <w:p>
      <w:pPr>
        <w:ind w:right="60" w:firstLine="637"/>
        <w:spacing w:after="0" w:line="248"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170" w:lineRule="exact"/>
        <w:rPr>
          <w:sz w:val="20"/>
          <w:szCs w:val="20"/>
          <w:color w:val="auto"/>
        </w:rPr>
      </w:pPr>
    </w:p>
    <w:p>
      <w:pPr>
        <w:ind w:right="100" w:firstLine="637"/>
        <w:spacing w:after="0" w:line="241" w:lineRule="auto"/>
        <w:rPr>
          <w:sz w:val="20"/>
          <w:szCs w:val="20"/>
          <w:color w:val="auto"/>
        </w:rPr>
      </w:pPr>
      <w:r>
        <w:rPr>
          <w:rFonts w:ascii="Arial" w:cs="Arial" w:eastAsia="Arial" w:hAnsi="Arial"/>
          <w:sz w:val="18"/>
          <w:szCs w:val="18"/>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40" w:firstLine="637"/>
        <w:spacing w:after="0" w:line="248" w:lineRule="auto"/>
        <w:rPr>
          <w:sz w:val="20"/>
          <w:szCs w:val="20"/>
          <w:color w:val="auto"/>
        </w:rPr>
      </w:pPr>
      <w:r>
        <w:rPr>
          <w:rFonts w:ascii="Arial" w:cs="Arial" w:eastAsia="Arial" w:hAnsi="Arial"/>
          <w:sz w:val="18"/>
          <w:szCs w:val="18"/>
          <w:color w:val="auto"/>
        </w:rPr>
        <w:t>We will remain an emerging growth company until the earliest of (i) the last day of the fiscal year in which we have total annual gross revenue of $1.07 billion or more; (ii) the last day of the fiscal year following the fifth anniversary of the date of the closing of this offering; (iii) the date on which we have issued more than $1.0 billion in nonconvertible debt during the previous three fiscal years; or (iv) the date on which we are deemed to be a “large accelerated filer” under the rules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12" w:lineRule="exact"/>
        <w:rPr>
          <w:sz w:val="20"/>
          <w:szCs w:val="20"/>
          <w:color w:val="auto"/>
        </w:rPr>
      </w:pPr>
    </w:p>
    <w:p>
      <w:pPr>
        <w:ind w:right="160" w:firstLine="637"/>
        <w:spacing w:after="0" w:line="260" w:lineRule="auto"/>
        <w:rPr>
          <w:sz w:val="20"/>
          <w:szCs w:val="20"/>
          <w:color w:val="auto"/>
        </w:rPr>
      </w:pPr>
      <w:r>
        <w:rPr>
          <w:rFonts w:ascii="Arial" w:cs="Arial" w:eastAsia="Arial" w:hAnsi="Arial"/>
          <w:sz w:val="17"/>
          <w:szCs w:val="17"/>
          <w:color w:val="auto"/>
        </w:rPr>
        <w:t>Our chief executive officer does not have experience managing a public company, interacting with public company investors or complying with the increasingly complex laws pertaining to public companies. Our management team, as a whole,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particularly from our chief executive officer, and could divert their attention away from the day-to-day management of our business, which could adversely affect our revenue, business, results of operations and financial condition.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212"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Our common stock only recently began trading on the Nasdaq Global Market, and we can provide no assurance that we will be able to maintain an active trading market on The Nasdaq Global Market or any other exchange in the future. If an active trading market for our common stock is not maintained, or if we fail to satisfy the continued listing standards of The Nasdaq Global Market for any reason and our common stock is delisted, it may be difficult for our stockholders to sell shares without depressing the market price for the shares or at all. An inactive market may also impair our ability to raise capital by selling shares and may impair our ability to acquire other companies or technologies by using our shares as consideration.</w:t>
      </w:r>
    </w:p>
    <w:p>
      <w:pPr>
        <w:spacing w:after="0" w:line="174"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Our directors, officers and principal stockholders beneficially own a significant percentage of our stock and will be able to exert significant control over matters subject to stockholder approval.</w:t>
      </w:r>
    </w:p>
    <w:p>
      <w:pPr>
        <w:spacing w:after="0" w:line="129"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As of September 30, 2020, our directors, officers, five percent or greater stockholders, and their respective affiliates beneficially owned in the aggregate approximately 80% of our outstanding voting stock. As a result,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and approval of any merger, sale of assets or other major corporate transaction. This may prevent or discourage unsolicited acquisition proposals or offers for our common stock that you may feel are in your best interest as one of our stockholders</w:t>
      </w:r>
      <w:r>
        <w:rPr>
          <w:rFonts w:ascii="Arial" w:cs="Arial" w:eastAsia="Arial" w:hAnsi="Arial"/>
          <w:sz w:val="18"/>
          <w:szCs w:val="18"/>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212" w:lineRule="exact"/>
        <w:rPr>
          <w:sz w:val="20"/>
          <w:szCs w:val="20"/>
          <w:color w:val="auto"/>
        </w:rPr>
      </w:pPr>
    </w:p>
    <w:p>
      <w:pPr>
        <w:ind w:right="200" w:firstLine="644"/>
        <w:spacing w:after="0" w:line="24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w:t>
      </w:r>
    </w:p>
    <w:p>
      <w:pPr>
        <w:spacing w:after="0" w:line="17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29"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12" w:lineRule="exact"/>
        <w:rPr>
          <w:sz w:val="20"/>
          <w:szCs w:val="20"/>
          <w:color w:val="auto"/>
        </w:rPr>
      </w:pPr>
    </w:p>
    <w:p>
      <w:pPr>
        <w:ind w:right="300" w:firstLine="637"/>
        <w:spacing w:after="0" w:line="27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7" w:lineRule="exact"/>
        <w:rPr>
          <w:sz w:val="20"/>
          <w:szCs w:val="20"/>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expenses related to our development programs;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addition or termination of clinical trials;</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in which we may become involved;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pitolisant;</w:t>
      </w:r>
    </w:p>
    <w:p>
      <w:pPr>
        <w:spacing w:after="0" w:line="116" w:lineRule="exact"/>
        <w:rPr>
          <w:rFonts w:ascii="Times New Roman" w:cs="Times New Roman" w:eastAsia="Times New Roman" w:hAnsi="Times New Roman"/>
          <w:sz w:val="18"/>
          <w:szCs w:val="18"/>
          <w:color w:val="auto"/>
        </w:rPr>
      </w:pPr>
    </w:p>
    <w:p>
      <w:pPr>
        <w:ind w:left="1120" w:right="400" w:hanging="370"/>
        <w:spacing w:after="0" w:line="275" w:lineRule="auto"/>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collaborative, licensing or similar arrangements, and the timing of payments we may make or receive under these arrangements;</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achievement and timing of milestone payments under our existing collaboration and license agreements;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underlying demand for WAKIX and customers’ buying patterns.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41" w:right="379" w:bottom="1440" w:gutter="0" w:footer="0" w:header="0"/>
        </w:sectPr>
      </w:pPr>
    </w:p>
    <w:bookmarkStart w:id="76" w:name="page77"/>
    <w:bookmarkEnd w:id="76"/>
    <w:p>
      <w:pPr>
        <w:ind w:right="140" w:firstLine="637"/>
        <w:spacing w:after="0" w:line="255"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64"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our common stock, including pursuant to our equity incentive plans, could result in additional dilution of the percentage ownership of our stockholders and could cause the stock price of our common stock to decline.</w:t>
      </w:r>
    </w:p>
    <w:p>
      <w:pPr>
        <w:spacing w:after="0" w:line="151"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7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p>
    <w:p>
      <w:pPr>
        <w:spacing w:after="0" w:line="151"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we are party to a Credit Agreement with OrbiMed that contains negative covenants that limit our ability to pay dividends.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9" w:lineRule="exact"/>
        <w:rPr>
          <w:sz w:val="20"/>
          <w:szCs w:val="20"/>
          <w:color w:val="auto"/>
        </w:rPr>
      </w:pPr>
    </w:p>
    <w:p>
      <w:pPr>
        <w:ind w:right="160" w:firstLine="637"/>
        <w:spacing w:after="0" w:line="255"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delay or prevent a change in control of our company. These provisions could also make it more difficult for stockholders to elect directors and take other corporate actions. These provisions include:</w:t>
      </w:r>
    </w:p>
    <w:p>
      <w:pPr>
        <w:spacing w:after="0" w:line="56" w:lineRule="exact"/>
        <w:rPr>
          <w:sz w:val="20"/>
          <w:szCs w:val="20"/>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for a classified board of directors with staggered, three-year terms;</w:t>
      </w:r>
    </w:p>
    <w:p>
      <w:pPr>
        <w:spacing w:after="0" w:line="116" w:lineRule="exact"/>
        <w:rPr>
          <w:rFonts w:ascii="Times New Roman" w:cs="Times New Roman" w:eastAsia="Times New Roman" w:hAnsi="Times New Roman"/>
          <w:sz w:val="18"/>
          <w:szCs w:val="18"/>
          <w:color w:val="auto"/>
        </w:rPr>
      </w:pPr>
    </w:p>
    <w:p>
      <w:pPr>
        <w:ind w:left="1120" w:right="320" w:hanging="370"/>
        <w:spacing w:after="0" w:line="275" w:lineRule="auto"/>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3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cumulative voting in the election of directors;</w:t>
      </w:r>
    </w:p>
    <w:p>
      <w:pPr>
        <w:spacing w:after="0" w:line="116" w:lineRule="exact"/>
        <w:rPr>
          <w:rFonts w:ascii="Times New Roman" w:cs="Times New Roman" w:eastAsia="Times New Roman" w:hAnsi="Times New Roman"/>
          <w:sz w:val="18"/>
          <w:szCs w:val="18"/>
          <w:color w:val="auto"/>
        </w:rPr>
      </w:pPr>
    </w:p>
    <w:p>
      <w:pPr>
        <w:ind w:left="1120" w:right="140" w:hanging="370"/>
        <w:spacing w:after="0" w:line="275" w:lineRule="auto"/>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37" w:lineRule="exact"/>
        <w:rPr>
          <w:rFonts w:ascii="Times New Roman" w:cs="Times New Roman" w:eastAsia="Times New Roman" w:hAnsi="Times New Roman"/>
          <w:sz w:val="18"/>
          <w:szCs w:val="18"/>
          <w:color w:val="auto"/>
        </w:rPr>
      </w:pPr>
    </w:p>
    <w:p>
      <w:pPr>
        <w:ind w:left="1120" w:right="20" w:hanging="370"/>
        <w:spacing w:after="0" w:line="255" w:lineRule="auto"/>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prohibiting stockholder action by written consent;</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limiting the persons who may call special meetings of stockholders; and</w:t>
      </w:r>
    </w:p>
    <w:p>
      <w:pPr>
        <w:spacing w:after="0" w:line="116"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advance notification of stockholder nominations and proposals.</w:t>
      </w:r>
    </w:p>
    <w:p>
      <w:pPr>
        <w:spacing w:after="0" w:line="224" w:lineRule="exact"/>
        <w:rPr>
          <w:sz w:val="20"/>
          <w:szCs w:val="20"/>
          <w:color w:val="auto"/>
        </w:rPr>
      </w:pPr>
    </w:p>
    <w:p>
      <w:pPr>
        <w:ind w:firstLine="637"/>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4" w:lineRule="exact"/>
        <w:rPr>
          <w:sz w:val="20"/>
          <w:szCs w:val="20"/>
          <w:color w:val="auto"/>
        </w:rPr>
      </w:pPr>
    </w:p>
    <w:p>
      <w:pPr>
        <w:ind w:firstLine="637"/>
        <w:spacing w:after="0" w:line="248" w:lineRule="auto"/>
        <w:rPr>
          <w:sz w:val="20"/>
          <w:szCs w:val="20"/>
          <w:color w:val="auto"/>
        </w:rPr>
      </w:pPr>
      <w:r>
        <w:rPr>
          <w:rFonts w:ascii="Arial" w:cs="Arial" w:eastAsia="Arial" w:hAnsi="Arial"/>
          <w:sz w:val="18"/>
          <w:szCs w:val="18"/>
          <w:color w:val="auto"/>
        </w:rPr>
        <w:t>In addition, we are subject to the anti-takeover provisions contained in Section 203 of the Delaware General Corporation Law (the “DGCL”). Under Section 203 of the DGCL,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77" w:name="page78"/>
    <w:bookmarkEnd w:id="77"/>
    <w:p>
      <w:pPr>
        <w:ind w:right="200" w:firstLine="637"/>
        <w:spacing w:after="0" w:line="255"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w:t>
      </w:r>
    </w:p>
    <w:p>
      <w:pPr>
        <w:spacing w:after="0" w:line="164" w:lineRule="exact"/>
        <w:rPr>
          <w:sz w:val="20"/>
          <w:szCs w:val="20"/>
          <w:color w:val="auto"/>
        </w:rPr>
      </w:pPr>
    </w:p>
    <w:p>
      <w:pPr>
        <w:jc w:val="both"/>
        <w:ind w:right="500"/>
        <w:spacing w:after="0" w:line="260"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right="200" w:firstLine="637"/>
        <w:spacing w:after="0" w:line="27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37" w:lineRule="exact"/>
        <w:rPr>
          <w:sz w:val="20"/>
          <w:szCs w:val="20"/>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120" w:right="720" w:hanging="370"/>
        <w:spacing w:after="0" w:line="275" w:lineRule="auto"/>
        <w:tabs>
          <w:tab w:leader="none" w:pos="11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a fiduciary duty owed by, or other wrongdoing by, any of our current or former directors, officers, employees or our stockholders;</w:t>
      </w:r>
    </w:p>
    <w:p>
      <w:pPr>
        <w:spacing w:after="0" w:line="37" w:lineRule="exact"/>
        <w:rPr>
          <w:rFonts w:ascii="Times New Roman" w:cs="Times New Roman" w:eastAsia="Times New Roman" w:hAnsi="Times New Roman"/>
          <w:sz w:val="18"/>
          <w:szCs w:val="18"/>
          <w:color w:val="auto"/>
        </w:rPr>
      </w:pPr>
    </w:p>
    <w:p>
      <w:pPr>
        <w:jc w:val="both"/>
        <w:ind w:left="1120" w:right="200" w:hanging="370"/>
        <w:spacing w:after="0" w:line="255" w:lineRule="auto"/>
        <w:tabs>
          <w:tab w:leader="none" w:pos="11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(as either may be amended from time to time) or as to which the DGCL confers jurisdiction on the Court of Chancery of the State of Delaware; and</w:t>
      </w:r>
    </w:p>
    <w:p>
      <w:pPr>
        <w:spacing w:after="0" w:line="5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4" w:lineRule="exact"/>
        <w:rPr>
          <w:sz w:val="20"/>
          <w:szCs w:val="20"/>
          <w:color w:val="auto"/>
        </w:rPr>
      </w:pPr>
    </w:p>
    <w:p>
      <w:pPr>
        <w:ind w:firstLine="637"/>
        <w:spacing w:after="0" w:line="243" w:lineRule="auto"/>
        <w:rPr>
          <w:sz w:val="20"/>
          <w:szCs w:val="20"/>
          <w:color w:val="auto"/>
        </w:rPr>
      </w:pPr>
      <w:r>
        <w:rPr>
          <w:rFonts w:ascii="Arial" w:cs="Arial" w:eastAsia="Arial" w:hAnsi="Arial"/>
          <w:sz w:val="18"/>
          <w:szCs w:val="18"/>
          <w:color w:val="auto"/>
        </w:rPr>
        <w:t>Our stockholders are deemed to have notice of and have consented to the provisions of our amended and restated certificate of incorporation related to choice of forum. This exclusive 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7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29" w:lineRule="exact"/>
        <w:rPr>
          <w:sz w:val="20"/>
          <w:szCs w:val="20"/>
          <w:color w:val="auto"/>
        </w:rPr>
      </w:pPr>
    </w:p>
    <w:p>
      <w:pPr>
        <w:ind w:right="100" w:firstLine="637"/>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45" w:lineRule="exact"/>
        <w:rPr>
          <w:sz w:val="20"/>
          <w:szCs w:val="20"/>
          <w:color w:val="auto"/>
        </w:rPr>
      </w:pPr>
    </w:p>
    <w:p>
      <w:pPr>
        <w:ind w:right="40" w:firstLine="637"/>
        <w:spacing w:after="0" w:line="276"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37" w:lineRule="exact"/>
        <w:rPr>
          <w:sz w:val="20"/>
          <w:szCs w:val="20"/>
          <w:color w:val="auto"/>
        </w:rPr>
      </w:pPr>
    </w:p>
    <w:p>
      <w:pPr>
        <w:ind w:left="1120" w:right="20" w:hanging="370"/>
        <w:spacing w:after="0" w:line="244" w:lineRule="auto"/>
        <w:tabs>
          <w:tab w:leader="none" w:pos="11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7" w:lineRule="exact"/>
        <w:rPr>
          <w:rFonts w:ascii="Times New Roman" w:cs="Times New Roman" w:eastAsia="Times New Roman" w:hAnsi="Times New Roman"/>
          <w:sz w:val="18"/>
          <w:szCs w:val="18"/>
          <w:color w:val="auto"/>
        </w:rPr>
      </w:pPr>
    </w:p>
    <w:p>
      <w:pPr>
        <w:ind w:left="1120" w:right="520" w:hanging="370"/>
        <w:spacing w:after="0" w:line="275" w:lineRule="auto"/>
        <w:tabs>
          <w:tab w:leader="none" w:pos="11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37" w:lineRule="exact"/>
        <w:rPr>
          <w:rFonts w:ascii="Times New Roman" w:cs="Times New Roman" w:eastAsia="Times New Roman" w:hAnsi="Times New Roman"/>
          <w:sz w:val="18"/>
          <w:szCs w:val="18"/>
          <w:color w:val="auto"/>
        </w:rPr>
      </w:pPr>
    </w:p>
    <w:p>
      <w:pPr>
        <w:ind w:left="1120" w:right="240" w:hanging="370"/>
        <w:spacing w:after="0" w:line="255" w:lineRule="auto"/>
        <w:tabs>
          <w:tab w:leader="none" w:pos="11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4" w:lineRule="exact"/>
        <w:rPr>
          <w:rFonts w:ascii="Times New Roman" w:cs="Times New Roman" w:eastAsia="Times New Roman" w:hAnsi="Times New Roman"/>
          <w:sz w:val="18"/>
          <w:szCs w:val="18"/>
          <w:color w:val="auto"/>
        </w:rPr>
      </w:pPr>
    </w:p>
    <w:p>
      <w:pPr>
        <w:ind w:left="1120" w:right="420" w:hanging="370"/>
        <w:spacing w:after="0" w:line="255" w:lineRule="auto"/>
        <w:tabs>
          <w:tab w:leader="none" w:pos="11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54" w:lineRule="exact"/>
        <w:rPr>
          <w:rFonts w:ascii="Times New Roman" w:cs="Times New Roman" w:eastAsia="Times New Roman" w:hAnsi="Times New Roman"/>
          <w:sz w:val="18"/>
          <w:szCs w:val="18"/>
          <w:color w:val="auto"/>
        </w:rPr>
      </w:pPr>
    </w:p>
    <w:p>
      <w:pPr>
        <w:ind w:left="1120" w:right="100" w:hanging="370"/>
        <w:spacing w:after="0" w:line="305" w:lineRule="auto"/>
        <w:tabs>
          <w:tab w:leader="none" w:pos="112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5" w:lineRule="exact"/>
        <w:rPr>
          <w:rFonts w:ascii="Times New Roman" w:cs="Times New Roman" w:eastAsia="Times New Roman" w:hAnsi="Times New Roman"/>
          <w:sz w:val="17"/>
          <w:szCs w:val="17"/>
          <w:color w:val="auto"/>
        </w:rPr>
      </w:pPr>
    </w:p>
    <w:p>
      <w:pPr>
        <w:ind w:left="1120" w:right="580" w:hanging="370"/>
        <w:spacing w:after="0" w:line="275" w:lineRule="auto"/>
        <w:tabs>
          <w:tab w:leader="none" w:pos="11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our Initial Public Offering of Common Stock</w:t>
      </w:r>
    </w:p>
    <w:p>
      <w:pPr>
        <w:spacing w:after="0" w:line="104" w:lineRule="exact"/>
        <w:rPr>
          <w:sz w:val="20"/>
          <w:szCs w:val="20"/>
          <w:color w:val="auto"/>
        </w:rPr>
      </w:pPr>
    </w:p>
    <w:p>
      <w:pPr>
        <w:ind w:right="120" w:firstLine="637"/>
        <w:spacing w:after="0" w:line="248" w:lineRule="auto"/>
        <w:rPr>
          <w:sz w:val="20"/>
          <w:szCs w:val="20"/>
          <w:color w:val="auto"/>
        </w:rPr>
      </w:pPr>
      <w:r>
        <w:rPr>
          <w:rFonts w:ascii="Arial" w:cs="Arial" w:eastAsia="Arial" w:hAnsi="Arial"/>
          <w:sz w:val="18"/>
          <w:szCs w:val="18"/>
          <w:color w:val="auto"/>
        </w:rPr>
        <w:t>On August 21, 2020, we completed the IPO of our common stock, in which we issued and sold 6,151,162 shares, including 802,325 shares pursuant to the underwriters’ over-allotment option at a price of $24.00 per share for an aggregate price of approximately $147.6 million. The shares began trading on the Nasdaq Global Market on August 19, 2020. The offer and sale of the shares in our IPO was registered under the</w:t>
      </w:r>
    </w:p>
    <w:p>
      <w:pPr>
        <w:spacing w:after="0" w:line="170" w:lineRule="exact"/>
        <w:rPr>
          <w:sz w:val="20"/>
          <w:szCs w:val="20"/>
          <w:color w:val="auto"/>
        </w:rPr>
      </w:pPr>
    </w:p>
    <w:p>
      <w:pPr>
        <w:ind w:right="80" w:firstLine="637"/>
        <w:spacing w:after="0"/>
        <w:rPr>
          <w:sz w:val="20"/>
          <w:szCs w:val="20"/>
          <w:color w:val="auto"/>
        </w:rPr>
      </w:pPr>
      <w:r>
        <w:rPr>
          <w:rFonts w:ascii="Arial" w:cs="Arial" w:eastAsia="Arial" w:hAnsi="Arial"/>
          <w:sz w:val="18"/>
          <w:szCs w:val="18"/>
          <w:color w:val="auto"/>
        </w:rPr>
        <w:t>Securities Act pursuant to a registration statement on Form S-1 (File No. 333-240122), which was declared effective by the SEC on August 18, 2020 (the “Registration Statement”). The offering commenced on August 6, 2020 and terminated after the sale of all securities registered pursuant to the Registration Statement. Goldman Sachs &amp; Co. LLC., Jefferies LLC and Piper Sandler &amp; Co. acted as managing underwriters for the offering. We raised approximately $ 135.4 million, after deducting underwriting discounts and commissions and offering expenses of approximately $12.2 million. None of these expenses consisted of direct or indirect payments made by us to (i) our directors, officers or their associates, (ii) persons owning 10% or more of our common stock or (iii) to our affiliates. There has been no material change in the planned use of proceeds from our IPO as described in the Prospectus. Net proceeds from our IPO have been invested in short-term, interest-bearing, investment grade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On August 31, 2020, pursuant to Article IV, Section B, Subsection 5.2 of our Third Amended and Restated Certificate of Incorporation, as amended, we delivered to each holder of our previously outstanding Series A preferred stock (the “Series A Preferred”), Series B preferred stock (the “Series B Preferred”) and Series C preferred stock (the “Series C Preferred” and, together with the Series A Preferred and the Series B Preferred, the “Preferred Stock”) a notice indicating the number of shares of our common stock each such holder held following the conversion of the Preferred Stock into our common stock and the payment of the cumulative accrued dividend in shares of our common stock.</w:t>
      </w:r>
    </w:p>
    <w:p>
      <w:pPr>
        <w:spacing w:after="0" w:line="147"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As previously reported, from September 22, 2017 through January 8, 2018, we issued and sold an aggregate of 34,692,635 shares of Series A Preferred at a purchase price of $8.22 per share for aggregate consideration of approximately $285.0 million. On January 8, 2018, we issued and sold an aggregate of 973,828 shares of Series B Preferred at a purchase price of $10.27 per share for aggregate consideration of approximately $10.0 million. On August 9, 2019, we issued and sold an aggregate of 3,105,320 shares of Series C Preferred at a purchase price of $16.10 per share, for aggregate consideration of approximately $50.0 million. All the Preferred Stock share numbers and prices disclosed above reflect our 1-for-8.215 reverse stock split, which was effected on August 11, 2020.</w:t>
      </w:r>
    </w:p>
    <w:p>
      <w:pPr>
        <w:spacing w:after="0" w:line="133"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The Preferred Stock was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w:t>
      </w:r>
    </w:p>
    <w:p>
      <w:pPr>
        <w:spacing w:after="0" w:line="123"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In connection with the IPO of our common stock, all of our outstanding shares of Preferred Stock were converted into shares of our common stock. In addition, we paid out a cumulative accrued dividend to holders of the Preferred Stock in shares of our common stock. Collectively, holders of the previously outstanding Preferred Stock received a total of 42,926,630 shares of our unregistered common stock, resulting in a total of 56,883,640 shares of our common stock outstanding following the IPO. All fractional shares were paid in cash. Substantially all shares of our common stock issued to holders of Preferred Stock are subject to a lock-up agreement that expires 180 days from August 18, 2020, the date the IPO was priced.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i w:val="1"/>
                <w:iCs w:val="1"/>
                <w:color w:val="auto"/>
              </w:rPr>
              <w:t>Incorporation by Reference</w:t>
            </w:r>
          </w:p>
        </w:tc>
        <w:tc>
          <w:tcPr>
            <w:tcW w:w="1280" w:type="dxa"/>
            <w:vAlign w:val="bottom"/>
            <w:tcBorders>
              <w:bottom w:val="single" w:sz="8" w:color="auto"/>
            </w:tcBorders>
          </w:tcPr>
          <w:p>
            <w:pPr>
              <w:spacing w:after="0"/>
              <w:rPr>
                <w:sz w:val="14"/>
                <w:szCs w:val="14"/>
                <w:color w:val="auto"/>
              </w:rPr>
            </w:pPr>
          </w:p>
        </w:tc>
      </w:tr>
      <w:tr>
        <w:trPr>
          <w:trHeight w:val="142"/>
        </w:trPr>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rPr>
              <w:t>Form or</w:t>
            </w: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rPr>
              <w:t>Exhibit</w:t>
            </w:r>
          </w:p>
        </w:tc>
        <w:tc>
          <w:tcPr>
            <w:tcW w:w="156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rPr>
              <w:t>Filing Date</w:t>
            </w:r>
          </w:p>
        </w:tc>
        <w:tc>
          <w:tcPr>
            <w:tcW w:w="1280" w:type="dxa"/>
            <w:vAlign w:val="bottom"/>
          </w:tcPr>
          <w:p>
            <w:pPr>
              <w:ind w:left="340"/>
              <w:spacing w:after="0" w:line="143" w:lineRule="exact"/>
              <w:rPr>
                <w:sz w:val="20"/>
                <w:szCs w:val="20"/>
                <w:color w:val="auto"/>
              </w:rPr>
            </w:pPr>
            <w:r>
              <w:rPr>
                <w:rFonts w:ascii="Arial" w:cs="Arial" w:eastAsia="Arial" w:hAnsi="Arial"/>
                <w:sz w:val="14"/>
                <w:szCs w:val="14"/>
                <w:b w:val="1"/>
                <w:bCs w:val="1"/>
                <w:i w:val="1"/>
                <w:iCs w:val="1"/>
                <w:color w:val="auto"/>
              </w:rPr>
              <w:t>SEC File</w:t>
            </w:r>
          </w:p>
        </w:tc>
      </w:tr>
      <w:tr>
        <w:trPr>
          <w:trHeight w:val="189"/>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Exhibit Number</w:t>
            </w: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13"/>
          </w:tcPr>
          <w:p>
            <w:pPr>
              <w:ind w:left="180"/>
              <w:spacing w:after="0"/>
              <w:rPr>
                <w:sz w:val="20"/>
                <w:szCs w:val="20"/>
                <w:color w:val="auto"/>
              </w:rPr>
            </w:pPr>
            <w:r>
              <w:rPr>
                <w:rFonts w:ascii="Arial" w:cs="Arial" w:eastAsia="Arial" w:hAnsi="Arial"/>
                <w:sz w:val="14"/>
                <w:szCs w:val="14"/>
                <w:b w:val="1"/>
                <w:bCs w:val="1"/>
                <w:i w:val="1"/>
                <w:iCs w:val="1"/>
                <w:color w:val="auto"/>
              </w:rPr>
              <w:t>Description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Schedule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Number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with SEC</w:t>
            </w: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i w:val="1"/>
                <w:iCs w:val="1"/>
                <w:color w:val="auto"/>
              </w:rPr>
              <w:t>Number</w:t>
            </w:r>
          </w:p>
        </w:tc>
      </w:tr>
      <w:tr>
        <w:trPr>
          <w:trHeight w:val="263"/>
        </w:trPr>
        <w:tc>
          <w:tcPr>
            <w:tcW w:w="1080" w:type="dxa"/>
            <w:vAlign w:val="bottom"/>
          </w:tcPr>
          <w:p>
            <w:pPr>
              <w:spacing w:after="0"/>
              <w:rPr>
                <w:sz w:val="20"/>
                <w:szCs w:val="20"/>
                <w:color w:val="auto"/>
              </w:rPr>
            </w:pPr>
            <w:r>
              <w:rPr>
                <w:rFonts w:ascii="Arial" w:cs="Arial" w:eastAsia="Arial" w:hAnsi="Arial"/>
                <w:sz w:val="14"/>
                <w:szCs w:val="14"/>
                <w:color w:val="auto"/>
              </w:rPr>
              <w:t>3.1</w:t>
            </w:r>
          </w:p>
        </w:tc>
        <w:tc>
          <w:tcPr>
            <w:tcW w:w="5200" w:type="dxa"/>
            <w:vAlign w:val="bottom"/>
            <w:gridSpan w:val="18"/>
          </w:tcPr>
          <w:p>
            <w:pPr>
              <w:spacing w:after="0"/>
              <w:rPr>
                <w:rFonts w:ascii="Arial" w:cs="Arial" w:eastAsia="Arial" w:hAnsi="Arial"/>
                <w:sz w:val="14"/>
                <w:szCs w:val="14"/>
                <w:color w:val="0000EE"/>
              </w:rPr>
            </w:pPr>
            <w:hyperlink r:id="rId97">
              <w:r>
                <w:rPr>
                  <w:rFonts w:ascii="Arial" w:cs="Arial" w:eastAsia="Arial" w:hAnsi="Arial"/>
                  <w:sz w:val="14"/>
                  <w:szCs w:val="14"/>
                  <w:color w:val="0000EE"/>
                </w:rPr>
                <w:t>Amended and Restated Certificate of Incorporation of Harmony Biosciences</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tcPr>
          <w:p>
            <w:pPr>
              <w:jc w:val="center"/>
              <w:spacing w:after="0"/>
              <w:rPr>
                <w:sz w:val="20"/>
                <w:szCs w:val="20"/>
                <w:color w:val="auto"/>
              </w:rPr>
            </w:pPr>
            <w:r>
              <w:rPr>
                <w:rFonts w:ascii="Arial" w:cs="Arial" w:eastAsia="Arial" w:hAnsi="Arial"/>
                <w:sz w:val="14"/>
                <w:szCs w:val="14"/>
                <w:color w:val="auto"/>
              </w:rPr>
              <w:t>3.1</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21,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001-39450</w:t>
            </w:r>
          </w:p>
        </w:tc>
      </w:tr>
      <w:tr>
        <w:trPr>
          <w:trHeight w:val="142"/>
        </w:trPr>
        <w:tc>
          <w:tcPr>
            <w:tcW w:w="1080" w:type="dxa"/>
            <w:vAlign w:val="bottom"/>
          </w:tcPr>
          <w:p>
            <w:pPr>
              <w:spacing w:after="0"/>
              <w:rPr>
                <w:sz w:val="12"/>
                <w:szCs w:val="12"/>
                <w:color w:val="auto"/>
              </w:rPr>
            </w:pPr>
          </w:p>
        </w:tc>
        <w:tc>
          <w:tcPr>
            <w:tcW w:w="880" w:type="dxa"/>
            <w:vAlign w:val="bottom"/>
            <w:tcBorders>
              <w:top w:val="single" w:sz="8" w:color="0000EE"/>
              <w:bottom w:val="single" w:sz="8" w:color="0000EE"/>
            </w:tcBorders>
            <w:gridSpan w:val="2"/>
          </w:tcPr>
          <w:p>
            <w:pPr>
              <w:spacing w:after="0" w:line="142" w:lineRule="exact"/>
              <w:rPr>
                <w:rFonts w:ascii="Arial" w:cs="Arial" w:eastAsia="Arial" w:hAnsi="Arial"/>
                <w:sz w:val="14"/>
                <w:szCs w:val="14"/>
                <w:color w:val="0000EE"/>
              </w:rPr>
            </w:pPr>
            <w:hyperlink r:id="rId97">
              <w:r>
                <w:rPr>
                  <w:rFonts w:ascii="Arial" w:cs="Arial" w:eastAsia="Arial" w:hAnsi="Arial"/>
                  <w:sz w:val="14"/>
                  <w:szCs w:val="14"/>
                  <w:color w:val="0000EE"/>
                </w:rPr>
                <w:t>Holdings, Inc.</w:t>
              </w:r>
            </w:hyperlink>
          </w:p>
        </w:tc>
        <w:tc>
          <w:tcPr>
            <w:tcW w:w="3980" w:type="dxa"/>
            <w:vAlign w:val="bottom"/>
            <w:tcBorders>
              <w:top w:val="single" w:sz="8" w:color="0000EE"/>
            </w:tcBorders>
            <w:gridSpan w:val="11"/>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3.2</w:t>
            </w:r>
          </w:p>
        </w:tc>
        <w:tc>
          <w:tcPr>
            <w:tcW w:w="5200" w:type="dxa"/>
            <w:vAlign w:val="bottom"/>
            <w:gridSpan w:val="18"/>
          </w:tcPr>
          <w:p>
            <w:pPr>
              <w:spacing w:after="0"/>
              <w:rPr>
                <w:rFonts w:ascii="Arial" w:cs="Arial" w:eastAsia="Arial" w:hAnsi="Arial"/>
                <w:sz w:val="14"/>
                <w:szCs w:val="14"/>
                <w:u w:val="single" w:color="auto"/>
                <w:color w:val="0000EE"/>
              </w:rPr>
            </w:pPr>
            <w:hyperlink r:id="rId98">
              <w:r>
                <w:rPr>
                  <w:rFonts w:ascii="Arial" w:cs="Arial" w:eastAsia="Arial" w:hAnsi="Arial"/>
                  <w:sz w:val="14"/>
                  <w:szCs w:val="14"/>
                  <w:u w:val="single" w:color="auto"/>
                  <w:color w:val="0000EE"/>
                </w:rPr>
                <w:t>Amended and Restated Bylaws of Harmony Biosciences Holdings, Inc.</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tcPr>
          <w:p>
            <w:pPr>
              <w:jc w:val="center"/>
              <w:spacing w:after="0"/>
              <w:rPr>
                <w:sz w:val="20"/>
                <w:szCs w:val="20"/>
                <w:color w:val="auto"/>
              </w:rPr>
            </w:pPr>
            <w:r>
              <w:rPr>
                <w:rFonts w:ascii="Arial" w:cs="Arial" w:eastAsia="Arial" w:hAnsi="Arial"/>
                <w:sz w:val="14"/>
                <w:szCs w:val="14"/>
                <w:color w:val="auto"/>
              </w:rPr>
              <w:t>3.2</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21,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001-39450</w:t>
            </w:r>
          </w:p>
        </w:tc>
      </w:tr>
      <w:tr>
        <w:trPr>
          <w:trHeight w:val="311"/>
        </w:trPr>
        <w:tc>
          <w:tcPr>
            <w:tcW w:w="1080" w:type="dxa"/>
            <w:vAlign w:val="bottom"/>
          </w:tcPr>
          <w:p>
            <w:pPr>
              <w:spacing w:after="0"/>
              <w:rPr>
                <w:sz w:val="20"/>
                <w:szCs w:val="20"/>
                <w:color w:val="auto"/>
              </w:rPr>
            </w:pPr>
            <w:r>
              <w:rPr>
                <w:rFonts w:ascii="Arial" w:cs="Arial" w:eastAsia="Arial" w:hAnsi="Arial"/>
                <w:sz w:val="14"/>
                <w:szCs w:val="14"/>
                <w:color w:val="auto"/>
              </w:rPr>
              <w:t>4.1</w:t>
            </w:r>
          </w:p>
        </w:tc>
        <w:tc>
          <w:tcPr>
            <w:tcW w:w="5200" w:type="dxa"/>
            <w:vAlign w:val="bottom"/>
            <w:gridSpan w:val="18"/>
          </w:tcPr>
          <w:p>
            <w:pPr>
              <w:spacing w:after="0"/>
              <w:rPr>
                <w:rFonts w:ascii="Arial" w:cs="Arial" w:eastAsia="Arial" w:hAnsi="Arial"/>
                <w:sz w:val="14"/>
                <w:szCs w:val="14"/>
                <w:u w:val="single" w:color="auto"/>
                <w:color w:val="0000EE"/>
              </w:rPr>
            </w:pPr>
            <w:hyperlink r:id="rId99">
              <w:r>
                <w:rPr>
                  <w:rFonts w:ascii="Arial" w:cs="Arial" w:eastAsia="Arial" w:hAnsi="Arial"/>
                  <w:sz w:val="14"/>
                  <w:szCs w:val="14"/>
                  <w:u w:val="single" w:color="auto"/>
                  <w:color w:val="0000EE"/>
                </w:rPr>
                <w:t>Form of common stock certificate of the Registrant.</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4.1</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6,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310"/>
        </w:trPr>
        <w:tc>
          <w:tcPr>
            <w:tcW w:w="1080" w:type="dxa"/>
            <w:vAlign w:val="bottom"/>
          </w:tcPr>
          <w:p>
            <w:pPr>
              <w:spacing w:after="0"/>
              <w:rPr>
                <w:sz w:val="20"/>
                <w:szCs w:val="20"/>
                <w:color w:val="auto"/>
              </w:rPr>
            </w:pPr>
            <w:r>
              <w:rPr>
                <w:rFonts w:ascii="Arial" w:cs="Arial" w:eastAsia="Arial" w:hAnsi="Arial"/>
                <w:sz w:val="14"/>
                <w:szCs w:val="14"/>
                <w:color w:val="auto"/>
              </w:rPr>
              <w:t>10.1†</w:t>
            </w:r>
          </w:p>
        </w:tc>
        <w:tc>
          <w:tcPr>
            <w:tcW w:w="5200" w:type="dxa"/>
            <w:vAlign w:val="bottom"/>
            <w:gridSpan w:val="18"/>
          </w:tcPr>
          <w:p>
            <w:pPr>
              <w:spacing w:after="0"/>
              <w:rPr>
                <w:rFonts w:ascii="Arial" w:cs="Arial" w:eastAsia="Arial" w:hAnsi="Arial"/>
                <w:sz w:val="14"/>
                <w:szCs w:val="14"/>
                <w:u w:val="single" w:color="auto"/>
                <w:color w:val="0000EE"/>
              </w:rPr>
            </w:pPr>
            <w:hyperlink r:id="rId100">
              <w:r>
                <w:rPr>
                  <w:rFonts w:ascii="Arial" w:cs="Arial" w:eastAsia="Arial" w:hAnsi="Arial"/>
                  <w:sz w:val="14"/>
                  <w:szCs w:val="14"/>
                  <w:u w:val="single" w:color="auto"/>
                  <w:color w:val="0000EE"/>
                </w:rPr>
                <w:t>Harmony Biosciences Holdings, Inc. 2020 Incentive Award Plan</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tcPr>
          <w:p>
            <w:pPr>
              <w:jc w:val="center"/>
              <w:spacing w:after="0"/>
              <w:rPr>
                <w:sz w:val="20"/>
                <w:szCs w:val="20"/>
                <w:color w:val="auto"/>
              </w:rPr>
            </w:pPr>
            <w:r>
              <w:rPr>
                <w:rFonts w:ascii="Arial" w:cs="Arial" w:eastAsia="Arial" w:hAnsi="Arial"/>
                <w:sz w:val="14"/>
                <w:szCs w:val="14"/>
                <w:color w:val="auto"/>
              </w:rPr>
              <w:t>10.2</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21,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333-248243</w:t>
            </w:r>
          </w:p>
        </w:tc>
      </w:tr>
      <w:tr>
        <w:trPr>
          <w:trHeight w:val="278"/>
        </w:trPr>
        <w:tc>
          <w:tcPr>
            <w:tcW w:w="1080" w:type="dxa"/>
            <w:vAlign w:val="bottom"/>
          </w:tcPr>
          <w:p>
            <w:pPr>
              <w:spacing w:after="0"/>
              <w:rPr>
                <w:sz w:val="20"/>
                <w:szCs w:val="20"/>
                <w:color w:val="auto"/>
              </w:rPr>
            </w:pPr>
            <w:r>
              <w:rPr>
                <w:rFonts w:ascii="Arial" w:cs="Arial" w:eastAsia="Arial" w:hAnsi="Arial"/>
                <w:sz w:val="14"/>
                <w:szCs w:val="14"/>
                <w:color w:val="auto"/>
              </w:rPr>
              <w:t>10.2†</w:t>
            </w:r>
          </w:p>
        </w:tc>
        <w:tc>
          <w:tcPr>
            <w:tcW w:w="5200" w:type="dxa"/>
            <w:vAlign w:val="bottom"/>
            <w:gridSpan w:val="18"/>
          </w:tcPr>
          <w:p>
            <w:pPr>
              <w:spacing w:after="0"/>
              <w:rPr>
                <w:rFonts w:ascii="Arial" w:cs="Arial" w:eastAsia="Arial" w:hAnsi="Arial"/>
                <w:sz w:val="14"/>
                <w:szCs w:val="14"/>
                <w:color w:val="0000EE"/>
              </w:rPr>
            </w:pPr>
            <w:hyperlink r:id="rId101">
              <w:r>
                <w:rPr>
                  <w:rFonts w:ascii="Arial" w:cs="Arial" w:eastAsia="Arial" w:hAnsi="Arial"/>
                  <w:sz w:val="14"/>
                  <w:szCs w:val="14"/>
                  <w:color w:val="0000EE"/>
                </w:rPr>
                <w:t>Form of Option Agreement under Harmony Biosciences Holdings, Inc. 2020</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tcPr>
          <w:p>
            <w:pPr>
              <w:jc w:val="center"/>
              <w:spacing w:after="0"/>
              <w:rPr>
                <w:sz w:val="20"/>
                <w:szCs w:val="20"/>
                <w:color w:val="auto"/>
              </w:rPr>
            </w:pPr>
            <w:r>
              <w:rPr>
                <w:rFonts w:ascii="Arial" w:cs="Arial" w:eastAsia="Arial" w:hAnsi="Arial"/>
                <w:sz w:val="14"/>
                <w:szCs w:val="14"/>
                <w:color w:val="auto"/>
              </w:rPr>
              <w:t>10.3</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21,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333-248243</w:t>
            </w:r>
          </w:p>
        </w:tc>
      </w:tr>
      <w:tr>
        <w:trPr>
          <w:trHeight w:val="142"/>
        </w:trPr>
        <w:tc>
          <w:tcPr>
            <w:tcW w:w="1080" w:type="dxa"/>
            <w:vAlign w:val="bottom"/>
          </w:tcPr>
          <w:p>
            <w:pPr>
              <w:spacing w:after="0"/>
              <w:rPr>
                <w:sz w:val="12"/>
                <w:szCs w:val="12"/>
                <w:color w:val="auto"/>
              </w:rPr>
            </w:pPr>
          </w:p>
        </w:tc>
        <w:tc>
          <w:tcPr>
            <w:tcW w:w="140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rPr>
            </w:pPr>
            <w:hyperlink r:id="rId101">
              <w:r>
                <w:rPr>
                  <w:rFonts w:ascii="Arial" w:cs="Arial" w:eastAsia="Arial" w:hAnsi="Arial"/>
                  <w:sz w:val="14"/>
                  <w:szCs w:val="14"/>
                  <w:color w:val="0000EE"/>
                </w:rPr>
                <w:t>Incentive Award Plan.</w:t>
              </w:r>
            </w:hyperlink>
          </w:p>
        </w:tc>
        <w:tc>
          <w:tcPr>
            <w:tcW w:w="3440" w:type="dxa"/>
            <w:vAlign w:val="bottom"/>
            <w:tcBorders>
              <w:top w:val="single" w:sz="8" w:color="0000EE"/>
            </w:tcBorders>
            <w:gridSpan w:val="8"/>
          </w:tcPr>
          <w:p>
            <w:pPr>
              <w:spacing w:after="0"/>
              <w:rPr>
                <w:sz w:val="12"/>
                <w:szCs w:val="12"/>
                <w:color w:val="auto"/>
              </w:rPr>
            </w:pPr>
          </w:p>
        </w:tc>
        <w:tc>
          <w:tcPr>
            <w:tcW w:w="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0"/>
        </w:trPr>
        <w:tc>
          <w:tcPr>
            <w:tcW w:w="1080" w:type="dxa"/>
            <w:vAlign w:val="bottom"/>
          </w:tcPr>
          <w:p>
            <w:pPr>
              <w:spacing w:after="0"/>
              <w:rPr>
                <w:sz w:val="20"/>
                <w:szCs w:val="20"/>
                <w:color w:val="auto"/>
              </w:rPr>
            </w:pPr>
            <w:r>
              <w:rPr>
                <w:rFonts w:ascii="Arial" w:cs="Arial" w:eastAsia="Arial" w:hAnsi="Arial"/>
                <w:sz w:val="14"/>
                <w:szCs w:val="14"/>
                <w:color w:val="auto"/>
              </w:rPr>
              <w:t>10.3†</w:t>
            </w:r>
          </w:p>
        </w:tc>
        <w:tc>
          <w:tcPr>
            <w:tcW w:w="5200" w:type="dxa"/>
            <w:vAlign w:val="bottom"/>
            <w:gridSpan w:val="18"/>
          </w:tcPr>
          <w:p>
            <w:pPr>
              <w:spacing w:after="0"/>
              <w:rPr>
                <w:rFonts w:ascii="Arial" w:cs="Arial" w:eastAsia="Arial" w:hAnsi="Arial"/>
                <w:sz w:val="14"/>
                <w:szCs w:val="14"/>
                <w:color w:val="0000EE"/>
              </w:rPr>
            </w:pPr>
            <w:hyperlink r:id="rId102">
              <w:r>
                <w:rPr>
                  <w:rFonts w:ascii="Arial" w:cs="Arial" w:eastAsia="Arial" w:hAnsi="Arial"/>
                  <w:sz w:val="14"/>
                  <w:szCs w:val="14"/>
                  <w:color w:val="0000EE"/>
                </w:rPr>
                <w:t>Form of Restricted Stock Unit Agreement under Harmony Biosciences Holdings,</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10.6</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142"/>
        </w:trPr>
        <w:tc>
          <w:tcPr>
            <w:tcW w:w="1080" w:type="dxa"/>
            <w:vAlign w:val="bottom"/>
          </w:tcPr>
          <w:p>
            <w:pPr>
              <w:spacing w:after="0"/>
              <w:rPr>
                <w:sz w:val="12"/>
                <w:szCs w:val="12"/>
                <w:color w:val="auto"/>
              </w:rPr>
            </w:pPr>
          </w:p>
        </w:tc>
        <w:tc>
          <w:tcPr>
            <w:tcW w:w="5100" w:type="dxa"/>
            <w:vAlign w:val="bottom"/>
            <w:tcBorders>
              <w:top w:val="single" w:sz="8" w:color="0000EE"/>
            </w:tcBorders>
            <w:gridSpan w:val="15"/>
          </w:tcPr>
          <w:p>
            <w:pPr>
              <w:spacing w:after="0" w:line="142" w:lineRule="exact"/>
              <w:rPr>
                <w:rFonts w:ascii="Arial" w:cs="Arial" w:eastAsia="Arial" w:hAnsi="Arial"/>
                <w:sz w:val="14"/>
                <w:szCs w:val="14"/>
                <w:color w:val="0000EE"/>
              </w:rPr>
            </w:pPr>
            <w:hyperlink r:id="rId102">
              <w:r>
                <w:rPr>
                  <w:rFonts w:ascii="Arial" w:cs="Arial" w:eastAsia="Arial" w:hAnsi="Arial"/>
                  <w:sz w:val="14"/>
                  <w:szCs w:val="14"/>
                  <w:color w:val="0000EE"/>
                </w:rPr>
                <w:t>Inc. 2020 Incentive Award Plan.</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10.4†</w:t>
            </w:r>
          </w:p>
        </w:tc>
        <w:tc>
          <w:tcPr>
            <w:tcW w:w="5200" w:type="dxa"/>
            <w:vAlign w:val="bottom"/>
            <w:gridSpan w:val="18"/>
          </w:tcPr>
          <w:p>
            <w:pPr>
              <w:spacing w:after="0"/>
              <w:rPr>
                <w:rFonts w:ascii="Arial" w:cs="Arial" w:eastAsia="Arial" w:hAnsi="Arial"/>
                <w:sz w:val="14"/>
                <w:szCs w:val="14"/>
                <w:color w:val="0000EE"/>
              </w:rPr>
            </w:pPr>
            <w:hyperlink r:id="rId103">
              <w:r>
                <w:rPr>
                  <w:rFonts w:ascii="Arial" w:cs="Arial" w:eastAsia="Arial" w:hAnsi="Arial"/>
                  <w:sz w:val="14"/>
                  <w:szCs w:val="14"/>
                  <w:u w:val="single" w:color="auto"/>
                  <w:color w:val="0000EE"/>
                </w:rPr>
                <w:t>Harmony Biosciences Holdings, Inc. 2020 Employee Stock Purchase Plan</w:t>
              </w:r>
              <w:r>
                <w:rPr>
                  <w:rFonts w:ascii="Arial" w:cs="Arial" w:eastAsia="Arial" w:hAnsi="Arial"/>
                  <w:sz w:val="14"/>
                  <w:szCs w:val="14"/>
                  <w:color w:val="0000EE"/>
                </w:rPr>
                <w:t>.</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10.7</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278"/>
        </w:trPr>
        <w:tc>
          <w:tcPr>
            <w:tcW w:w="1080" w:type="dxa"/>
            <w:vAlign w:val="bottom"/>
          </w:tcPr>
          <w:p>
            <w:pPr>
              <w:spacing w:after="0"/>
              <w:rPr>
                <w:sz w:val="20"/>
                <w:szCs w:val="20"/>
                <w:color w:val="auto"/>
              </w:rPr>
            </w:pPr>
            <w:r>
              <w:rPr>
                <w:rFonts w:ascii="Arial" w:cs="Arial" w:eastAsia="Arial" w:hAnsi="Arial"/>
                <w:sz w:val="14"/>
                <w:szCs w:val="14"/>
                <w:color w:val="auto"/>
              </w:rPr>
              <w:t>10.5†</w:t>
            </w:r>
          </w:p>
        </w:tc>
        <w:tc>
          <w:tcPr>
            <w:tcW w:w="5200" w:type="dxa"/>
            <w:vAlign w:val="bottom"/>
            <w:gridSpan w:val="18"/>
          </w:tcPr>
          <w:p>
            <w:pPr>
              <w:spacing w:after="0"/>
              <w:rPr>
                <w:rFonts w:ascii="Arial" w:cs="Arial" w:eastAsia="Arial" w:hAnsi="Arial"/>
                <w:sz w:val="14"/>
                <w:szCs w:val="14"/>
                <w:color w:val="0000EE"/>
              </w:rPr>
            </w:pPr>
            <w:hyperlink r:id="rId104">
              <w:r>
                <w:rPr>
                  <w:rFonts w:ascii="Arial" w:cs="Arial" w:eastAsia="Arial" w:hAnsi="Arial"/>
                  <w:sz w:val="14"/>
                  <w:szCs w:val="14"/>
                  <w:color w:val="0000EE"/>
                </w:rPr>
                <w:t>Amended and Restated Employment Agreement, dated August 11, 2020, by and</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10.8</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142"/>
        </w:trPr>
        <w:tc>
          <w:tcPr>
            <w:tcW w:w="1080" w:type="dxa"/>
            <w:vAlign w:val="bottom"/>
          </w:tcPr>
          <w:p>
            <w:pPr>
              <w:spacing w:after="0"/>
              <w:rPr>
                <w:sz w:val="12"/>
                <w:szCs w:val="12"/>
                <w:color w:val="auto"/>
              </w:rPr>
            </w:pPr>
          </w:p>
        </w:tc>
        <w:tc>
          <w:tcPr>
            <w:tcW w:w="3680" w:type="dxa"/>
            <w:vAlign w:val="bottom"/>
            <w:tcBorders>
              <w:top w:val="single" w:sz="8" w:color="0000EE"/>
              <w:bottom w:val="single" w:sz="8" w:color="0000EE"/>
            </w:tcBorders>
            <w:gridSpan w:val="9"/>
          </w:tcPr>
          <w:p>
            <w:pPr>
              <w:spacing w:after="0" w:line="142" w:lineRule="exact"/>
              <w:rPr>
                <w:rFonts w:ascii="Arial" w:cs="Arial" w:eastAsia="Arial" w:hAnsi="Arial"/>
                <w:sz w:val="14"/>
                <w:szCs w:val="14"/>
                <w:color w:val="0000EE"/>
              </w:rPr>
            </w:pPr>
            <w:hyperlink r:id="rId104">
              <w:r>
                <w:rPr>
                  <w:rFonts w:ascii="Arial" w:cs="Arial" w:eastAsia="Arial" w:hAnsi="Arial"/>
                  <w:sz w:val="14"/>
                  <w:szCs w:val="14"/>
                  <w:color w:val="0000EE"/>
                </w:rPr>
                <w:t>between Harmony Biosciences, LLC and John C. Jacobs.</w:t>
              </w:r>
            </w:hyperlink>
          </w:p>
        </w:tc>
        <w:tc>
          <w:tcPr>
            <w:tcW w:w="1460" w:type="dxa"/>
            <w:vAlign w:val="bottom"/>
            <w:tcBorders>
              <w:top w:val="single" w:sz="8" w:color="0000EE"/>
            </w:tcBorders>
            <w:gridSpan w:val="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4"/>
                <w:szCs w:val="14"/>
                <w:color w:val="auto"/>
              </w:rPr>
              <w:t>10.6</w:t>
            </w:r>
          </w:p>
        </w:tc>
        <w:tc>
          <w:tcPr>
            <w:tcW w:w="5200" w:type="dxa"/>
            <w:vAlign w:val="bottom"/>
            <w:gridSpan w:val="18"/>
          </w:tcPr>
          <w:p>
            <w:pPr>
              <w:spacing w:after="0"/>
              <w:rPr>
                <w:rFonts w:ascii="Arial" w:cs="Arial" w:eastAsia="Arial" w:hAnsi="Arial"/>
                <w:sz w:val="14"/>
                <w:szCs w:val="14"/>
                <w:color w:val="0000EE"/>
              </w:rPr>
            </w:pPr>
            <w:hyperlink r:id="rId105">
              <w:r>
                <w:rPr>
                  <w:rFonts w:ascii="Arial" w:cs="Arial" w:eastAsia="Arial" w:hAnsi="Arial"/>
                  <w:sz w:val="14"/>
                  <w:szCs w:val="14"/>
                  <w:color w:val="0000EE"/>
                </w:rPr>
                <w:t>Form of Indemnification Agreement between Harmony Biosciences, LLC and</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10.12</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142"/>
        </w:trPr>
        <w:tc>
          <w:tcPr>
            <w:tcW w:w="1080" w:type="dxa"/>
            <w:vAlign w:val="bottom"/>
          </w:tcPr>
          <w:p>
            <w:pPr>
              <w:spacing w:after="0"/>
              <w:rPr>
                <w:sz w:val="12"/>
                <w:szCs w:val="12"/>
                <w:color w:val="auto"/>
              </w:rPr>
            </w:pPr>
          </w:p>
        </w:tc>
        <w:tc>
          <w:tcPr>
            <w:tcW w:w="4900" w:type="dxa"/>
            <w:vAlign w:val="bottom"/>
            <w:tcBorders>
              <w:top w:val="single" w:sz="8" w:color="0000EE"/>
            </w:tcBorders>
            <w:gridSpan w:val="14"/>
          </w:tcPr>
          <w:p>
            <w:pPr>
              <w:spacing w:after="0" w:line="142" w:lineRule="exact"/>
              <w:rPr>
                <w:rFonts w:ascii="Arial" w:cs="Arial" w:eastAsia="Arial" w:hAnsi="Arial"/>
                <w:sz w:val="14"/>
                <w:szCs w:val="14"/>
                <w:color w:val="0000EE"/>
              </w:rPr>
            </w:pPr>
            <w:hyperlink r:id="rId105">
              <w:r>
                <w:rPr>
                  <w:rFonts w:ascii="Arial" w:cs="Arial" w:eastAsia="Arial" w:hAnsi="Arial"/>
                  <w:sz w:val="14"/>
                  <w:szCs w:val="14"/>
                  <w:color w:val="0000EE"/>
                </w:rPr>
                <w:t>each director and executive officer.</w:t>
              </w:r>
            </w:hyperlink>
          </w:p>
        </w:tc>
        <w:tc>
          <w:tcPr>
            <w:tcW w:w="2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10.7†</w:t>
            </w:r>
          </w:p>
        </w:tc>
        <w:tc>
          <w:tcPr>
            <w:tcW w:w="5200" w:type="dxa"/>
            <w:vAlign w:val="bottom"/>
            <w:gridSpan w:val="18"/>
          </w:tcPr>
          <w:p>
            <w:pPr>
              <w:spacing w:after="0"/>
              <w:rPr>
                <w:rFonts w:ascii="Arial" w:cs="Arial" w:eastAsia="Arial" w:hAnsi="Arial"/>
                <w:sz w:val="14"/>
                <w:szCs w:val="14"/>
                <w:u w:val="single" w:color="auto"/>
                <w:color w:val="0000EE"/>
              </w:rPr>
            </w:pPr>
            <w:hyperlink r:id="rId106">
              <w:r>
                <w:rPr>
                  <w:rFonts w:ascii="Arial" w:cs="Arial" w:eastAsia="Arial" w:hAnsi="Arial"/>
                  <w:sz w:val="14"/>
                  <w:szCs w:val="14"/>
                  <w:u w:val="single" w:color="auto"/>
                  <w:color w:val="0000EE"/>
                </w:rPr>
                <w:t>Harmony Biosciences, LLC Separation Plan.</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10.13</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278"/>
        </w:trPr>
        <w:tc>
          <w:tcPr>
            <w:tcW w:w="1080" w:type="dxa"/>
            <w:vAlign w:val="bottom"/>
          </w:tcPr>
          <w:p>
            <w:pPr>
              <w:spacing w:after="0"/>
              <w:rPr>
                <w:sz w:val="20"/>
                <w:szCs w:val="20"/>
                <w:color w:val="auto"/>
              </w:rPr>
            </w:pPr>
            <w:r>
              <w:rPr>
                <w:rFonts w:ascii="Arial" w:cs="Arial" w:eastAsia="Arial" w:hAnsi="Arial"/>
                <w:sz w:val="14"/>
                <w:szCs w:val="14"/>
                <w:color w:val="auto"/>
              </w:rPr>
              <w:t>10.8†</w:t>
            </w:r>
          </w:p>
        </w:tc>
        <w:tc>
          <w:tcPr>
            <w:tcW w:w="5200" w:type="dxa"/>
            <w:vAlign w:val="bottom"/>
            <w:gridSpan w:val="18"/>
          </w:tcPr>
          <w:p>
            <w:pPr>
              <w:spacing w:after="0"/>
              <w:rPr>
                <w:rFonts w:ascii="Arial" w:cs="Arial" w:eastAsia="Arial" w:hAnsi="Arial"/>
                <w:sz w:val="14"/>
                <w:szCs w:val="14"/>
                <w:color w:val="0000EE"/>
              </w:rPr>
            </w:pPr>
            <w:hyperlink r:id="rId107">
              <w:r>
                <w:rPr>
                  <w:rFonts w:ascii="Arial" w:cs="Arial" w:eastAsia="Arial" w:hAnsi="Arial"/>
                  <w:sz w:val="14"/>
                  <w:szCs w:val="14"/>
                  <w:color w:val="0000EE"/>
                </w:rPr>
                <w:t>Harmony Biosciences Holdings, Inc. Amended and Restated 2017 Equity</w:t>
              </w:r>
            </w:hyperlink>
          </w:p>
        </w:tc>
        <w:tc>
          <w:tcPr>
            <w:tcW w:w="11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tcPr>
          <w:p>
            <w:pPr>
              <w:jc w:val="center"/>
              <w:spacing w:after="0"/>
              <w:rPr>
                <w:sz w:val="20"/>
                <w:szCs w:val="20"/>
                <w:color w:val="auto"/>
              </w:rPr>
            </w:pPr>
            <w:r>
              <w:rPr>
                <w:rFonts w:ascii="Arial" w:cs="Arial" w:eastAsia="Arial" w:hAnsi="Arial"/>
                <w:sz w:val="14"/>
                <w:szCs w:val="14"/>
                <w:color w:val="auto"/>
              </w:rPr>
              <w:t>10.3</w:t>
            </w:r>
          </w:p>
        </w:tc>
        <w:tc>
          <w:tcPr>
            <w:tcW w:w="1560" w:type="dxa"/>
            <w:vAlign w:val="bottom"/>
          </w:tcPr>
          <w:p>
            <w:pPr>
              <w:jc w:val="center"/>
              <w:spacing w:after="0"/>
              <w:rPr>
                <w:sz w:val="20"/>
                <w:szCs w:val="20"/>
                <w:color w:val="auto"/>
              </w:rPr>
            </w:pPr>
            <w:r>
              <w:rPr>
                <w:rFonts w:ascii="Arial" w:cs="Arial" w:eastAsia="Arial" w:hAnsi="Arial"/>
                <w:sz w:val="14"/>
                <w:szCs w:val="14"/>
                <w:color w:val="auto"/>
              </w:rPr>
              <w:t>August 11, 2020</w:t>
            </w:r>
          </w:p>
        </w:tc>
        <w:tc>
          <w:tcPr>
            <w:tcW w:w="1280" w:type="dxa"/>
            <w:vAlign w:val="bottom"/>
          </w:tcPr>
          <w:p>
            <w:pPr>
              <w:jc w:val="center"/>
              <w:spacing w:after="0"/>
              <w:rPr>
                <w:sz w:val="20"/>
                <w:szCs w:val="20"/>
                <w:color w:val="auto"/>
              </w:rPr>
            </w:pPr>
            <w:r>
              <w:rPr>
                <w:rFonts w:ascii="Arial" w:cs="Arial" w:eastAsia="Arial" w:hAnsi="Arial"/>
                <w:sz w:val="14"/>
                <w:szCs w:val="14"/>
                <w:color w:val="auto"/>
              </w:rPr>
              <w:t>333-240122</w:t>
            </w:r>
          </w:p>
        </w:tc>
      </w:tr>
      <w:tr>
        <w:trPr>
          <w:trHeight w:val="142"/>
        </w:trPr>
        <w:tc>
          <w:tcPr>
            <w:tcW w:w="1080" w:type="dxa"/>
            <w:vAlign w:val="bottom"/>
          </w:tcPr>
          <w:p>
            <w:pPr>
              <w:spacing w:after="0"/>
              <w:rPr>
                <w:sz w:val="12"/>
                <w:szCs w:val="12"/>
                <w:color w:val="auto"/>
              </w:rPr>
            </w:pPr>
          </w:p>
        </w:tc>
        <w:tc>
          <w:tcPr>
            <w:tcW w:w="960" w:type="dxa"/>
            <w:vAlign w:val="bottom"/>
            <w:tcBorders>
              <w:top w:val="single" w:sz="8" w:color="0000EE"/>
              <w:bottom w:val="single" w:sz="8" w:color="0000EE"/>
            </w:tcBorders>
            <w:gridSpan w:val="3"/>
          </w:tcPr>
          <w:p>
            <w:pPr>
              <w:spacing w:after="0" w:line="142" w:lineRule="exact"/>
              <w:rPr>
                <w:rFonts w:ascii="Arial" w:cs="Arial" w:eastAsia="Arial" w:hAnsi="Arial"/>
                <w:sz w:val="14"/>
                <w:szCs w:val="14"/>
                <w:color w:val="0000EE"/>
              </w:rPr>
            </w:pPr>
            <w:hyperlink r:id="rId107">
              <w:r>
                <w:rPr>
                  <w:rFonts w:ascii="Arial" w:cs="Arial" w:eastAsia="Arial" w:hAnsi="Arial"/>
                  <w:sz w:val="14"/>
                  <w:szCs w:val="14"/>
                  <w:color w:val="0000EE"/>
                </w:rPr>
                <w:t>Incentive Plan.</w:t>
              </w:r>
            </w:hyperlink>
          </w:p>
        </w:tc>
        <w:tc>
          <w:tcPr>
            <w:tcW w:w="3700" w:type="dxa"/>
            <w:vAlign w:val="bottom"/>
            <w:tcBorders>
              <w:top w:val="single" w:sz="8" w:color="0000EE"/>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4"/>
                <w:szCs w:val="14"/>
                <w:color w:val="auto"/>
              </w:rPr>
              <w:t>10.9*†</w:t>
            </w:r>
          </w:p>
        </w:tc>
        <w:tc>
          <w:tcPr>
            <w:tcW w:w="5200" w:type="dxa"/>
            <w:vAlign w:val="bottom"/>
            <w:gridSpan w:val="18"/>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Harmony Biosciences Holdings, Inc. Non-Employee Director Compensation</w:t>
              </w:r>
            </w:hyperlink>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600" w:type="dxa"/>
            <w:vAlign w:val="bottom"/>
            <w:tcBorders>
              <w:top w:val="single" w:sz="8" w:color="0000EE"/>
              <w:bottom w:val="single" w:sz="8" w:color="0000EE"/>
            </w:tcBorders>
          </w:tcPr>
          <w:p>
            <w:pPr>
              <w:spacing w:after="0" w:line="142" w:lineRule="exact"/>
              <w:rPr>
                <w:rFonts w:ascii="Arial" w:cs="Arial" w:eastAsia="Arial" w:hAnsi="Arial"/>
                <w:sz w:val="14"/>
                <w:szCs w:val="14"/>
                <w:color w:val="0000EE"/>
              </w:rPr>
            </w:pPr>
            <w:hyperlink w:anchor="page82">
              <w:r>
                <w:rPr>
                  <w:rFonts w:ascii="Arial" w:cs="Arial" w:eastAsia="Arial" w:hAnsi="Arial"/>
                  <w:sz w:val="14"/>
                  <w:szCs w:val="14"/>
                  <w:color w:val="0000EE"/>
                </w:rPr>
                <w:t>Program.</w:t>
              </w:r>
            </w:hyperlink>
          </w:p>
        </w:tc>
        <w:tc>
          <w:tcPr>
            <w:tcW w:w="4220" w:type="dxa"/>
            <w:vAlign w:val="bottom"/>
            <w:tcBorders>
              <w:top w:val="single" w:sz="8" w:color="0000EE"/>
            </w:tcBorders>
            <w:gridSpan w:val="10"/>
          </w:tcPr>
          <w:p>
            <w:pPr>
              <w:spacing w:after="0"/>
              <w:rPr>
                <w:sz w:val="12"/>
                <w:szCs w:val="12"/>
                <w:color w:val="auto"/>
              </w:rPr>
            </w:pPr>
          </w:p>
        </w:tc>
        <w:tc>
          <w:tcPr>
            <w:tcW w:w="340" w:type="dxa"/>
            <w:vAlign w:val="bottom"/>
            <w:gridSpan w:val="6"/>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4"/>
                <w:szCs w:val="14"/>
                <w:color w:val="auto"/>
              </w:rPr>
              <w:t>31.1*</w:t>
            </w:r>
          </w:p>
        </w:tc>
        <w:tc>
          <w:tcPr>
            <w:tcW w:w="5200" w:type="dxa"/>
            <w:vAlign w:val="bottom"/>
            <w:gridSpan w:val="18"/>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Certification pursuant to 18 U.S.C. Section 1350, as adopted pursuant to Section</w:t>
              </w:r>
            </w:hyperlink>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2540" w:type="dxa"/>
            <w:vAlign w:val="bottom"/>
            <w:tcBorders>
              <w:top w:val="single" w:sz="8" w:color="0000EE"/>
              <w:bottom w:val="single" w:sz="8" w:color="0000EE"/>
            </w:tcBorders>
            <w:gridSpan w:val="8"/>
          </w:tcPr>
          <w:p>
            <w:pPr>
              <w:spacing w:after="0" w:line="142" w:lineRule="exact"/>
              <w:rPr>
                <w:rFonts w:ascii="Arial" w:cs="Arial" w:eastAsia="Arial" w:hAnsi="Arial"/>
                <w:sz w:val="14"/>
                <w:szCs w:val="14"/>
                <w:color w:val="0000EE"/>
              </w:rPr>
            </w:pPr>
            <w:hyperlink w:anchor="page85">
              <w:r>
                <w:rPr>
                  <w:rFonts w:ascii="Arial" w:cs="Arial" w:eastAsia="Arial" w:hAnsi="Arial"/>
                  <w:sz w:val="14"/>
                  <w:szCs w:val="14"/>
                  <w:color w:val="0000EE"/>
                </w:rPr>
                <w:t>302 of the Sarbanes-Oxley Act of 2002.</w:t>
              </w:r>
            </w:hyperlink>
          </w:p>
        </w:tc>
        <w:tc>
          <w:tcPr>
            <w:tcW w:w="2620" w:type="dxa"/>
            <w:vAlign w:val="bottom"/>
            <w:tcBorders>
              <w:top w:val="single" w:sz="8" w:color="0000EE"/>
            </w:tcBorders>
            <w:gridSpan w:val="9"/>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4"/>
                <w:szCs w:val="14"/>
                <w:color w:val="auto"/>
              </w:rPr>
              <w:t>31.2*</w:t>
            </w:r>
          </w:p>
        </w:tc>
        <w:tc>
          <w:tcPr>
            <w:tcW w:w="5200" w:type="dxa"/>
            <w:vAlign w:val="bottom"/>
            <w:gridSpan w:val="18"/>
          </w:tcPr>
          <w:p>
            <w:pPr>
              <w:spacing w:after="0"/>
              <w:rPr>
                <w:rFonts w:ascii="Arial" w:cs="Arial" w:eastAsia="Arial" w:hAnsi="Arial"/>
                <w:sz w:val="14"/>
                <w:szCs w:val="14"/>
                <w:color w:val="0000EE"/>
              </w:rPr>
            </w:pPr>
            <w:hyperlink w:anchor="page86">
              <w:r>
                <w:rPr>
                  <w:rFonts w:ascii="Arial" w:cs="Arial" w:eastAsia="Arial" w:hAnsi="Arial"/>
                  <w:sz w:val="14"/>
                  <w:szCs w:val="14"/>
                  <w:color w:val="0000EE"/>
                </w:rPr>
                <w:t>Certification pursuant to 18 U.S.C. Section 1350, as adopted pursuant to Section</w:t>
              </w:r>
            </w:hyperlink>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2540" w:type="dxa"/>
            <w:vAlign w:val="bottom"/>
            <w:tcBorders>
              <w:top w:val="single" w:sz="8" w:color="0000EE"/>
              <w:bottom w:val="single" w:sz="8" w:color="0000EE"/>
            </w:tcBorders>
            <w:gridSpan w:val="8"/>
          </w:tcPr>
          <w:p>
            <w:pPr>
              <w:spacing w:after="0" w:line="142" w:lineRule="exact"/>
              <w:rPr>
                <w:rFonts w:ascii="Arial" w:cs="Arial" w:eastAsia="Arial" w:hAnsi="Arial"/>
                <w:sz w:val="14"/>
                <w:szCs w:val="14"/>
                <w:color w:val="0000EE"/>
              </w:rPr>
            </w:pPr>
            <w:hyperlink w:anchor="page86">
              <w:r>
                <w:rPr>
                  <w:rFonts w:ascii="Arial" w:cs="Arial" w:eastAsia="Arial" w:hAnsi="Arial"/>
                  <w:sz w:val="14"/>
                  <w:szCs w:val="14"/>
                  <w:color w:val="0000EE"/>
                </w:rPr>
                <w:t>302 of the Sarbanes-Oxley Act of 2002.</w:t>
              </w:r>
            </w:hyperlink>
          </w:p>
        </w:tc>
        <w:tc>
          <w:tcPr>
            <w:tcW w:w="2620" w:type="dxa"/>
            <w:vAlign w:val="bottom"/>
            <w:tcBorders>
              <w:top w:val="single" w:sz="8" w:color="0000EE"/>
            </w:tcBorders>
            <w:gridSpan w:val="9"/>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0"/>
        </w:trPr>
        <w:tc>
          <w:tcPr>
            <w:tcW w:w="1080" w:type="dxa"/>
            <w:vAlign w:val="bottom"/>
          </w:tcPr>
          <w:p>
            <w:pPr>
              <w:spacing w:after="0"/>
              <w:rPr>
                <w:sz w:val="20"/>
                <w:szCs w:val="20"/>
                <w:color w:val="auto"/>
              </w:rPr>
            </w:pPr>
            <w:r>
              <w:rPr>
                <w:rFonts w:ascii="Arial" w:cs="Arial" w:eastAsia="Arial" w:hAnsi="Arial"/>
                <w:sz w:val="14"/>
                <w:szCs w:val="14"/>
                <w:color w:val="auto"/>
              </w:rPr>
              <w:t>32.1</w:t>
            </w:r>
            <w:r>
              <w:rPr>
                <w:rFonts w:ascii="Arial" w:cs="Arial" w:eastAsia="Arial" w:hAnsi="Arial"/>
                <w:sz w:val="14"/>
                <w:szCs w:val="14"/>
                <w:b w:val="1"/>
                <w:bCs w:val="1"/>
                <w:color w:val="auto"/>
              </w:rPr>
              <w:t>‡</w:t>
            </w:r>
          </w:p>
        </w:tc>
        <w:tc>
          <w:tcPr>
            <w:tcW w:w="5200" w:type="dxa"/>
            <w:vAlign w:val="bottom"/>
            <w:gridSpan w:val="18"/>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Certification pursuant to 18 U.S.C. Section 1350, as adopted pursuant to Section</w:t>
              </w:r>
            </w:hyperlink>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2540" w:type="dxa"/>
            <w:vAlign w:val="bottom"/>
            <w:tcBorders>
              <w:top w:val="single" w:sz="8" w:color="0000EE"/>
              <w:bottom w:val="single" w:sz="8" w:color="0000EE"/>
            </w:tcBorders>
            <w:gridSpan w:val="8"/>
          </w:tcPr>
          <w:p>
            <w:pPr>
              <w:spacing w:after="0" w:line="142" w:lineRule="exact"/>
              <w:rPr>
                <w:rFonts w:ascii="Arial" w:cs="Arial" w:eastAsia="Arial" w:hAnsi="Arial"/>
                <w:sz w:val="14"/>
                <w:szCs w:val="14"/>
                <w:color w:val="0000EE"/>
              </w:rPr>
            </w:pPr>
            <w:hyperlink w:anchor="page87">
              <w:r>
                <w:rPr>
                  <w:rFonts w:ascii="Arial" w:cs="Arial" w:eastAsia="Arial" w:hAnsi="Arial"/>
                  <w:sz w:val="14"/>
                  <w:szCs w:val="14"/>
                  <w:color w:val="0000EE"/>
                </w:rPr>
                <w:t>906 of the Sarbanes-Oxley Act of 2002.</w:t>
              </w:r>
            </w:hyperlink>
          </w:p>
        </w:tc>
        <w:tc>
          <w:tcPr>
            <w:tcW w:w="2620" w:type="dxa"/>
            <w:vAlign w:val="bottom"/>
            <w:tcBorders>
              <w:top w:val="single" w:sz="8" w:color="0000EE"/>
            </w:tcBorders>
            <w:gridSpan w:val="9"/>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91"/>
        </w:trPr>
        <w:tc>
          <w:tcPr>
            <w:tcW w:w="1080" w:type="dxa"/>
            <w:vAlign w:val="bottom"/>
          </w:tcPr>
          <w:p>
            <w:pPr>
              <w:spacing w:after="0"/>
              <w:rPr>
                <w:sz w:val="20"/>
                <w:szCs w:val="20"/>
                <w:color w:val="auto"/>
              </w:rPr>
            </w:pPr>
            <w:r>
              <w:rPr>
                <w:rFonts w:ascii="Arial" w:cs="Arial" w:eastAsia="Arial" w:hAnsi="Arial"/>
                <w:sz w:val="14"/>
                <w:szCs w:val="14"/>
                <w:color w:val="auto"/>
              </w:rPr>
              <w:t>32.2</w:t>
            </w:r>
            <w:r>
              <w:rPr>
                <w:rFonts w:ascii="Arial" w:cs="Arial" w:eastAsia="Arial" w:hAnsi="Arial"/>
                <w:sz w:val="14"/>
                <w:szCs w:val="14"/>
                <w:b w:val="1"/>
                <w:bCs w:val="1"/>
                <w:color w:val="auto"/>
              </w:rPr>
              <w:t>‡</w:t>
            </w:r>
          </w:p>
        </w:tc>
        <w:tc>
          <w:tcPr>
            <w:tcW w:w="5200" w:type="dxa"/>
            <w:vAlign w:val="bottom"/>
            <w:gridSpan w:val="18"/>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Certification pursuant to 18 U.S.C. Section 1350, as adopted pursuant to Section</w:t>
              </w:r>
            </w:hyperlink>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5160" w:type="dxa"/>
            <w:vAlign w:val="bottom"/>
            <w:tcBorders>
              <w:top w:val="single" w:sz="8" w:color="0000EE"/>
            </w:tcBorders>
            <w:gridSpan w:val="17"/>
          </w:tcPr>
          <w:p>
            <w:pPr>
              <w:spacing w:after="0" w:line="142" w:lineRule="exact"/>
              <w:rPr>
                <w:rFonts w:ascii="Arial" w:cs="Arial" w:eastAsia="Arial" w:hAnsi="Arial"/>
                <w:sz w:val="14"/>
                <w:szCs w:val="14"/>
                <w:color w:val="0000EE"/>
              </w:rPr>
            </w:pPr>
            <w:hyperlink w:anchor="page88">
              <w:r>
                <w:rPr>
                  <w:rFonts w:ascii="Arial" w:cs="Arial" w:eastAsia="Arial" w:hAnsi="Arial"/>
                  <w:sz w:val="14"/>
                  <w:szCs w:val="14"/>
                  <w:color w:val="0000EE"/>
                </w:rPr>
                <w:t>906 of the Sarbanes-Oxley Act of 2002.</w:t>
              </w:r>
            </w:hyperlink>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23"/>
        </w:trPr>
        <w:tc>
          <w:tcPr>
            <w:tcW w:w="1080" w:type="dxa"/>
            <w:vAlign w:val="bottom"/>
          </w:tcPr>
          <w:p>
            <w:pPr>
              <w:spacing w:after="0"/>
              <w:rPr>
                <w:sz w:val="20"/>
                <w:szCs w:val="20"/>
                <w:color w:val="auto"/>
              </w:rPr>
            </w:pPr>
            <w:r>
              <w:rPr>
                <w:rFonts w:ascii="Arial" w:cs="Arial" w:eastAsia="Arial" w:hAnsi="Arial"/>
                <w:sz w:val="14"/>
                <w:szCs w:val="14"/>
                <w:color w:val="auto"/>
              </w:rPr>
              <w:t>101.INS*</w:t>
            </w:r>
          </w:p>
        </w:tc>
        <w:tc>
          <w:tcPr>
            <w:tcW w:w="252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auto"/>
              </w:rPr>
              <w:t>XBRL Instance Document</w:t>
            </w:r>
          </w:p>
        </w:tc>
        <w:tc>
          <w:tcPr>
            <w:tcW w:w="2680" w:type="dxa"/>
            <w:vAlign w:val="bottom"/>
            <w:gridSpan w:val="11"/>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4"/>
                <w:szCs w:val="14"/>
                <w:color w:val="auto"/>
              </w:rPr>
              <w:t>101.SCH*</w:t>
            </w:r>
          </w:p>
        </w:tc>
        <w:tc>
          <w:tcPr>
            <w:tcW w:w="5200" w:type="dxa"/>
            <w:vAlign w:val="bottom"/>
            <w:gridSpan w:val="18"/>
          </w:tcPr>
          <w:p>
            <w:pPr>
              <w:spacing w:after="0"/>
              <w:rPr>
                <w:sz w:val="20"/>
                <w:szCs w:val="20"/>
                <w:color w:val="auto"/>
              </w:rPr>
            </w:pPr>
            <w:r>
              <w:rPr>
                <w:rFonts w:ascii="Arial" w:cs="Arial" w:eastAsia="Arial" w:hAnsi="Arial"/>
                <w:sz w:val="14"/>
                <w:szCs w:val="14"/>
                <w:color w:val="auto"/>
              </w:rPr>
              <w:t>XBRL Taxonomy Extension Schema Document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4"/>
                <w:szCs w:val="14"/>
                <w:color w:val="auto"/>
              </w:rPr>
              <w:t>101.CAL*</w:t>
            </w:r>
          </w:p>
        </w:tc>
        <w:tc>
          <w:tcPr>
            <w:tcW w:w="5200" w:type="dxa"/>
            <w:vAlign w:val="bottom"/>
            <w:gridSpan w:val="18"/>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1"/>
        </w:trPr>
        <w:tc>
          <w:tcPr>
            <w:tcW w:w="1080" w:type="dxa"/>
            <w:vAlign w:val="bottom"/>
          </w:tcPr>
          <w:p>
            <w:pPr>
              <w:spacing w:after="0"/>
              <w:rPr>
                <w:sz w:val="20"/>
                <w:szCs w:val="20"/>
                <w:color w:val="auto"/>
              </w:rPr>
            </w:pPr>
            <w:r>
              <w:rPr>
                <w:rFonts w:ascii="Arial" w:cs="Arial" w:eastAsia="Arial" w:hAnsi="Arial"/>
                <w:sz w:val="14"/>
                <w:szCs w:val="14"/>
                <w:color w:val="auto"/>
              </w:rPr>
              <w:t>101.LAB*</w:t>
            </w:r>
          </w:p>
        </w:tc>
        <w:tc>
          <w:tcPr>
            <w:tcW w:w="5200" w:type="dxa"/>
            <w:vAlign w:val="bottom"/>
            <w:gridSpan w:val="18"/>
          </w:tcPr>
          <w:p>
            <w:pPr>
              <w:spacing w:after="0"/>
              <w:rPr>
                <w:sz w:val="20"/>
                <w:szCs w:val="20"/>
                <w:color w:val="auto"/>
              </w:rPr>
            </w:pPr>
            <w:r>
              <w:rPr>
                <w:rFonts w:ascii="Arial" w:cs="Arial" w:eastAsia="Arial" w:hAnsi="Arial"/>
                <w:sz w:val="14"/>
                <w:szCs w:val="14"/>
                <w:color w:val="auto"/>
              </w:rPr>
              <w:t>XBRL Taxonomy Extension Label Linkbase Document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4"/>
                <w:szCs w:val="14"/>
                <w:color w:val="auto"/>
              </w:rPr>
              <w:t>101.PRE*</w:t>
            </w:r>
          </w:p>
        </w:tc>
        <w:tc>
          <w:tcPr>
            <w:tcW w:w="5200" w:type="dxa"/>
            <w:vAlign w:val="bottom"/>
            <w:gridSpan w:val="18"/>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0"/>
        </w:trPr>
        <w:tc>
          <w:tcPr>
            <w:tcW w:w="1080" w:type="dxa"/>
            <w:vAlign w:val="bottom"/>
          </w:tcPr>
          <w:p>
            <w:pPr>
              <w:spacing w:after="0"/>
              <w:rPr>
                <w:sz w:val="20"/>
                <w:szCs w:val="20"/>
                <w:color w:val="auto"/>
              </w:rPr>
            </w:pPr>
            <w:r>
              <w:rPr>
                <w:rFonts w:ascii="Arial" w:cs="Arial" w:eastAsia="Arial" w:hAnsi="Arial"/>
                <w:sz w:val="14"/>
                <w:szCs w:val="14"/>
                <w:color w:val="auto"/>
              </w:rPr>
              <w:t>101.DEF*</w:t>
            </w:r>
          </w:p>
        </w:tc>
        <w:tc>
          <w:tcPr>
            <w:tcW w:w="5200" w:type="dxa"/>
            <w:vAlign w:val="bottom"/>
            <w:gridSpan w:val="18"/>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Filed herewith.</w:t>
      </w:r>
    </w:p>
    <w:p>
      <w:pPr>
        <w:spacing w:after="0" w:line="1"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Furnished herewith.</w:t>
      </w:r>
    </w:p>
    <w:p>
      <w:pPr>
        <w:spacing w:after="0" w:line="1"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Indicates a management contract or compensatory plan or arrangement.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22" w:lineRule="exact"/>
        <w:rPr>
          <w:sz w:val="20"/>
          <w:szCs w:val="20"/>
          <w:color w:val="auto"/>
        </w:rPr>
      </w:pPr>
    </w:p>
    <w:p>
      <w:pPr>
        <w:ind w:right="220" w:firstLine="637"/>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HARMONY BIOSCIENCES HOLDINGS, INC.</w:t>
      </w:r>
    </w:p>
    <w:p>
      <w:pPr>
        <w:spacing w:after="0" w:line="212"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11430</wp:posOffset>
            </wp:positionV>
            <wp:extent cx="2468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John C. Jacobs</w:t>
      </w:r>
    </w:p>
    <w:p>
      <w:pPr>
        <w:ind w:left="6760"/>
        <w:spacing w:after="0"/>
        <w:tabs>
          <w:tab w:leader="none" w:pos="7340" w:val="left"/>
        </w:tabs>
        <w:rPr>
          <w:sz w:val="20"/>
          <w:szCs w:val="20"/>
          <w:color w:val="auto"/>
        </w:rPr>
      </w:pPr>
      <w:r>
        <w:rPr>
          <w:rFonts w:ascii="Arial" w:cs="Arial" w:eastAsia="Arial" w:hAnsi="Arial"/>
          <w:sz w:val="18"/>
          <w:szCs w:val="18"/>
          <w:color w:val="auto"/>
        </w:rPr>
        <w:t>Title:</w:t>
        <w:tab/>
        <w:t>President, Chief Executive Officer and Director</w:t>
      </w:r>
    </w:p>
    <w:p>
      <w:pPr>
        <w:ind w:left="7360"/>
        <w:spacing w:after="0" w:line="234" w:lineRule="auto"/>
        <w:rPr>
          <w:sz w:val="20"/>
          <w:szCs w:val="20"/>
          <w:color w:val="auto"/>
        </w:rPr>
      </w:pPr>
      <w:r>
        <w:rPr>
          <w:rFonts w:ascii="Arial" w:cs="Arial" w:eastAsia="Arial" w:hAnsi="Arial"/>
          <w:sz w:val="18"/>
          <w:szCs w:val="18"/>
          <w:color w:val="auto"/>
        </w:rPr>
        <w:t>(principal executive officer)</w:t>
      </w:r>
    </w:p>
    <w:p>
      <w:pPr>
        <w:spacing w:after="0" w:line="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12,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L.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11430</wp:posOffset>
            </wp:positionV>
            <wp:extent cx="24688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Susan L. Drexler</w:t>
      </w:r>
    </w:p>
    <w:p>
      <w:pPr>
        <w:jc w:val="both"/>
        <w:ind w:left="6760"/>
        <w:spacing w:after="0" w:line="234" w:lineRule="auto"/>
        <w:tabs>
          <w:tab w:leader="none" w:pos="734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November 12, 2020</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317" w:right="3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29" w:lineRule="exact"/>
        <w:rPr>
          <w:sz w:val="20"/>
          <w:szCs w:val="20"/>
          <w:color w:val="auto"/>
        </w:rPr>
      </w:pPr>
    </w:p>
    <w:p>
      <w:pPr>
        <w:jc w:val="both"/>
        <w:ind w:firstLine="864"/>
        <w:spacing w:after="0" w:line="245"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Harmony Biosciences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affiliates or subsidiaries, and who is determined by the Board to be eligible to receive compensation under this Program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w:t>
      </w:r>
    </w:p>
    <w:p>
      <w:pPr>
        <w:spacing w:after="0" w:line="183"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0"/>
          <w:szCs w:val="20"/>
          <w:color w:val="auto"/>
        </w:rPr>
        <w:t>This Program shall become effective upon the closing of the initial public offering of the Company’s common stock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80" w:lineRule="exact"/>
        <w:rPr>
          <w:sz w:val="20"/>
          <w:szCs w:val="20"/>
          <w:color w:val="auto"/>
        </w:rPr>
      </w:pPr>
    </w:p>
    <w:p>
      <w:pPr>
        <w:ind w:left="1660" w:hanging="788"/>
        <w:spacing w:after="0"/>
        <w:tabs>
          <w:tab w:leader="none" w:pos="1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480" w:hanging="793"/>
        <w:spacing w:after="0"/>
        <w:tabs>
          <w:tab w:leader="none" w:pos="24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Eligible Director shall be eligible to receive an annual cash retainer of $45,000 for</w:t>
      </w:r>
    </w:p>
    <w:p>
      <w:pPr>
        <w:spacing w:after="0" w:line="21"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on the Board.</w:t>
      </w:r>
    </w:p>
    <w:p>
      <w:pPr>
        <w:spacing w:after="0" w:line="193" w:lineRule="exact"/>
        <w:rPr>
          <w:rFonts w:ascii="Times New Roman" w:cs="Times New Roman" w:eastAsia="Times New Roman" w:hAnsi="Times New Roman"/>
          <w:sz w:val="20"/>
          <w:szCs w:val="20"/>
          <w:color w:val="auto"/>
        </w:rPr>
      </w:pPr>
    </w:p>
    <w:p>
      <w:pPr>
        <w:ind w:left="2480" w:hanging="793"/>
        <w:spacing w:after="0"/>
        <w:tabs>
          <w:tab w:leader="none" w:pos="24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An Eligible Director shall be eligible to receive the following additional annual</w:t>
      </w:r>
    </w:p>
    <w:p>
      <w:pPr>
        <w:spacing w:after="0" w:line="21"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retainers, as applicable:</w:t>
      </w:r>
    </w:p>
    <w:p>
      <w:pPr>
        <w:spacing w:after="0" w:line="193" w:lineRule="exact"/>
        <w:rPr>
          <w:rFonts w:ascii="Times New Roman" w:cs="Times New Roman" w:eastAsia="Times New Roman" w:hAnsi="Times New Roman"/>
          <w:sz w:val="20"/>
          <w:szCs w:val="20"/>
          <w:color w:val="auto"/>
        </w:rPr>
      </w:pPr>
    </w:p>
    <w:p>
      <w:pPr>
        <w:ind w:left="440" w:firstLine="2077"/>
        <w:spacing w:after="0" w:line="269" w:lineRule="auto"/>
        <w:tabs>
          <w:tab w:leader="none" w:pos="3351"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An Eligible Director serving as Non-Executive Chairman of the Board shall be eligible to receive an additional annual retainer of $40,000 for such service.</w:t>
      </w:r>
    </w:p>
    <w:p>
      <w:pPr>
        <w:spacing w:after="0" w:line="159" w:lineRule="exact"/>
        <w:rPr>
          <w:rFonts w:ascii="Times New Roman" w:cs="Times New Roman" w:eastAsia="Times New Roman" w:hAnsi="Times New Roman"/>
          <w:sz w:val="20"/>
          <w:szCs w:val="20"/>
          <w:color w:val="auto"/>
        </w:rPr>
      </w:pPr>
    </w:p>
    <w:p>
      <w:pPr>
        <w:jc w:val="both"/>
        <w:ind w:left="440" w:firstLine="2077"/>
        <w:spacing w:after="0" w:line="254" w:lineRule="auto"/>
        <w:tabs>
          <w:tab w:leader="none" w:pos="3406"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An Eligible Director serving as Chairperson of the Audit Committee shall be eligible to receive an additional annual retainer of $20,000 for such service. An Eligible Director serving as a member of the Audit Committee (other than the Chairperson) shall be eligible to receive an additional annual retainer of $10,000 for such service.</w:t>
      </w:r>
    </w:p>
    <w:p>
      <w:pPr>
        <w:spacing w:after="0" w:line="174" w:lineRule="exact"/>
        <w:rPr>
          <w:rFonts w:ascii="Times New Roman" w:cs="Times New Roman" w:eastAsia="Times New Roman" w:hAnsi="Times New Roman"/>
          <w:sz w:val="20"/>
          <w:szCs w:val="20"/>
          <w:color w:val="auto"/>
        </w:rPr>
      </w:pPr>
    </w:p>
    <w:p>
      <w:pPr>
        <w:jc w:val="both"/>
        <w:ind w:left="440" w:firstLine="2077"/>
        <w:spacing w:after="0" w:line="249" w:lineRule="auto"/>
        <w:tabs>
          <w:tab w:leader="none" w:pos="3461"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$8,000 for such service.</w:t>
      </w:r>
    </w:p>
    <w:p>
      <w:pPr>
        <w:spacing w:after="0" w:line="179" w:lineRule="exact"/>
        <w:rPr>
          <w:rFonts w:ascii="Times New Roman" w:cs="Times New Roman" w:eastAsia="Times New Roman" w:hAnsi="Times New Roman"/>
          <w:sz w:val="20"/>
          <w:szCs w:val="20"/>
          <w:color w:val="auto"/>
        </w:rPr>
      </w:pPr>
    </w:p>
    <w:p>
      <w:pPr>
        <w:jc w:val="both"/>
        <w:ind w:left="440" w:firstLine="2077"/>
        <w:spacing w:after="0" w:line="249" w:lineRule="auto"/>
        <w:tabs>
          <w:tab w:leader="none" w:pos="3500"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p>
      <w:pPr>
        <w:jc w:val="both"/>
        <w:ind w:firstLine="1247"/>
        <w:spacing w:after="0" w:line="246" w:lineRule="auto"/>
        <w:tabs>
          <w:tab w:leader="none" w:pos="203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184" w:lineRule="exact"/>
        <w:rPr>
          <w:rFonts w:ascii="Times New Roman" w:cs="Times New Roman" w:eastAsia="Times New Roman" w:hAnsi="Times New Roman"/>
          <w:sz w:val="20"/>
          <w:szCs w:val="20"/>
          <w:color w:val="auto"/>
        </w:rPr>
      </w:pPr>
    </w:p>
    <w:p>
      <w:pPr>
        <w:ind w:left="1220" w:hanging="788"/>
        <w:spacing w:after="0"/>
        <w:tabs>
          <w:tab w:leader="none" w:pos="1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247"/>
        <w:spacing w:after="0" w:line="244" w:lineRule="auto"/>
        <w:tabs>
          <w:tab w:leader="none" w:pos="203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85" w:lineRule="exact"/>
        <w:rPr>
          <w:rFonts w:ascii="Times New Roman" w:cs="Times New Roman" w:eastAsia="Times New Roman" w:hAnsi="Times New Roman"/>
          <w:sz w:val="20"/>
          <w:szCs w:val="20"/>
          <w:color w:val="auto"/>
        </w:rPr>
      </w:pPr>
    </w:p>
    <w:p>
      <w:pPr>
        <w:ind w:left="2040" w:hanging="793"/>
        <w:spacing w:after="0"/>
        <w:tabs>
          <w:tab w:leader="none" w:pos="2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firstLine="726"/>
        <w:spacing w:after="0" w:line="269" w:lineRule="auto"/>
        <w:tabs>
          <w:tab w:leader="none" w:pos="2783"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Eligible Director who is initially elected or appointed to serve on the Board after the Effective Date automatically shall be granted an Option with a value as set forth below (the “</w:t>
      </w:r>
      <w:r>
        <w:rPr>
          <w:rFonts w:ascii="Times New Roman" w:cs="Times New Roman" w:eastAsia="Times New Roman" w:hAnsi="Times New Roman"/>
          <w:sz w:val="20"/>
          <w:szCs w:val="20"/>
          <w:b w:val="1"/>
          <w:bCs w:val="1"/>
          <w:i w:val="1"/>
          <w:iCs w:val="1"/>
          <w:color w:val="auto"/>
        </w:rPr>
        <w:t>Initial Equity Award</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600" w:hanging="805"/>
        <w:spacing w:after="0"/>
        <w:tabs>
          <w:tab w:leader="none" w:pos="3600" w:val="left"/>
        </w:tabs>
        <w:numPr>
          <w:ilvl w:val="3"/>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serving as Chairperson of the Audit Committee: $230,000.</w:t>
      </w:r>
    </w:p>
    <w:p>
      <w:pPr>
        <w:spacing w:after="0" w:line="215" w:lineRule="exact"/>
        <w:rPr>
          <w:rFonts w:ascii="Times New Roman" w:cs="Times New Roman" w:eastAsia="Times New Roman" w:hAnsi="Times New Roman"/>
          <w:sz w:val="20"/>
          <w:szCs w:val="20"/>
          <w:color w:val="auto"/>
        </w:rPr>
      </w:pPr>
    </w:p>
    <w:p>
      <w:pPr>
        <w:ind w:left="3600" w:hanging="805"/>
        <w:spacing w:after="0"/>
        <w:tabs>
          <w:tab w:leader="none" w:pos="3600" w:val="left"/>
        </w:tabs>
        <w:numPr>
          <w:ilvl w:val="3"/>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serving as Chairperson of the Compensation Committee: $175,000.</w:t>
      </w:r>
    </w:p>
    <w:p>
      <w:pPr>
        <w:spacing w:after="0" w:line="215" w:lineRule="exact"/>
        <w:rPr>
          <w:rFonts w:ascii="Times New Roman" w:cs="Times New Roman" w:eastAsia="Times New Roman" w:hAnsi="Times New Roman"/>
          <w:sz w:val="20"/>
          <w:szCs w:val="20"/>
          <w:color w:val="auto"/>
        </w:rPr>
      </w:pPr>
    </w:p>
    <w:p>
      <w:pPr>
        <w:ind w:left="1940" w:right="20" w:firstLine="855"/>
        <w:spacing w:after="0" w:line="269" w:lineRule="auto"/>
        <w:tabs>
          <w:tab w:leader="none" w:pos="3588" w:val="left"/>
        </w:tabs>
        <w:numPr>
          <w:ilvl w:val="3"/>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(other than a Chairperson of the Audit Committee, Chairperson of the Compensation Committee or the Non-Executive Chairman of the Board): $125,000.</w:t>
      </w:r>
    </w:p>
    <w:p>
      <w:pPr>
        <w:spacing w:after="0" w:line="159" w:lineRule="exact"/>
        <w:rPr>
          <w:rFonts w:ascii="Times New Roman" w:cs="Times New Roman" w:eastAsia="Times New Roman" w:hAnsi="Times New Roman"/>
          <w:sz w:val="20"/>
          <w:szCs w:val="20"/>
          <w:color w:val="auto"/>
        </w:rPr>
      </w:pPr>
    </w:p>
    <w:p>
      <w:pPr>
        <w:jc w:val="both"/>
        <w:ind w:left="1300" w:firstLine="726"/>
        <w:spacing w:after="0" w:line="246" w:lineRule="auto"/>
        <w:tabs>
          <w:tab w:leader="none" w:pos="2838"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Equity Award shall be granted on the date on which such Eligible Director is appointed or elected to serve on the Board, and shall vest and become exercisable as to 1/36th of the Shares underlying the Option on each monthly anniversary of the grant date, subject to such Eligible Director’s continued service through the applicable vesting date, such that the Option is fully vested and exercisable on the third anniversary of the grant date, subject to such Eligible Director’s continued service through the applicable vesting date.</w:t>
      </w:r>
    </w:p>
    <w:p>
      <w:pPr>
        <w:spacing w:after="0" w:line="184" w:lineRule="exact"/>
        <w:rPr>
          <w:rFonts w:ascii="Times New Roman" w:cs="Times New Roman" w:eastAsia="Times New Roman" w:hAnsi="Times New Roman"/>
          <w:sz w:val="20"/>
          <w:szCs w:val="20"/>
          <w:color w:val="auto"/>
        </w:rPr>
      </w:pPr>
    </w:p>
    <w:p>
      <w:pPr>
        <w:ind w:left="2040" w:hanging="793"/>
        <w:spacing w:after="0"/>
        <w:tabs>
          <w:tab w:leader="none" w:pos="204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300" w:firstLine="726"/>
        <w:spacing w:after="0" w:line="249" w:lineRule="auto"/>
        <w:tabs>
          <w:tab w:leader="none" w:pos="2783"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who is serving on the Board as of the date of the annual meeting of the Company’s stockholders (the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each calendar year beginning with calendar year 2021 shall be granted an Option with a value as set forth below (an “</w:t>
      </w:r>
      <w:r>
        <w:rPr>
          <w:rFonts w:ascii="Times New Roman" w:cs="Times New Roman" w:eastAsia="Times New Roman" w:hAnsi="Times New Roman"/>
          <w:sz w:val="20"/>
          <w:szCs w:val="20"/>
          <w:b w:val="1"/>
          <w:bCs w:val="1"/>
          <w:i w:val="1"/>
          <w:iCs w:val="1"/>
          <w:color w:val="auto"/>
        </w:rPr>
        <w:t>Annual Award</w:t>
      </w:r>
      <w:r>
        <w:rPr>
          <w:rFonts w:ascii="Times New Roman" w:cs="Times New Roman" w:eastAsia="Times New Roman" w:hAnsi="Times New Roman"/>
          <w:sz w:val="20"/>
          <w:szCs w:val="20"/>
          <w:color w:val="auto"/>
        </w:rPr>
        <w:t>” and together with the Initial Equity Award, the “</w:t>
      </w:r>
      <w:r>
        <w:rPr>
          <w:rFonts w:ascii="Times New Roman" w:cs="Times New Roman" w:eastAsia="Times New Roman" w:hAnsi="Times New Roman"/>
          <w:sz w:val="20"/>
          <w:szCs w:val="20"/>
          <w:b w:val="1"/>
          <w:bCs w:val="1"/>
          <w:i w:val="1"/>
          <w:iCs w:val="1"/>
          <w:color w:val="auto"/>
        </w:rPr>
        <w:t>Director Equity Awards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173990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333" w:right="339" w:bottom="1440" w:gutter="0" w:footer="0" w:header="0"/>
        </w:sectPr>
      </w:pPr>
    </w:p>
    <w:bookmarkStart w:id="83" w:name="page84"/>
    <w:bookmarkEnd w:id="83"/>
    <w:p>
      <w:pPr>
        <w:ind w:left="4040" w:hanging="805"/>
        <w:spacing w:after="0"/>
        <w:tabs>
          <w:tab w:leader="none" w:pos="404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serving as Chairperson of the Audit Committee: $230,000.</w:t>
      </w:r>
    </w:p>
    <w:p>
      <w:pPr>
        <w:spacing w:after="0" w:line="215" w:lineRule="exact"/>
        <w:rPr>
          <w:rFonts w:ascii="Times New Roman" w:cs="Times New Roman" w:eastAsia="Times New Roman" w:hAnsi="Times New Roman"/>
          <w:sz w:val="20"/>
          <w:szCs w:val="20"/>
          <w:color w:val="auto"/>
        </w:rPr>
      </w:pPr>
    </w:p>
    <w:p>
      <w:pPr>
        <w:ind w:left="4040" w:hanging="805"/>
        <w:spacing w:after="0"/>
        <w:tabs>
          <w:tab w:leader="none" w:pos="404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serving as Chairperson of the Compensation Committee: $175,000.</w:t>
      </w:r>
    </w:p>
    <w:p>
      <w:pPr>
        <w:spacing w:after="0" w:line="215" w:lineRule="exact"/>
        <w:rPr>
          <w:rFonts w:ascii="Times New Roman" w:cs="Times New Roman" w:eastAsia="Times New Roman" w:hAnsi="Times New Roman"/>
          <w:sz w:val="20"/>
          <w:szCs w:val="20"/>
          <w:color w:val="auto"/>
        </w:rPr>
      </w:pPr>
    </w:p>
    <w:p>
      <w:pPr>
        <w:ind w:left="2380" w:right="20" w:firstLine="855"/>
        <w:spacing w:after="0" w:line="269" w:lineRule="auto"/>
        <w:tabs>
          <w:tab w:leader="none" w:pos="4028"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Eligible Director (other than a Chairperson of the Audit Committee, Chairperson of the Compensation Committee or the Non-Executive Chairman of the Board): $125,000.</w:t>
      </w:r>
    </w:p>
    <w:p>
      <w:pPr>
        <w:spacing w:after="0" w:line="159"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27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Annual Award shall vest and become exercisable in full on the earlier to occur of (i) the one-year anniversary of the applicable grant date and (ii) the date of the next Annual Meeting following the grant date, subject to continued service through the applicable vesting date.</w:t>
      </w:r>
    </w:p>
    <w:p>
      <w:pPr>
        <w:spacing w:after="0" w:line="174" w:lineRule="exact"/>
        <w:rPr>
          <w:rFonts w:ascii="Times New Roman" w:cs="Times New Roman" w:eastAsia="Times New Roman" w:hAnsi="Times New Roman"/>
          <w:sz w:val="20"/>
          <w:szCs w:val="20"/>
          <w:color w:val="auto"/>
        </w:rPr>
      </w:pPr>
    </w:p>
    <w:p>
      <w:pPr>
        <w:jc w:val="both"/>
        <w:ind w:left="440" w:firstLine="1247"/>
        <w:spacing w:after="0" w:line="254" w:lineRule="auto"/>
        <w:tabs>
          <w:tab w:leader="none" w:pos="248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Events</w:t>
      </w:r>
      <w:r>
        <w:rPr>
          <w:rFonts w:ascii="Times New Roman" w:cs="Times New Roman" w:eastAsia="Times New Roman" w:hAnsi="Times New Roman"/>
          <w:sz w:val="20"/>
          <w:szCs w:val="20"/>
          <w:color w:val="auto"/>
        </w:rPr>
        <w:t>. Notwithstanding the foregoing, an Eligible Director’s Director Equity Award(s) shall vest and become exercisable in full immediately prior to the occurrence of a Change in Control to the extent outstanding at such time.</w:t>
      </w:r>
    </w:p>
    <w:p>
      <w:pPr>
        <w:spacing w:after="0" w:line="174" w:lineRule="exact"/>
        <w:rPr>
          <w:rFonts w:ascii="Times New Roman" w:cs="Times New Roman" w:eastAsia="Times New Roman" w:hAnsi="Times New Roman"/>
          <w:sz w:val="20"/>
          <w:szCs w:val="20"/>
          <w:color w:val="auto"/>
        </w:rPr>
      </w:pPr>
    </w:p>
    <w:p>
      <w:pPr>
        <w:ind w:left="2480" w:hanging="793"/>
        <w:spacing w:after="0"/>
        <w:tabs>
          <w:tab w:leader="none" w:pos="2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Applicable to Awards</w:t>
      </w:r>
      <w:r>
        <w:rPr>
          <w:rFonts w:ascii="Times New Roman" w:cs="Times New Roman" w:eastAsia="Times New Roman" w:hAnsi="Times New Roman"/>
          <w:sz w:val="20"/>
          <w:szCs w:val="20"/>
          <w:color w:val="auto"/>
        </w:rPr>
        <w:t>. With respect to any Award granted under this Program:</w:t>
      </w:r>
    </w:p>
    <w:p>
      <w:pPr>
        <w:spacing w:after="0" w:line="215" w:lineRule="exact"/>
        <w:rPr>
          <w:rFonts w:ascii="Times New Roman" w:cs="Times New Roman" w:eastAsia="Times New Roman" w:hAnsi="Times New Roman"/>
          <w:sz w:val="20"/>
          <w:szCs w:val="20"/>
          <w:color w:val="auto"/>
        </w:rPr>
      </w:pPr>
    </w:p>
    <w:p>
      <w:pPr>
        <w:ind w:left="1740" w:firstLine="726"/>
        <w:spacing w:after="0" w:line="269" w:lineRule="auto"/>
        <w:tabs>
          <w:tab w:leader="none" w:pos="322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price per Share with respect to an Option shall be equal to the Fair Market Value of a Share on the applicable grant date.</w:t>
      </w:r>
    </w:p>
    <w:p>
      <w:pPr>
        <w:spacing w:after="0" w:line="159" w:lineRule="exact"/>
        <w:rPr>
          <w:sz w:val="20"/>
          <w:szCs w:val="20"/>
          <w:color w:val="auto"/>
        </w:rPr>
      </w:pPr>
    </w:p>
    <w:p>
      <w:pPr>
        <w:ind w:left="3280" w:hanging="814"/>
        <w:spacing w:after="0"/>
        <w:tabs>
          <w:tab w:leader="none" w:pos="328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Option shall have a maximum term of ten years from the applicable grant date.</w:t>
      </w:r>
    </w:p>
    <w:p>
      <w:pPr>
        <w:spacing w:after="0" w:line="215" w:lineRule="exact"/>
        <w:rPr>
          <w:rFonts w:ascii="Times New Roman" w:cs="Times New Roman" w:eastAsia="Times New Roman" w:hAnsi="Times New Roman"/>
          <w:sz w:val="20"/>
          <w:szCs w:val="20"/>
          <w:color w:val="auto"/>
        </w:rPr>
      </w:pPr>
    </w:p>
    <w:p>
      <w:pPr>
        <w:jc w:val="both"/>
        <w:ind w:left="1740" w:firstLine="726"/>
        <w:spacing w:after="0" w:line="254" w:lineRule="auto"/>
        <w:tabs>
          <w:tab w:leader="none" w:pos="333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subject to an Option shall be determined by dividing the value of the Option by the per share Black-Scholes valuation as of the applicable grant date, utilizing the same assumptions that the Company uses in preparation of its financial statements.</w:t>
      </w:r>
    </w:p>
    <w:p>
      <w:pPr>
        <w:spacing w:after="0" w:line="174" w:lineRule="exact"/>
        <w:rPr>
          <w:rFonts w:ascii="Times New Roman" w:cs="Times New Roman" w:eastAsia="Times New Roman" w:hAnsi="Times New Roman"/>
          <w:sz w:val="20"/>
          <w:szCs w:val="20"/>
          <w:color w:val="auto"/>
        </w:rPr>
      </w:pPr>
    </w:p>
    <w:p>
      <w:pPr>
        <w:jc w:val="both"/>
        <w:ind w:firstLine="872"/>
        <w:spacing w:after="0" w:line="254" w:lineRule="auto"/>
        <w:tabs>
          <w:tab w:leader="none" w:pos="16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33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Jacobs, certify that:</w:t>
      </w:r>
    </w:p>
    <w:p>
      <w:pPr>
        <w:spacing w:after="0" w:line="225"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60"/>
        <w:spacing w:after="0"/>
        <w:tabs>
          <w:tab w:leader="none" w:pos="5600" w:val="left"/>
          <w:tab w:leader="none" w:pos="6240" w:val="left"/>
        </w:tabs>
        <w:rPr>
          <w:sz w:val="20"/>
          <w:szCs w:val="20"/>
          <w:color w:val="auto"/>
        </w:rPr>
      </w:pPr>
      <w:r>
        <w:rPr>
          <w:rFonts w:ascii="Times New Roman" w:cs="Times New Roman" w:eastAsia="Times New Roman" w:hAnsi="Times New Roman"/>
          <w:sz w:val="18"/>
          <w:szCs w:val="18"/>
          <w:color w:val="auto"/>
        </w:rPr>
        <w:t>Date: November 12,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43180</wp:posOffset>
            </wp:positionV>
            <wp:extent cx="28975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8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John C. Jacobs</w:t>
      </w:r>
    </w:p>
    <w:p>
      <w:pPr>
        <w:spacing w:after="0" w:line="10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5" w:name="page86"/>
    <w:bookmarkEnd w:id="85"/>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Susan L. Drexler, certify that:</w:t>
      </w:r>
    </w:p>
    <w:p>
      <w:pPr>
        <w:spacing w:after="0" w:line="225"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500" w:right="360" w:hanging="492"/>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32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000" w:right="600" w:hanging="493"/>
        <w:spacing w:after="0" w:line="282" w:lineRule="auto"/>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140" w:hanging="493"/>
        <w:spacing w:after="0" w:line="266" w:lineRule="auto"/>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840" w:hanging="493"/>
        <w:spacing w:after="0" w:line="282" w:lineRule="auto"/>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76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Susan L. Drexler</w:t>
            </w:r>
          </w:p>
        </w:tc>
      </w:tr>
      <w:tr>
        <w:trPr>
          <w:trHeight w:val="218"/>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Susan L. Drexler</w:t>
            </w:r>
          </w:p>
        </w:tc>
      </w:tr>
      <w:tr>
        <w:trPr>
          <w:trHeight w:val="214"/>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bl>
    <w:p>
      <w:pPr>
        <w:sectPr>
          <w:pgSz w:w="11900" w:h="16838" w:orient="portrait"/>
          <w:cols w:equalWidth="0" w:num="1">
            <w:col w:w="11340"/>
          </w:cols>
          <w:pgMar w:left="32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Harmony Biosciences Holdings, Inc. (the “Company”)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60"/>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November 12,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C. Jacobs</w:t>
      </w:r>
    </w:p>
    <w:p>
      <w:pPr>
        <w:spacing w:after="0" w:line="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Harmony Biosciences Holdings, Inc. (the “Company”)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 November 12,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Susan L.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Susan L. Drexler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9"/>
    </w:lvl>
  </w:abstractNum>
  <w:abstractNum w:abstractNumId="7">
    <w:nsid w:val="7C3DBD3D"/>
    <w:multiLevelType w:val="hybridMultilevel"/>
    <w:lvl w:ilvl="0">
      <w:lvlJc w:val="left"/>
      <w:lvlText w:val="%1."/>
      <w:numFmt w:val="decimal"/>
      <w:start w:val="11"/>
    </w:lvl>
  </w:abstractNum>
  <w:abstractNum w:abstractNumId="8">
    <w:nsid w:val="737B8DDC"/>
    <w:multiLevelType w:val="hybridMultilevel"/>
    <w:lvl w:ilvl="0">
      <w:lvlJc w:val="left"/>
      <w:lvlText w:val="%1."/>
      <w:numFmt w:val="decimal"/>
      <w:start w:val="12"/>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lowerRoman"/>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1)"/>
      <w:numFmt w:val="lowerRoman"/>
      <w:start w:val="2"/>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684A48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44">
    <w:nsid w:val="579478F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5">
    <w:nsid w:val="749ABB4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6">
    <w:nsid w:val="3DC240FB"/>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47">
    <w:nsid w:val="1BA026FA"/>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48">
    <w:nsid w:val="79A1DEAA"/>
    <w:multiLevelType w:val="hybridMultilevel"/>
    <w:lvl w:ilvl="0">
      <w:lvlJc w:val="left"/>
      <w:lvlText w:val="%1"/>
      <w:numFmt w:val="decimal"/>
      <w:start w:val="1"/>
    </w:lvl>
    <w:lvl w:ilvl="1">
      <w:lvlJc w:val="left"/>
      <w:lvlText w:val="%2."/>
      <w:numFmt w:val="lowerRoman"/>
      <w:start w:val="2"/>
    </w:lvl>
  </w:abstractNum>
  <w:abstractNum w:abstractNumId="49">
    <w:nsid w:val="75C6C33A"/>
    <w:multiLevelType w:val="hybridMultilevel"/>
    <w:lvl w:ilvl="0">
      <w:lvlJc w:val="left"/>
      <w:lvlText w:val="%1."/>
      <w:numFmt w:val="decimal"/>
      <w:start w:val="3"/>
    </w:lvl>
    <w:lvl w:ilvl="1">
      <w:lvlJc w:val="left"/>
      <w:lvlText w:val="%2"/>
      <w:numFmt w:val="lowerRoman"/>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97" Type="http://schemas.openxmlformats.org/officeDocument/2006/relationships/hyperlink" Target="http://www.sec.gov/Archives/edgar/data/1802665/000119312520226978/d97999dex31.htm" TargetMode="External"/><Relationship Id="rId98" Type="http://schemas.openxmlformats.org/officeDocument/2006/relationships/hyperlink" Target="http://www.sec.gov/Archives/edgar/data/1802665/000119312520226978/d97999dex32.htm" TargetMode="External"/><Relationship Id="rId99" Type="http://schemas.openxmlformats.org/officeDocument/2006/relationships/hyperlink" Target="http://www.sec.gov/Archives/edgar/data/1802665/000119312520211023/d755703dex41.htm" TargetMode="External"/><Relationship Id="rId100" Type="http://schemas.openxmlformats.org/officeDocument/2006/relationships/hyperlink" Target="http://www.sec.gov/Archives/edgar/data/1802665/000119312520227079/d91238dex102.htm" TargetMode="External"/><Relationship Id="rId101" Type="http://schemas.openxmlformats.org/officeDocument/2006/relationships/hyperlink" Target="http://www.sec.gov/Archives/edgar/data/1802665/000119312520227079/d91238dex103.htm" TargetMode="External"/><Relationship Id="rId102" Type="http://schemas.openxmlformats.org/officeDocument/2006/relationships/hyperlink" Target="http://www.sec.gov/Archives/edgar/data/1802665/000119312520215643/d755703dex106.htm" TargetMode="External"/><Relationship Id="rId103" Type="http://schemas.openxmlformats.org/officeDocument/2006/relationships/hyperlink" Target="http://www.sec.gov/Archives/edgar/data/1802665/000119312520215643/d755703dex107.htm" TargetMode="External"/><Relationship Id="rId104" Type="http://schemas.openxmlformats.org/officeDocument/2006/relationships/hyperlink" Target="http://www.sec.gov/Archives/edgar/data/1802665/000119312520215643/d755703dex108.htm" TargetMode="External"/><Relationship Id="rId105" Type="http://schemas.openxmlformats.org/officeDocument/2006/relationships/hyperlink" Target="http://www.sec.gov/Archives/edgar/data/1802665/000119312520215643/d755703dex1012.htm" TargetMode="External"/><Relationship Id="rId106" Type="http://schemas.openxmlformats.org/officeDocument/2006/relationships/hyperlink" Target="http://www.sec.gov/Archives/edgar/data/1802665/000119312520215643/d755703dex1013.htm" TargetMode="External"/><Relationship Id="rId107" Type="http://schemas.openxmlformats.org/officeDocument/2006/relationships/hyperlink" Target="http://www.sec.gov/Archives/edgar/data/1802665/000119312520215643/d75570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2020-11-12T07:19:20Z</dcterms:created>
  <dcterms:modified xsi:type="dcterms:W3CDTF">2020-11-12T07:19:20Z</dcterms:modified>
</cp:coreProperties>
</file>