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78105</wp:posOffset>
            </wp:positionV>
            <wp:extent cx="110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-98425</wp:posOffset>
            </wp:positionV>
            <wp:extent cx="110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4020" w:right="1500" w:hanging="4013"/>
        <w:spacing w:after="0" w:line="304" w:lineRule="auto"/>
        <w:tabs>
          <w:tab w:leader="none" w:pos="5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AND EXCHANGE ACT OF 1934 </w:t>
      </w:r>
      <w:r>
        <w:rPr>
          <w:rFonts w:ascii="Arial" w:cs="Arial" w:eastAsia="Arial" w:hAnsi="Arial"/>
          <w:sz w:val="18"/>
          <w:szCs w:val="18"/>
          <w:color w:val="auto"/>
        </w:rPr>
        <w:t>For the fiscal year ended December 31, 2020</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56" w:lineRule="exact"/>
        <w:rPr>
          <w:sz w:val="24"/>
          <w:szCs w:val="24"/>
          <w:color w:val="auto"/>
        </w:rPr>
      </w:pPr>
    </w:p>
    <w:p>
      <w:pPr>
        <w:ind w:left="600" w:hanging="593"/>
        <w:spacing w:after="0"/>
        <w:tabs>
          <w:tab w:leader="none" w:pos="6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228" w:right="339" w:bottom="1440" w:gutter="0" w:footer="0" w:header="0"/>
        </w:sectPr>
      </w:pPr>
    </w:p>
    <w:p>
      <w:pPr>
        <w:spacing w:after="0" w:line="76"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83" w:lineRule="exact"/>
        <w:rPr>
          <w:sz w:val="24"/>
          <w:szCs w:val="24"/>
          <w:color w:val="auto"/>
        </w:rPr>
      </w:pPr>
    </w:p>
    <w:p>
      <w:pPr>
        <w:sectPr>
          <w:pgSz w:w="11900" w:h="16838" w:orient="portrait"/>
          <w:cols w:equalWidth="0" w:num="2">
            <w:col w:w="6380" w:space="720"/>
            <w:col w:w="4140"/>
          </w:cols>
          <w:pgMar w:left="320" w:top="228"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79375</wp:posOffset>
            </wp:positionV>
            <wp:extent cx="1104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p>
      <w:pPr>
        <w:spacing w:after="0" w:line="1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HARMONY BIOSCIENCES HOLDINGS, INC.</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73025</wp:posOffset>
            </wp:positionV>
            <wp:extent cx="1104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157"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7120" w:type="dxa"/>
            <w:vAlign w:val="bottom"/>
          </w:tcPr>
          <w:p>
            <w:pPr>
              <w:jc w:val="center"/>
              <w:ind w:right="243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center"/>
              <w:ind w:left="31"/>
              <w:spacing w:after="0"/>
              <w:rPr>
                <w:sz w:val="20"/>
                <w:szCs w:val="20"/>
                <w:color w:val="auto"/>
              </w:rPr>
            </w:pPr>
            <w:r>
              <w:rPr>
                <w:rFonts w:ascii="Arial" w:cs="Arial" w:eastAsia="Arial" w:hAnsi="Arial"/>
                <w:sz w:val="18"/>
                <w:szCs w:val="18"/>
                <w:b w:val="1"/>
                <w:bCs w:val="1"/>
                <w:color w:val="auto"/>
                <w:w w:val="89"/>
              </w:rPr>
              <w:t>82-2279923</w:t>
            </w:r>
          </w:p>
        </w:tc>
      </w:tr>
      <w:tr>
        <w:trPr>
          <w:trHeight w:val="214"/>
        </w:trPr>
        <w:tc>
          <w:tcPr>
            <w:tcW w:w="7120" w:type="dxa"/>
            <w:vAlign w:val="bottom"/>
          </w:tcPr>
          <w:p>
            <w:pPr>
              <w:jc w:val="center"/>
              <w:ind w:right="2431"/>
              <w:spacing w:after="0"/>
              <w:rPr>
                <w:sz w:val="20"/>
                <w:szCs w:val="20"/>
                <w:color w:val="auto"/>
              </w:rPr>
            </w:pPr>
            <w:r>
              <w:rPr>
                <w:rFonts w:ascii="Arial" w:cs="Arial" w:eastAsia="Arial" w:hAnsi="Arial"/>
                <w:sz w:val="18"/>
                <w:szCs w:val="18"/>
                <w:color w:val="auto"/>
                <w:w w:val="92"/>
              </w:rPr>
              <w:t>(State or other jurisdiction of</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2"/>
              </w:rPr>
              <w:t>(I.R.S. Employer</w:t>
            </w:r>
          </w:p>
        </w:tc>
      </w:tr>
      <w:tr>
        <w:trPr>
          <w:trHeight w:val="227"/>
        </w:trPr>
        <w:tc>
          <w:tcPr>
            <w:tcW w:w="7120" w:type="dxa"/>
            <w:vAlign w:val="bottom"/>
          </w:tcPr>
          <w:p>
            <w:pPr>
              <w:jc w:val="center"/>
              <w:ind w:right="2451"/>
              <w:spacing w:after="0"/>
              <w:rPr>
                <w:sz w:val="20"/>
                <w:szCs w:val="20"/>
                <w:color w:val="auto"/>
              </w:rPr>
            </w:pPr>
            <w:r>
              <w:rPr>
                <w:rFonts w:ascii="Arial" w:cs="Arial" w:eastAsia="Arial" w:hAnsi="Arial"/>
                <w:sz w:val="18"/>
                <w:szCs w:val="18"/>
                <w:color w:val="auto"/>
                <w:w w:val="91"/>
              </w:rPr>
              <w:t>incorporation or organization)</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5"/>
              </w:rPr>
              <w:t>Identification No.)</w:t>
            </w:r>
          </w:p>
        </w:tc>
      </w:tr>
      <w:tr>
        <w:trPr>
          <w:trHeight w:val="281"/>
        </w:trPr>
        <w:tc>
          <w:tcPr>
            <w:tcW w:w="7120" w:type="dxa"/>
            <w:vAlign w:val="bottom"/>
          </w:tcPr>
          <w:p>
            <w:pPr>
              <w:jc w:val="center"/>
              <w:ind w:right="2491"/>
              <w:spacing w:after="0"/>
              <w:rPr>
                <w:sz w:val="20"/>
                <w:szCs w:val="20"/>
                <w:color w:val="auto"/>
              </w:rPr>
            </w:pPr>
            <w:r>
              <w:rPr>
                <w:rFonts w:ascii="Arial" w:cs="Arial" w:eastAsia="Arial" w:hAnsi="Arial"/>
                <w:sz w:val="18"/>
                <w:szCs w:val="18"/>
                <w:b w:val="1"/>
                <w:bCs w:val="1"/>
                <w:color w:val="auto"/>
                <w:w w:val="90"/>
              </w:rPr>
              <w:t>630 W. Germantown Pike, Suite 215, Plymouth Meeting, PA</w:t>
            </w:r>
          </w:p>
        </w:tc>
        <w:tc>
          <w:tcPr>
            <w:tcW w:w="1460" w:type="dxa"/>
            <w:vAlign w:val="bottom"/>
          </w:tcPr>
          <w:p>
            <w:pPr>
              <w:jc w:val="right"/>
              <w:ind w:right="331"/>
              <w:spacing w:after="0"/>
              <w:rPr>
                <w:sz w:val="20"/>
                <w:szCs w:val="20"/>
                <w:color w:val="auto"/>
              </w:rPr>
            </w:pPr>
            <w:r>
              <w:rPr>
                <w:rFonts w:ascii="Arial" w:cs="Arial" w:eastAsia="Arial" w:hAnsi="Arial"/>
                <w:sz w:val="18"/>
                <w:szCs w:val="18"/>
                <w:b w:val="1"/>
                <w:bCs w:val="1"/>
                <w:color w:val="auto"/>
              </w:rPr>
              <w:t>19462</w:t>
            </w:r>
          </w:p>
        </w:tc>
      </w:tr>
      <w:tr>
        <w:trPr>
          <w:trHeight w:val="241"/>
        </w:trPr>
        <w:tc>
          <w:tcPr>
            <w:tcW w:w="7120" w:type="dxa"/>
            <w:vAlign w:val="bottom"/>
          </w:tcPr>
          <w:p>
            <w:pPr>
              <w:ind w:left="860"/>
              <w:spacing w:after="0"/>
              <w:rPr>
                <w:sz w:val="20"/>
                <w:szCs w:val="20"/>
                <w:color w:val="auto"/>
              </w:rPr>
            </w:pPr>
            <w:r>
              <w:rPr>
                <w:rFonts w:ascii="Arial" w:cs="Arial" w:eastAsia="Arial" w:hAnsi="Arial"/>
                <w:sz w:val="18"/>
                <w:szCs w:val="18"/>
                <w:color w:val="auto"/>
              </w:rPr>
              <w:t>(Address of principal executive offices)</w:t>
            </w:r>
          </w:p>
        </w:tc>
        <w:tc>
          <w:tcPr>
            <w:tcW w:w="1460" w:type="dxa"/>
            <w:vAlign w:val="bottom"/>
          </w:tcPr>
          <w:p>
            <w:pPr>
              <w:jc w:val="center"/>
              <w:ind w:left="111"/>
              <w:spacing w:after="0"/>
              <w:rPr>
                <w:sz w:val="20"/>
                <w:szCs w:val="20"/>
                <w:color w:val="auto"/>
              </w:rPr>
            </w:pPr>
            <w:r>
              <w:rPr>
                <w:rFonts w:ascii="Arial" w:cs="Arial" w:eastAsia="Arial" w:hAnsi="Arial"/>
                <w:sz w:val="18"/>
                <w:szCs w:val="18"/>
                <w:color w:val="auto"/>
                <w:w w:val="91"/>
              </w:rPr>
              <w:t>(Zip Code)</w:t>
            </w:r>
          </w:p>
        </w:tc>
      </w:tr>
      <w:tr>
        <w:trPr>
          <w:trHeight w:val="281"/>
        </w:trPr>
        <w:tc>
          <w:tcPr>
            <w:tcW w:w="7120" w:type="dxa"/>
            <w:vAlign w:val="bottom"/>
          </w:tcPr>
          <w:p>
            <w:pPr>
              <w:jc w:val="right"/>
              <w:ind w:right="1371"/>
              <w:spacing w:after="0"/>
              <w:rPr>
                <w:sz w:val="20"/>
                <w:szCs w:val="20"/>
                <w:color w:val="auto"/>
              </w:rPr>
            </w:pPr>
            <w:r>
              <w:rPr>
                <w:rFonts w:ascii="Arial" w:cs="Arial" w:eastAsia="Arial" w:hAnsi="Arial"/>
                <w:sz w:val="18"/>
                <w:szCs w:val="18"/>
                <w:b w:val="1"/>
                <w:bCs w:val="1"/>
                <w:color w:val="auto"/>
              </w:rPr>
              <w:t>(484) 539-9800</w:t>
            </w:r>
          </w:p>
        </w:tc>
        <w:tc>
          <w:tcPr>
            <w:tcW w:w="1460" w:type="dxa"/>
            <w:vAlign w:val="bottom"/>
          </w:tcPr>
          <w:p>
            <w:pPr>
              <w:spacing w:after="0"/>
              <w:rPr>
                <w:sz w:val="24"/>
                <w:szCs w:val="24"/>
                <w:color w:val="auto"/>
              </w:rPr>
            </w:pPr>
          </w:p>
        </w:tc>
      </w:tr>
      <w:tr>
        <w:trPr>
          <w:trHeight w:val="267"/>
        </w:trPr>
        <w:tc>
          <w:tcPr>
            <w:tcW w:w="7120" w:type="dxa"/>
            <w:vAlign w:val="bottom"/>
          </w:tcPr>
          <w:p>
            <w:pPr>
              <w:jc w:val="center"/>
              <w:ind w:left="3011"/>
              <w:spacing w:after="0"/>
              <w:rPr>
                <w:sz w:val="20"/>
                <w:szCs w:val="20"/>
                <w:color w:val="auto"/>
              </w:rPr>
            </w:pPr>
            <w:r>
              <w:rPr>
                <w:rFonts w:ascii="Arial" w:cs="Arial" w:eastAsia="Arial" w:hAnsi="Arial"/>
                <w:sz w:val="18"/>
                <w:szCs w:val="18"/>
                <w:color w:val="auto"/>
                <w:w w:val="89"/>
              </w:rPr>
              <w:t>(Registrant’s telephone number, including area code)</w:t>
            </w:r>
          </w:p>
        </w:tc>
        <w:tc>
          <w:tcPr>
            <w:tcW w:w="1460" w:type="dxa"/>
            <w:vAlign w:val="bottom"/>
          </w:tcPr>
          <w:p>
            <w:pPr>
              <w:spacing w:after="0"/>
              <w:rPr>
                <w:sz w:val="23"/>
                <w:szCs w:val="23"/>
                <w:color w:val="auto"/>
              </w:rPr>
            </w:pPr>
          </w:p>
        </w:tc>
      </w:tr>
    </w:tbl>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Trading</w:t>
            </w:r>
          </w:p>
        </w:tc>
        <w:tc>
          <w:tcPr>
            <w:tcW w:w="4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1"/>
        </w:trPr>
        <w:tc>
          <w:tcPr>
            <w:tcW w:w="49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6"/>
              </w:rPr>
              <w:t>Title of each class</w:t>
            </w:r>
          </w:p>
        </w:tc>
        <w:tc>
          <w:tcPr>
            <w:tcW w:w="1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Symbol(s)</w:t>
            </w:r>
          </w:p>
        </w:tc>
        <w:tc>
          <w:tcPr>
            <w:tcW w:w="4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4"/>
        </w:trPr>
        <w:tc>
          <w:tcPr>
            <w:tcW w:w="4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Common Stock, par value $0.00001 value per share</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311"/>
              <w:spacing w:after="0" w:line="195" w:lineRule="exact"/>
              <w:rPr>
                <w:sz w:val="20"/>
                <w:szCs w:val="20"/>
                <w:color w:val="auto"/>
              </w:rPr>
            </w:pPr>
            <w:r>
              <w:rPr>
                <w:rFonts w:ascii="Arial" w:cs="Arial" w:eastAsia="Arial" w:hAnsi="Arial"/>
                <w:sz w:val="18"/>
                <w:szCs w:val="18"/>
                <w:color w:val="auto"/>
              </w:rPr>
              <w:t>HRMY</w:t>
            </w:r>
          </w:p>
        </w:tc>
        <w:tc>
          <w:tcPr>
            <w:tcW w:w="100" w:type="dxa"/>
            <w:vAlign w:val="bottom"/>
          </w:tcPr>
          <w:p>
            <w:pPr>
              <w:spacing w:after="0"/>
              <w:rPr>
                <w:sz w:val="16"/>
                <w:szCs w:val="16"/>
                <w:color w:val="auto"/>
              </w:rPr>
            </w:pPr>
          </w:p>
        </w:tc>
        <w:tc>
          <w:tcPr>
            <w:tcW w:w="438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27"/>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81"/>
        </w:trPr>
        <w:tc>
          <w:tcPr>
            <w:tcW w:w="490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12(g) of the Act: None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6"/>
        </w:trPr>
        <w:tc>
          <w:tcPr>
            <w:tcW w:w="854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6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04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9"/>
        </w:trPr>
        <w:tc>
          <w:tcPr>
            <w:tcW w:w="85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04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1" w:lineRule="exact"/>
        <w:rPr>
          <w:sz w:val="24"/>
          <w:szCs w:val="24"/>
          <w:color w:val="auto"/>
        </w:rPr>
      </w:pPr>
    </w:p>
    <w:p>
      <w:pPr>
        <w:ind w:right="4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 w:lineRule="exact"/>
        <w:rPr>
          <w:sz w:val="24"/>
          <w:szCs w:val="24"/>
          <w:color w:val="auto"/>
        </w:rPr>
      </w:pPr>
    </w:p>
    <w:p>
      <w:pPr>
        <w:ind w:right="4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114300</wp:posOffset>
            </wp:positionV>
            <wp:extent cx="717613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line="20" w:lineRule="exact"/>
              <w:rPr>
                <w:sz w:val="1"/>
                <w:szCs w:val="1"/>
                <w:color w:val="auto"/>
              </w:rPr>
            </w:pPr>
          </w:p>
        </w:tc>
        <w:tc>
          <w:tcPr>
            <w:tcW w:w="940" w:type="dxa"/>
            <w:vAlign w:val="bottom"/>
            <w:vMerge w:val="restart"/>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588"/>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Large accelerated filer</w:t>
            </w:r>
          </w:p>
        </w:tc>
        <w:tc>
          <w:tcPr>
            <w:tcW w:w="2940" w:type="dxa"/>
            <w:vAlign w:val="bottom"/>
            <w:vMerge w:val="continue"/>
          </w:tcPr>
          <w:p>
            <w:pPr>
              <w:spacing w:after="0"/>
              <w:rPr>
                <w:sz w:val="24"/>
                <w:szCs w:val="24"/>
                <w:color w:val="auto"/>
              </w:rPr>
            </w:pPr>
          </w:p>
        </w:tc>
        <w:tc>
          <w:tcPr>
            <w:tcW w:w="4800" w:type="dxa"/>
            <w:vAlign w:val="bottom"/>
          </w:tcPr>
          <w:p>
            <w:pPr>
              <w:ind w:left="2080"/>
              <w:spacing w:after="0"/>
              <w:rPr>
                <w:sz w:val="20"/>
                <w:szCs w:val="20"/>
                <w:color w:val="auto"/>
              </w:rPr>
            </w:pPr>
            <w:r>
              <w:rPr>
                <w:rFonts w:ascii="Arial" w:cs="Arial" w:eastAsia="Arial" w:hAnsi="Arial"/>
                <w:sz w:val="18"/>
                <w:szCs w:val="18"/>
                <w:color w:val="auto"/>
              </w:rPr>
              <w:t>Accelerated filer</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08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9"/>
        </w:trPr>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0" w:type="dxa"/>
            <w:vAlign w:val="bottom"/>
          </w:tcPr>
          <w:p>
            <w:pPr>
              <w:ind w:left="208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8" w:lineRule="exact"/>
        <w:rPr>
          <w:sz w:val="20"/>
          <w:szCs w:val="20"/>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31" w:lineRule="exact"/>
        <w:rPr>
          <w:sz w:val="20"/>
          <w:szCs w:val="20"/>
          <w:color w:val="auto"/>
        </w:rPr>
      </w:pPr>
    </w:p>
    <w:p>
      <w:pPr>
        <w:spacing w:after="0" w:line="207" w:lineRule="exact"/>
        <w:tabs>
          <w:tab w:leader="none" w:pos="8260" w:val="left"/>
          <w:tab w:leader="none" w:pos="89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3"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auto"/>
        </w:rPr>
        <w:t>As of June 30, 2020, the last business day of the registrant’s most recently completed second fiscal quarter, the registrant’s common stock was not listed on any exchange or over-the-counter market. The registrant’s common stock began trading on The Nasdaq Global Market on August 19,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As of March 15, 2021, the registrant had 56,891,920 shares of common stock, $0.00001 par value per share, outstanding.</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4" w:lineRule="exact"/>
        <w:rPr>
          <w:sz w:val="20"/>
          <w:szCs w:val="20"/>
          <w:color w:val="auto"/>
        </w:rPr>
      </w:pPr>
    </w:p>
    <w:p>
      <w:pPr>
        <w:jc w:val="both"/>
        <w:ind w:right="460"/>
        <w:spacing w:after="0" w:line="335" w:lineRule="auto"/>
        <w:rPr>
          <w:sz w:val="20"/>
          <w:szCs w:val="20"/>
          <w:color w:val="auto"/>
        </w:rPr>
      </w:pPr>
      <w:r>
        <w:rPr>
          <w:rFonts w:ascii="Arial" w:cs="Arial" w:eastAsia="Arial" w:hAnsi="Arial"/>
          <w:sz w:val="16"/>
          <w:szCs w:val="16"/>
          <w:color w:val="auto"/>
        </w:rPr>
        <w:t>Portions of the registrant’s definitive proxy statement relating to its 2021 Annual Meeting of Stockholders to be filed with the Securities and Exchange Commission within 120 days after the end of the fiscal year ended December 31, 2020 are incorporated herein by reference in Part III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31115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307340</wp:posOffset>
            </wp:positionV>
            <wp:extent cx="71761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60" w:type="dxa"/>
            <w:vAlign w:val="bottom"/>
            <w:gridSpan w:val="3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0"/>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gridSpan w:val="13"/>
          </w:tcPr>
          <w:p>
            <w:pPr>
              <w:ind w:left="1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0"/>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201"/>
        </w:trPr>
        <w:tc>
          <w:tcPr>
            <w:tcW w:w="10460" w:type="dxa"/>
            <w:vAlign w:val="bottom"/>
            <w:gridSpan w:val="31"/>
          </w:tcPr>
          <w:p>
            <w:pPr>
              <w:spacing w:after="0" w:line="181"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r>
      <w:tr>
        <w:trPr>
          <w:trHeight w:val="234"/>
        </w:trPr>
        <w:tc>
          <w:tcPr>
            <w:tcW w:w="4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4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CAUTIONARY NOTE REGARDING FORWARD-LOOKING STATEMENTS</w:t>
              </w:r>
            </w:hyperlink>
          </w:p>
        </w:tc>
        <w:tc>
          <w:tcPr>
            <w:tcW w:w="3580" w:type="dxa"/>
            <w:vAlign w:val="bottom"/>
            <w:gridSpan w:val="8"/>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gridSpan w:val="2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 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ITEM 1A. RISK FACTORS.</w:t>
              </w:r>
            </w:hyperlink>
          </w:p>
        </w:tc>
        <w:tc>
          <w:tcPr>
            <w:tcW w:w="7240" w:type="dxa"/>
            <w:vAlign w:val="bottom"/>
            <w:gridSpan w:val="22"/>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2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ITEM 1B. UNRESOLVED STAFF COMMENTS.</w:t>
              </w:r>
            </w:hyperlink>
          </w:p>
        </w:tc>
        <w:tc>
          <w:tcPr>
            <w:tcW w:w="5700" w:type="dxa"/>
            <w:vAlign w:val="bottom"/>
            <w:gridSpan w:val="12"/>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gridSpan w:val="2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2. 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gridSpan w:val="2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3. 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ITEM 4. MINE SAFETY DISCLOSURES.</w:t>
              </w:r>
            </w:hyperlink>
          </w:p>
        </w:tc>
        <w:tc>
          <w:tcPr>
            <w:tcW w:w="6180" w:type="dxa"/>
            <w:vAlign w:val="bottom"/>
            <w:gridSpan w:val="15"/>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r>
      <w:tr>
        <w:trPr>
          <w:trHeight w:val="234"/>
        </w:trPr>
        <w:tc>
          <w:tcPr>
            <w:tcW w:w="10460" w:type="dxa"/>
            <w:vAlign w:val="bottom"/>
            <w:gridSpan w:val="3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Part II</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r>
      <w:tr>
        <w:trPr>
          <w:trHeight w:val="221"/>
        </w:trPr>
        <w:tc>
          <w:tcPr>
            <w:tcW w:w="4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20" w:type="dxa"/>
            <w:vAlign w:val="bottom"/>
            <w:gridSpan w:val="2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5. MARKET FOR REGISTRANT’S COMMON EQUITY, RELATED STOCKHOLDER MATTERS AND ISSUER</w:t>
              </w:r>
            </w:hyperlink>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20" w:type="dxa"/>
            <w:vAlign w:val="bottom"/>
            <w:tcBorders>
              <w:top w:val="single" w:sz="8" w:color="0000EE"/>
              <w:bottom w:val="single" w:sz="8" w:color="0000EE"/>
            </w:tcBorders>
            <w:gridSpan w:val="11"/>
          </w:tcPr>
          <w:p>
            <w:pPr>
              <w:spacing w:after="0" w:line="194"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PURCHASES OF EQUITY SECURITIES.</w:t>
              </w:r>
            </w:hyperlink>
          </w:p>
        </w:tc>
        <w:tc>
          <w:tcPr>
            <w:tcW w:w="5720" w:type="dxa"/>
            <w:vAlign w:val="bottom"/>
            <w:tcBorders>
              <w:top w:val="single" w:sz="8" w:color="0000EE"/>
            </w:tcBorders>
            <w:gridSpan w:val="15"/>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r>
      <w:tr>
        <w:trPr>
          <w:trHeight w:val="207"/>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Borders>
              <w:bottom w:val="single" w:sz="8" w:color="0000EE"/>
            </w:tcBorders>
            <w:gridSpan w:val="10"/>
          </w:tcPr>
          <w:p>
            <w:pPr>
              <w:spacing w:after="0" w:line="194"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ITEM 6. SELECTED FINANCIAL DATA.</w:t>
              </w:r>
            </w:hyperlink>
          </w:p>
        </w:tc>
        <w:tc>
          <w:tcPr>
            <w:tcW w:w="1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6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101">
              <w:r>
                <w:rPr>
                  <w:rFonts w:ascii="Arial" w:cs="Arial" w:eastAsia="Arial" w:hAnsi="Arial"/>
                  <w:sz w:val="18"/>
                  <w:szCs w:val="18"/>
                  <w:color w:val="0000EE"/>
                  <w:w w:val="96"/>
                </w:rPr>
                <w:t>ITEM 7. MANAGEMENT’S DISCUSSION AND ANALYSIS OF FINANCIAL CONDITION AND RESULTS OF</w:t>
              </w:r>
            </w:hyperlink>
          </w:p>
        </w:tc>
        <w:tc>
          <w:tcPr>
            <w:tcW w:w="960" w:type="dxa"/>
            <w:vAlign w:val="bottom"/>
            <w:gridSpan w:val="5"/>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Borders>
              <w:bottom w:val="single" w:sz="8" w:color="0000EE"/>
            </w:tcBorders>
            <w:gridSpan w:val="2"/>
          </w:tcPr>
          <w:p>
            <w:pPr>
              <w:spacing w:after="0" w:line="194"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OPERATIONS.</w:t>
              </w:r>
            </w:hyperlink>
          </w:p>
        </w:tc>
        <w:tc>
          <w:tcPr>
            <w:tcW w:w="8180" w:type="dxa"/>
            <w:vAlign w:val="bottom"/>
            <w:gridSpan w:val="25"/>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r>
      <w:tr>
        <w:trPr>
          <w:trHeight w:val="207"/>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20" w:type="dxa"/>
            <w:vAlign w:val="bottom"/>
            <w:tcBorders>
              <w:bottom w:val="single" w:sz="8" w:color="0000EE"/>
            </w:tcBorders>
            <w:gridSpan w:val="21"/>
          </w:tcPr>
          <w:p>
            <w:pPr>
              <w:spacing w:after="0" w:line="194" w:lineRule="exact"/>
              <w:rPr>
                <w:rFonts w:ascii="Arial" w:cs="Arial" w:eastAsia="Arial" w:hAnsi="Arial"/>
                <w:sz w:val="18"/>
                <w:szCs w:val="18"/>
                <w:color w:val="0000EE"/>
                <w:w w:val="97"/>
              </w:rPr>
            </w:pPr>
            <w:hyperlink w:anchor="page119">
              <w:r>
                <w:rPr>
                  <w:rFonts w:ascii="Arial" w:cs="Arial" w:eastAsia="Arial" w:hAnsi="Arial"/>
                  <w:sz w:val="18"/>
                  <w:szCs w:val="18"/>
                  <w:color w:val="0000EE"/>
                  <w:w w:val="97"/>
                </w:rPr>
                <w:t>ITEM 7A. QUANTITATIVE AND QUALITATIVE DISCLOSURES ABOUT MARKET RISK.</w:t>
              </w:r>
            </w:hyperlink>
          </w:p>
        </w:tc>
        <w:tc>
          <w:tcPr>
            <w:tcW w:w="1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2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120">
              <w:r>
                <w:rPr>
                  <w:rFonts w:ascii="Arial" w:cs="Arial" w:eastAsia="Arial" w:hAnsi="Arial"/>
                  <w:sz w:val="18"/>
                  <w:szCs w:val="18"/>
                  <w:color w:val="0000EE"/>
                  <w:w w:val="95"/>
                </w:rPr>
                <w:t>ITEM 8. FINANCIAL STATEMENTS AND SUPPLEMENTARY DATA.</w:t>
              </w:r>
            </w:hyperlink>
          </w:p>
        </w:tc>
        <w:tc>
          <w:tcPr>
            <w:tcW w:w="1220" w:type="dxa"/>
            <w:vAlign w:val="bottom"/>
            <w:gridSpan w:val="2"/>
          </w:tcPr>
          <w:p>
            <w:pPr>
              <w:spacing w:after="0"/>
              <w:rPr>
                <w:sz w:val="20"/>
                <w:szCs w:val="20"/>
                <w:color w:val="auto"/>
              </w:rPr>
            </w:pPr>
          </w:p>
        </w:tc>
        <w:tc>
          <w:tcPr>
            <w:tcW w:w="188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0"/>
                <w:szCs w:val="20"/>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gridSpan w:val="2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9. CHANGES IN AND DISAGREEMENTS WITH ACCOUNTANTS ON ACCOUNTING AND FINANCIAL</w:t>
              </w:r>
            </w:hyperlink>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520" w:type="dxa"/>
            <w:vAlign w:val="bottom"/>
            <w:tcBorders>
              <w:top w:val="single" w:sz="8" w:color="0000EE"/>
            </w:tcBorders>
            <w:gridSpan w:val="24"/>
          </w:tcPr>
          <w:p>
            <w:pPr>
              <w:spacing w:after="0" w:line="194" w:lineRule="exact"/>
              <w:rPr>
                <w:rFonts w:ascii="Arial" w:cs="Arial" w:eastAsia="Arial" w:hAnsi="Arial"/>
                <w:sz w:val="18"/>
                <w:szCs w:val="18"/>
                <w:color w:val="0000EE"/>
              </w:rPr>
            </w:pPr>
            <w:hyperlink w:anchor="page144">
              <w:r>
                <w:rPr>
                  <w:rFonts w:ascii="Arial" w:cs="Arial" w:eastAsia="Arial" w:hAnsi="Arial"/>
                  <w:sz w:val="18"/>
                  <w:szCs w:val="18"/>
                  <w:color w:val="0000EE"/>
                </w:rPr>
                <w:t>DISCLOSURE.</w:t>
              </w:r>
            </w:hyperlink>
          </w:p>
        </w:tc>
        <w:tc>
          <w:tcPr>
            <w:tcW w:w="800" w:type="dxa"/>
            <w:vAlign w:val="bottom"/>
            <w:gridSpan w:val="3"/>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Borders>
              <w:bottom w:val="single" w:sz="8" w:color="0000EE"/>
            </w:tcBorders>
            <w:gridSpan w:val="14"/>
          </w:tcPr>
          <w:p>
            <w:pPr>
              <w:spacing w:after="0" w:line="194"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ITEM 9A. CONTROLS AND PROCEDURES.</w:t>
              </w:r>
            </w:hyperlink>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80" w:type="dxa"/>
            <w:vAlign w:val="bottom"/>
            <w:gridSpan w:val="3"/>
          </w:tcPr>
          <w:p>
            <w:pPr>
              <w:spacing w:after="0"/>
              <w:rPr>
                <w:sz w:val="18"/>
                <w:szCs w:val="18"/>
                <w:color w:val="auto"/>
              </w:rPr>
            </w:pPr>
          </w:p>
        </w:tc>
        <w:tc>
          <w:tcPr>
            <w:tcW w:w="2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44">
              <w:r>
                <w:rPr>
                  <w:rFonts w:ascii="Arial" w:cs="Arial" w:eastAsia="Arial" w:hAnsi="Arial"/>
                  <w:sz w:val="18"/>
                  <w:szCs w:val="18"/>
                  <w:color w:val="0000EE"/>
                  <w:w w:val="96"/>
                </w:rPr>
                <w:t>ITEM 9B. OTHER INFORMATION.</w:t>
              </w:r>
            </w:hyperlink>
          </w:p>
        </w:tc>
        <w:tc>
          <w:tcPr>
            <w:tcW w:w="520" w:type="dxa"/>
            <w:vAlign w:val="bottom"/>
            <w:gridSpan w:val="4"/>
          </w:tcPr>
          <w:p>
            <w:pPr>
              <w:spacing w:after="0"/>
              <w:rPr>
                <w:sz w:val="20"/>
                <w:szCs w:val="20"/>
                <w:color w:val="auto"/>
              </w:rPr>
            </w:pPr>
          </w:p>
        </w:tc>
        <w:tc>
          <w:tcPr>
            <w:tcW w:w="14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spacing w:after="0"/>
              <w:rPr>
                <w:sz w:val="20"/>
                <w:szCs w:val="20"/>
                <w:color w:val="auto"/>
              </w:rPr>
            </w:pPr>
          </w:p>
        </w:tc>
        <w:tc>
          <w:tcPr>
            <w:tcW w:w="1880" w:type="dxa"/>
            <w:vAlign w:val="bottom"/>
            <w:gridSpan w:val="3"/>
          </w:tcPr>
          <w:p>
            <w:pPr>
              <w:spacing w:after="0"/>
              <w:rPr>
                <w:sz w:val="20"/>
                <w:szCs w:val="20"/>
                <w:color w:val="auto"/>
              </w:rPr>
            </w:pPr>
          </w:p>
        </w:tc>
        <w:tc>
          <w:tcPr>
            <w:tcW w:w="260" w:type="dxa"/>
            <w:vAlign w:val="bottom"/>
            <w:gridSpan w:val="2"/>
          </w:tcPr>
          <w:p>
            <w:pPr>
              <w:spacing w:after="0"/>
              <w:rPr>
                <w:sz w:val="20"/>
                <w:szCs w:val="20"/>
                <w:color w:val="auto"/>
              </w:rPr>
            </w:pPr>
          </w:p>
        </w:tc>
        <w:tc>
          <w:tcPr>
            <w:tcW w:w="640" w:type="dxa"/>
            <w:vAlign w:val="bottom"/>
            <w:gridSpan w:val="2"/>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0"/>
                <w:szCs w:val="20"/>
                <w:color w:val="auto"/>
              </w:rPr>
            </w:pPr>
          </w:p>
        </w:tc>
      </w:tr>
      <w:tr>
        <w:trPr>
          <w:trHeight w:val="247"/>
        </w:trPr>
        <w:tc>
          <w:tcPr>
            <w:tcW w:w="10460" w:type="dxa"/>
            <w:vAlign w:val="bottom"/>
            <w:gridSpan w:val="31"/>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Part III</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1"/>
                <w:szCs w:val="21"/>
                <w:color w:val="auto"/>
              </w:rPr>
            </w:pPr>
          </w:p>
        </w:tc>
      </w:tr>
      <w:tr>
        <w:trPr>
          <w:trHeight w:val="221"/>
        </w:trPr>
        <w:tc>
          <w:tcPr>
            <w:tcW w:w="4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6540" w:type="dxa"/>
            <w:vAlign w:val="bottom"/>
            <w:tcBorders>
              <w:bottom w:val="single" w:sz="8" w:color="0000EE"/>
            </w:tcBorders>
            <w:gridSpan w:val="20"/>
          </w:tcPr>
          <w:p>
            <w:pPr>
              <w:spacing w:after="0" w:line="201" w:lineRule="exact"/>
              <w:rPr>
                <w:rFonts w:ascii="Arial" w:cs="Arial" w:eastAsia="Arial" w:hAnsi="Arial"/>
                <w:sz w:val="18"/>
                <w:szCs w:val="18"/>
                <w:color w:val="0000EE"/>
                <w:w w:val="94"/>
              </w:rPr>
            </w:pPr>
            <w:hyperlink w:anchor="page145">
              <w:r>
                <w:rPr>
                  <w:rFonts w:ascii="Arial" w:cs="Arial" w:eastAsia="Arial" w:hAnsi="Arial"/>
                  <w:sz w:val="18"/>
                  <w:szCs w:val="18"/>
                  <w:color w:val="0000EE"/>
                  <w:w w:val="94"/>
                </w:rPr>
                <w:t>ITEM 10. DIRECTORS, EXECUTIVE OFFICERS AND CORPORATE GOVERNANCE.</w:t>
              </w:r>
            </w:hyperlink>
          </w:p>
        </w:tc>
        <w:tc>
          <w:tcPr>
            <w:tcW w:w="1880" w:type="dxa"/>
            <w:vAlign w:val="bottom"/>
            <w:gridSpan w:val="3"/>
          </w:tcPr>
          <w:p>
            <w:pPr>
              <w:spacing w:after="0"/>
              <w:rPr>
                <w:sz w:val="19"/>
                <w:szCs w:val="19"/>
                <w:color w:val="auto"/>
              </w:rPr>
            </w:pPr>
          </w:p>
        </w:tc>
        <w:tc>
          <w:tcPr>
            <w:tcW w:w="26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45">
              <w:r>
                <w:rPr>
                  <w:rFonts w:ascii="Arial" w:cs="Arial" w:eastAsia="Arial" w:hAnsi="Arial"/>
                  <w:sz w:val="18"/>
                  <w:szCs w:val="18"/>
                  <w:color w:val="0000EE"/>
                  <w:w w:val="95"/>
                </w:rPr>
                <w:t>ITEM 11. EXECUTIVE COMPENSATION.</w:t>
              </w:r>
            </w:hyperlink>
          </w:p>
        </w:tc>
        <w:tc>
          <w:tcPr>
            <w:tcW w:w="14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6"/>
          </w:tcPr>
          <w:p>
            <w:pPr>
              <w:spacing w:after="0"/>
              <w:rPr>
                <w:sz w:val="20"/>
                <w:szCs w:val="20"/>
                <w:color w:val="auto"/>
              </w:rPr>
            </w:pPr>
          </w:p>
        </w:tc>
        <w:tc>
          <w:tcPr>
            <w:tcW w:w="260" w:type="dxa"/>
            <w:vAlign w:val="bottom"/>
            <w:gridSpan w:val="2"/>
          </w:tcPr>
          <w:p>
            <w:pPr>
              <w:spacing w:after="0"/>
              <w:rPr>
                <w:sz w:val="20"/>
                <w:szCs w:val="20"/>
                <w:color w:val="auto"/>
              </w:rPr>
            </w:pPr>
          </w:p>
        </w:tc>
        <w:tc>
          <w:tcPr>
            <w:tcW w:w="640" w:type="dxa"/>
            <w:vAlign w:val="bottom"/>
            <w:gridSpan w:val="2"/>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gridSpan w:val="27"/>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ITEM 12. SECURITY OWNERSHIP OF CERTAIN BENEFICIAL OWNERS AND MANAGEMENT AND RELATED</w:t>
              </w:r>
            </w:hyperlink>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80" w:type="dxa"/>
            <w:vAlign w:val="bottom"/>
            <w:tcBorders>
              <w:top w:val="single" w:sz="8" w:color="0000EE"/>
            </w:tcBorders>
            <w:gridSpan w:val="25"/>
          </w:tcPr>
          <w:p>
            <w:pPr>
              <w:spacing w:after="0" w:line="194" w:lineRule="exact"/>
              <w:rPr>
                <w:rFonts w:ascii="Arial" w:cs="Arial" w:eastAsia="Arial" w:hAnsi="Arial"/>
                <w:sz w:val="18"/>
                <w:szCs w:val="18"/>
                <w:color w:val="0000EE"/>
              </w:rPr>
            </w:pPr>
            <w:hyperlink w:anchor="page145">
              <w:r>
                <w:rPr>
                  <w:rFonts w:ascii="Arial" w:cs="Arial" w:eastAsia="Arial" w:hAnsi="Arial"/>
                  <w:sz w:val="18"/>
                  <w:szCs w:val="18"/>
                  <w:color w:val="0000EE"/>
                </w:rPr>
                <w:t>STOCKHOLDER MATTERS.</w:t>
              </w:r>
            </w:hyperlink>
          </w:p>
        </w:tc>
        <w:tc>
          <w:tcPr>
            <w:tcW w:w="640" w:type="dxa"/>
            <w:vAlign w:val="bottom"/>
            <w:gridSpan w:val="2"/>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20" w:type="dxa"/>
            <w:vAlign w:val="bottom"/>
            <w:tcBorders>
              <w:bottom w:val="single" w:sz="8" w:color="0000EE"/>
            </w:tcBorders>
            <w:gridSpan w:val="23"/>
          </w:tcPr>
          <w:p>
            <w:pPr>
              <w:spacing w:after="0" w:line="194"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ITEM 13. CERTAIN RELATIONSHIPS AND RELATED TRANSACTIONS, AND DIRECTOR INDEPENDENCE.</w:t>
              </w:r>
            </w:hyperlink>
          </w:p>
        </w:tc>
        <w:tc>
          <w:tcPr>
            <w:tcW w:w="9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8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45">
              <w:r>
                <w:rPr>
                  <w:rFonts w:ascii="Arial" w:cs="Arial" w:eastAsia="Arial" w:hAnsi="Arial"/>
                  <w:sz w:val="18"/>
                  <w:szCs w:val="18"/>
                  <w:color w:val="0000EE"/>
                  <w:w w:val="94"/>
                </w:rPr>
                <w:t>ITEM 14. PRINCIPAL ACCOUNTING FEES AND SERVICES.</w:t>
              </w:r>
            </w:hyperlink>
          </w:p>
        </w:tc>
        <w:tc>
          <w:tcPr>
            <w:tcW w:w="120" w:type="dxa"/>
            <w:vAlign w:val="bottom"/>
          </w:tcPr>
          <w:p>
            <w:pPr>
              <w:spacing w:after="0"/>
              <w:rPr>
                <w:sz w:val="20"/>
                <w:szCs w:val="20"/>
                <w:color w:val="auto"/>
              </w:rPr>
            </w:pPr>
          </w:p>
        </w:tc>
        <w:tc>
          <w:tcPr>
            <w:tcW w:w="4520" w:type="dxa"/>
            <w:vAlign w:val="bottom"/>
            <w:gridSpan w:val="10"/>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r>
      <w:tr>
        <w:trPr>
          <w:trHeight w:val="247"/>
        </w:trPr>
        <w:tc>
          <w:tcPr>
            <w:tcW w:w="10460" w:type="dxa"/>
            <w:vAlign w:val="bottom"/>
            <w:gridSpan w:val="3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Part IV</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1"/>
                <w:szCs w:val="21"/>
                <w:color w:val="auto"/>
              </w:rPr>
            </w:pPr>
          </w:p>
        </w:tc>
      </w:tr>
      <w:tr>
        <w:trPr>
          <w:trHeight w:val="221"/>
        </w:trPr>
        <w:tc>
          <w:tcPr>
            <w:tcW w:w="4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4800" w:type="dxa"/>
            <w:vAlign w:val="bottom"/>
            <w:tcBorders>
              <w:bottom w:val="single" w:sz="8" w:color="0000EE"/>
            </w:tcBorders>
            <w:gridSpan w:val="17"/>
          </w:tcPr>
          <w:p>
            <w:pPr>
              <w:spacing w:after="0" w:line="201" w:lineRule="exact"/>
              <w:rPr>
                <w:rFonts w:ascii="Arial" w:cs="Arial" w:eastAsia="Arial" w:hAnsi="Arial"/>
                <w:sz w:val="18"/>
                <w:szCs w:val="18"/>
                <w:color w:val="0000EE"/>
                <w:w w:val="95"/>
              </w:rPr>
            </w:pPr>
            <w:hyperlink w:anchor="page146">
              <w:r>
                <w:rPr>
                  <w:rFonts w:ascii="Arial" w:cs="Arial" w:eastAsia="Arial" w:hAnsi="Arial"/>
                  <w:sz w:val="18"/>
                  <w:szCs w:val="18"/>
                  <w:color w:val="0000EE"/>
                  <w:w w:val="95"/>
                </w:rPr>
                <w:t>ITEM 15. EXHIBITS, FINANCIAL STATEMENT SCHEDULES.</w:t>
              </w:r>
            </w:hyperlink>
          </w:p>
        </w:tc>
        <w:tc>
          <w:tcPr>
            <w:tcW w:w="452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4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ITEM 16. FORM 10-K SUMMARY.</w:t>
              </w:r>
            </w:hyperlink>
          </w:p>
        </w:tc>
        <w:tc>
          <w:tcPr>
            <w:tcW w:w="6680" w:type="dxa"/>
            <w:vAlign w:val="bottom"/>
            <w:gridSpan w:val="19"/>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50">
              <w:r>
                <w:rPr>
                  <w:rFonts w:ascii="Arial" w:cs="Arial" w:eastAsia="Arial" w:hAnsi="Arial"/>
                  <w:sz w:val="18"/>
                  <w:szCs w:val="18"/>
                  <w:color w:val="0000EE"/>
                  <w:w w:val="93"/>
                </w:rPr>
                <w:t>SIGNATURES</w:t>
              </w:r>
            </w:hyperlink>
          </w:p>
        </w:tc>
        <w:tc>
          <w:tcPr>
            <w:tcW w:w="8180" w:type="dxa"/>
            <w:vAlign w:val="bottom"/>
            <w:gridSpan w:val="25"/>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0"/>
                <w:szCs w:val="20"/>
                <w:color w:val="auto"/>
              </w:rPr>
            </w:pPr>
          </w:p>
        </w:tc>
      </w:tr>
      <w:tr>
        <w:trPr>
          <w:trHeight w:val="1324"/>
        </w:trPr>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2" w:lineRule="exact"/>
        <w:rPr>
          <w:sz w:val="20"/>
          <w:szCs w:val="20"/>
          <w:color w:val="auto"/>
        </w:rPr>
      </w:pPr>
    </w:p>
    <w:p>
      <w:pPr>
        <w:ind w:firstLine="864"/>
        <w:spacing w:after="0" w:line="267"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and financial position, the anticipated impact of the novel coronavirus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ectPr>
          <w:pgSz w:w="11900" w:h="16838" w:orient="portrait"/>
          <w:cols w:equalWidth="0" w:num="1">
            <w:col w:w="11200"/>
          </w:cols>
          <w:pgMar w:left="320" w:top="121" w:right="379" w:bottom="1440" w:gutter="0" w:footer="0" w:header="0"/>
        </w:sectPr>
      </w:pPr>
    </w:p>
    <w:p>
      <w:pPr>
        <w:spacing w:after="0" w:line="14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36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36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commercialization efforts and strategy for WAKIX;</w:t>
      </w:r>
    </w:p>
    <w:p>
      <w:pPr>
        <w:spacing w:after="0" w:line="22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rate and degree of market acceptance and clinical utility of WAKIX, pitolisant in additional indications, if approved, and any other product candidates we may develop or acquire, if approved;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plans, including our plans to explore the therapeutic potential of pitolisant in additional indications;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ongoing and planned clinical trials;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expand the scope of our license agreement with Bioprojet Société Civile de Recherche (“Bioprojet”);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availability of favorable insurance coverage and reimbursement for WAKIX;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COVID-19 pandemic;</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timing of, and our ability to obtain, regulatory approvals for pitolisant for other indications as well as any other product candidates;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commercialization, marketing and manufacturing capabilities and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competition in our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intellectual property 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loss or retirement of key members of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failure to successfully execute our growth strategy, including any delays in our planned future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maintain effective internal controls; and</w:t>
      </w:r>
    </w:p>
    <w:p>
      <w:pPr>
        <w:spacing w:after="0" w:line="200" w:lineRule="exact"/>
        <w:rPr>
          <w:sz w:val="20"/>
          <w:szCs w:val="20"/>
          <w:color w:val="auto"/>
        </w:rPr>
      </w:pPr>
    </w:p>
    <w:p>
      <w:pPr>
        <w:sectPr>
          <w:pgSz w:w="11900" w:h="16838" w:orient="portrait"/>
          <w:cols w:equalWidth="0" w:num="2">
            <w:col w:w="520" w:space="340"/>
            <w:col w:w="10340"/>
          </w:cols>
          <w:pgMar w:left="320" w:top="121" w:right="379" w:bottom="1440" w:gutter="0" w:footer="0" w:header="0"/>
          <w:type w:val="continuous"/>
        </w:sectPr>
      </w:pPr>
    </w:p>
    <w:p>
      <w:pPr>
        <w:spacing w:after="0" w:line="248"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761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41" w:lineRule="exact"/>
        <w:rPr>
          <w:sz w:val="20"/>
          <w:szCs w:val="20"/>
          <w:color w:val="auto"/>
        </w:rPr>
      </w:pPr>
    </w:p>
    <w:p>
      <w:pPr>
        <w:ind w:left="860" w:hanging="425"/>
        <w:spacing w:after="0"/>
        <w:tabs>
          <w:tab w:leader="none" w:pos="860" w:val="left"/>
        </w:tabs>
        <w:numPr>
          <w:ilvl w:val="0"/>
          <w:numId w:val="3"/>
        </w:numPr>
        <w:rPr>
          <w:rFonts w:ascii="Arial" w:cs="Arial" w:eastAsia="Arial" w:hAnsi="Arial"/>
          <w:sz w:val="27"/>
          <w:szCs w:val="27"/>
          <w:color w:val="auto"/>
        </w:rPr>
      </w:pPr>
      <w:r>
        <w:rPr>
          <w:rFonts w:ascii="Arial" w:cs="Arial" w:eastAsia="Arial" w:hAnsi="Arial"/>
          <w:sz w:val="18"/>
          <w:szCs w:val="18"/>
          <w:color w:val="auto"/>
        </w:rPr>
        <w:t>the impact of government laws and regulations.</w:t>
      </w:r>
    </w:p>
    <w:p>
      <w:pPr>
        <w:spacing w:after="0" w:line="214" w:lineRule="exact"/>
        <w:rPr>
          <w:sz w:val="20"/>
          <w:szCs w:val="20"/>
          <w:color w:val="auto"/>
        </w:rPr>
      </w:pPr>
    </w:p>
    <w:p>
      <w:pPr>
        <w:ind w:right="120" w:firstLine="864"/>
        <w:spacing w:after="0" w:line="251"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“—Item 1A. Risk Factors.” and “Part II—Item 7. Management’s Discussion and Analysis of Financial Condition and Results of Operations.”</w:t>
      </w:r>
    </w:p>
    <w:p>
      <w:pPr>
        <w:spacing w:after="0" w:line="221" w:lineRule="exact"/>
        <w:rPr>
          <w:sz w:val="20"/>
          <w:szCs w:val="20"/>
          <w:color w:val="auto"/>
        </w:rPr>
      </w:pPr>
    </w:p>
    <w:p>
      <w:pPr>
        <w:ind w:right="220" w:firstLine="864"/>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201" w:lineRule="exact"/>
        <w:rPr>
          <w:sz w:val="20"/>
          <w:szCs w:val="20"/>
          <w:color w:val="auto"/>
        </w:rPr>
      </w:pPr>
    </w:p>
    <w:p>
      <w:pPr>
        <w:ind w:firstLine="864"/>
        <w:spacing w:after="0" w:line="267" w:lineRule="auto"/>
        <w:rPr>
          <w:sz w:val="20"/>
          <w:szCs w:val="20"/>
          <w:color w:val="auto"/>
        </w:rPr>
      </w:pPr>
      <w:r>
        <w:rPr>
          <w:rFonts w:ascii="Arial" w:cs="Arial" w:eastAsia="Arial" w:hAnsi="Arial"/>
          <w:sz w:val="17"/>
          <w:szCs w:val="17"/>
          <w:color w:val="auto"/>
        </w:rPr>
        <w:t>Unless otherwise indicated, information contained in this Annual Report on Form 10-K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herein under “—Item 1A. Risk Factors.” and “—Cautionary Note Regarding Forward-Looking Statements.” These and other factors could cause results to differ materially from those expressed and forecasts in the estimates made by the independent parties and by us.</w:t>
      </w:r>
    </w:p>
    <w:p>
      <w:pPr>
        <w:spacing w:after="0" w:line="209" w:lineRule="exact"/>
        <w:rPr>
          <w:sz w:val="20"/>
          <w:szCs w:val="20"/>
          <w:color w:val="auto"/>
        </w:rPr>
      </w:pPr>
    </w:p>
    <w:p>
      <w:pPr>
        <w:ind w:right="180" w:firstLine="864"/>
        <w:spacing w:after="0" w:line="275"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1" w:lineRule="exact"/>
        <w:rPr>
          <w:sz w:val="20"/>
          <w:szCs w:val="20"/>
          <w:color w:val="auto"/>
        </w:rPr>
      </w:pPr>
    </w:p>
    <w:p>
      <w:pPr>
        <w:ind w:right="720" w:firstLine="864"/>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52" w:lineRule="exact"/>
        <w:rPr>
          <w:sz w:val="20"/>
          <w:szCs w:val="20"/>
          <w:color w:val="auto"/>
        </w:rPr>
      </w:pPr>
    </w:p>
    <w:p>
      <w:pPr>
        <w:ind w:right="140" w:firstLine="864"/>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You should carefully consider these risks and uncertainties when investing in our securities. The principal risks and uncertainties affecting our business include the following: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ectPr>
          <w:pgSz w:w="11900" w:h="16838" w:orient="portrait"/>
          <w:cols w:equalWidth="0" w:num="1">
            <w:col w:w="11200"/>
          </w:cols>
          <w:pgMar w:left="320" w:top="121" w:right="379" w:bottom="1440" w:gutter="0" w:footer="0" w:header="0"/>
        </w:sectPr>
      </w:pPr>
    </w:p>
    <w:p>
      <w:pPr>
        <w:spacing w:after="0" w:line="137"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1"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1"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significant losses for most periods since our inception and may never achieve or maintain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have only recently begun generating revenue from product sales and may never be profitable.</w:t>
      </w:r>
    </w:p>
    <w:p>
      <w:pPr>
        <w:spacing w:after="0" w:line="15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have a limited operating history and history of commercializing drugs, which may make it difficult for you to evaluate the success of our business to date and to assess our future viability.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have only limited capital and may need to raise additional capital before we become profitable.</w:t>
      </w:r>
    </w:p>
    <w:p>
      <w:pPr>
        <w:spacing w:after="0" w:line="194"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68580</wp:posOffset>
            </wp:positionV>
            <wp:extent cx="71761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2">
            <w:col w:w="960" w:space="340"/>
            <w:col w:w="9900"/>
          </w:cols>
          <w:pgMar w:left="320" w:top="121" w:right="37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200"/>
          </w:cols>
          <w:pgMar w:left="320" w:top="121" w:right="379" w:bottom="1440" w:gutter="0" w:footer="0" w:header="0"/>
        </w:sectPr>
      </w:pPr>
    </w:p>
    <w:p>
      <w:pPr>
        <w:spacing w:after="0" w:line="397"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25"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both"/>
        <w:ind w:right="40"/>
        <w:spacing w:after="0" w:line="232" w:lineRule="auto"/>
        <w:rPr>
          <w:sz w:val="20"/>
          <w:szCs w:val="20"/>
          <w:color w:val="auto"/>
        </w:rPr>
      </w:pPr>
      <w:r>
        <w:rPr>
          <w:rFonts w:ascii="Arial" w:cs="Arial" w:eastAsia="Arial" w:hAnsi="Arial"/>
          <w:sz w:val="18"/>
          <w:szCs w:val="18"/>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3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auditor has previously expressed substantial doubt about our ability to continue as a going concern and we may be unable to remain a going concern.</w:t>
      </w:r>
    </w:p>
    <w:p>
      <w:pPr>
        <w:spacing w:after="0" w:line="134"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We have made and we may be required to make significant payments in the future to Bioprojet under our licensing and collaboration agreements for pitolisant.</w:t>
      </w:r>
    </w:p>
    <w:p>
      <w:pPr>
        <w:spacing w:after="0" w:line="144" w:lineRule="exact"/>
        <w:rPr>
          <w:sz w:val="20"/>
          <w:szCs w:val="20"/>
          <w:color w:val="auto"/>
        </w:rPr>
      </w:pPr>
    </w:p>
    <w:p>
      <w:pPr>
        <w:sectPr>
          <w:pgSz w:w="11900" w:h="16838" w:orient="portrait"/>
          <w:cols w:equalWidth="0" w:num="2">
            <w:col w:w="960" w:space="340"/>
            <w:col w:w="9900"/>
          </w:cols>
          <w:pgMar w:left="320" w:top="121" w:right="37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Risks Related to Our Business</w:t>
      </w:r>
    </w:p>
    <w:p>
      <w:pPr>
        <w:sectPr>
          <w:pgSz w:w="11900" w:h="16838" w:orient="portrait"/>
          <w:cols w:equalWidth="0" w:num="1">
            <w:col w:w="11200"/>
          </w:cols>
          <w:pgMar w:left="320" w:top="121" w:right="379" w:bottom="1440" w:gutter="0" w:footer="0" w:header="0"/>
          <w:type w:val="continuous"/>
        </w:sectPr>
      </w:pPr>
    </w:p>
    <w:p>
      <w:pPr>
        <w:spacing w:after="0" w:line="183"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1"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25"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commercial adoption of WAKIX and any other product candidates we develop will depend on the degree of their market acceptance.</w:t>
      </w:r>
    </w:p>
    <w:p>
      <w:pPr>
        <w:spacing w:after="0" w:line="177" w:lineRule="exact"/>
        <w:rPr>
          <w:sz w:val="20"/>
          <w:szCs w:val="20"/>
          <w:color w:val="auto"/>
        </w:rPr>
      </w:pPr>
    </w:p>
    <w:p>
      <w:pPr>
        <w:ind w:right="660"/>
        <w:spacing w:after="0" w:line="232" w:lineRule="auto"/>
        <w:rPr>
          <w:sz w:val="20"/>
          <w:szCs w:val="20"/>
          <w:color w:val="auto"/>
        </w:rPr>
      </w:pPr>
      <w:r>
        <w:rPr>
          <w:rFonts w:ascii="Arial" w:cs="Arial" w:eastAsia="Arial" w:hAnsi="Arial"/>
          <w:sz w:val="18"/>
          <w:szCs w:val="18"/>
          <w:color w:val="auto"/>
        </w:rPr>
        <w:t>We rely on our license agreement with Bioprojet to provide rights to the core intellectual property relating to pitolisant, and any termination or loss of significant rights under the agreement would adversely affect our development and/or commercialization of pitolisant.</w:t>
      </w:r>
    </w:p>
    <w:p>
      <w:pPr>
        <w:spacing w:after="0" w:line="135" w:lineRule="exact"/>
        <w:rPr>
          <w:sz w:val="20"/>
          <w:szCs w:val="20"/>
          <w:color w:val="auto"/>
        </w:rPr>
      </w:pPr>
    </w:p>
    <w:p>
      <w:pPr>
        <w:jc w:val="both"/>
        <w:ind w:right="260"/>
        <w:spacing w:after="0" w:line="300" w:lineRule="auto"/>
        <w:rPr>
          <w:sz w:val="20"/>
          <w:szCs w:val="20"/>
          <w:color w:val="auto"/>
        </w:rPr>
      </w:pPr>
      <w:r>
        <w:rPr>
          <w:rFonts w:ascii="Arial" w:cs="Arial" w:eastAsia="Arial" w:hAnsi="Arial"/>
          <w:sz w:val="16"/>
          <w:szCs w:val="16"/>
          <w:color w:val="auto"/>
        </w:rPr>
        <w:t>The ongoing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88"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Because a number of companies compete with us, many of which have greater resources that we do, and because we face rapid changes in science in our industry, we cannot be certain that our products will be accepted in the marketplace or capture market share.</w:t>
      </w:r>
    </w:p>
    <w:p>
      <w:pPr>
        <w:spacing w:after="0" w:line="98" w:lineRule="exact"/>
        <w:rPr>
          <w:sz w:val="20"/>
          <w:szCs w:val="20"/>
          <w:color w:val="auto"/>
        </w:rPr>
      </w:pPr>
    </w:p>
    <w:p>
      <w:pPr>
        <w:sectPr>
          <w:pgSz w:w="11900" w:h="16838" w:orient="portrait"/>
          <w:cols w:equalWidth="0" w:num="2">
            <w:col w:w="960" w:space="340"/>
            <w:col w:w="9900"/>
          </w:cols>
          <w:pgMar w:left="320" w:top="121"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Risks Related to Development, Regulatory Approval and Commercialization</w:t>
      </w:r>
    </w:p>
    <w:p>
      <w:pPr>
        <w:sectPr>
          <w:pgSz w:w="11900" w:h="16838" w:orient="portrait"/>
          <w:cols w:equalWidth="0" w:num="1">
            <w:col w:w="11200"/>
          </w:cols>
          <w:pgMar w:left="320" w:top="121" w:right="379" w:bottom="1440" w:gutter="0" w:footer="0" w:header="0"/>
          <w:type w:val="continuous"/>
        </w:sectPr>
      </w:pPr>
    </w:p>
    <w:p>
      <w:pPr>
        <w:spacing w:after="0" w:line="147"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25"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440"/>
        <w:spacing w:after="0" w:line="232" w:lineRule="auto"/>
        <w:rPr>
          <w:sz w:val="20"/>
          <w:szCs w:val="20"/>
          <w:color w:val="auto"/>
        </w:rPr>
      </w:pPr>
      <w:r>
        <w:rPr>
          <w:rFonts w:ascii="Arial" w:cs="Arial" w:eastAsia="Arial" w:hAnsi="Arial"/>
          <w:sz w:val="18"/>
          <w:szCs w:val="18"/>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13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we fail to obtain and sustain an adequate level of coverage and reimbursement for WAKIX and other product candidates by third-party payors, sales would be adversely affected.</w:t>
      </w:r>
    </w:p>
    <w:p>
      <w:pPr>
        <w:spacing w:after="0" w:line="13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WAKIX has been approved by the FDA for the treatment of EDS or cataplexy in adult patients with narcolepsy. Regulatory approval is limited by the FDA to the specific indications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45" w:lineRule="exact"/>
        <w:rPr>
          <w:sz w:val="20"/>
          <w:szCs w:val="20"/>
          <w:color w:val="auto"/>
        </w:rPr>
      </w:pPr>
    </w:p>
    <w:p>
      <w:pPr>
        <w:sectPr>
          <w:pgSz w:w="11900" w:h="16838" w:orient="portrait"/>
          <w:cols w:equalWidth="0" w:num="2">
            <w:col w:w="960" w:space="340"/>
            <w:col w:w="9900"/>
          </w:cols>
          <w:pgMar w:left="320" w:top="121"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ectPr>
          <w:pgSz w:w="11900" w:h="16838" w:orient="portrait"/>
          <w:cols w:equalWidth="0" w:num="1">
            <w:col w:w="11200"/>
          </w:cols>
          <w:pgMar w:left="320" w:top="121" w:right="379" w:bottom="1440" w:gutter="0" w:footer="0" w:header="0"/>
          <w:type w:val="continuous"/>
        </w:sectPr>
      </w:pPr>
    </w:p>
    <w:p>
      <w:pPr>
        <w:spacing w:after="0" w:line="147"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34" w:lineRule="exact"/>
        <w:rPr>
          <w:sz w:val="20"/>
          <w:szCs w:val="20"/>
          <w:color w:val="auto"/>
        </w:rPr>
      </w:pPr>
    </w:p>
    <w:p>
      <w:pPr>
        <w:ind w:right="280"/>
        <w:spacing w:after="0" w:line="300" w:lineRule="auto"/>
        <w:rPr>
          <w:sz w:val="20"/>
          <w:szCs w:val="20"/>
          <w:color w:val="auto"/>
        </w:rPr>
      </w:pPr>
      <w:r>
        <w:rPr>
          <w:rFonts w:ascii="Arial" w:cs="Arial" w:eastAsia="Arial" w:hAnsi="Arial"/>
          <w:sz w:val="16"/>
          <w:szCs w:val="16"/>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42"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68580</wp:posOffset>
            </wp:positionV>
            <wp:extent cx="71761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2">
            <w:col w:w="960" w:space="340"/>
            <w:col w:w="9900"/>
          </w:cols>
          <w:pgMar w:left="320" w:top="121" w:right="3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ectPr>
          <w:pgSz w:w="11900" w:h="16838" w:orient="portrait"/>
          <w:cols w:equalWidth="0" w:num="1">
            <w:col w:w="11240"/>
          </w:cols>
          <w:pgMar w:left="320" w:top="121" w:right="339" w:bottom="1440" w:gutter="0" w:footer="0" w:header="0"/>
        </w:sectPr>
      </w:pPr>
    </w:p>
    <w:p>
      <w:pPr>
        <w:spacing w:after="0" w:line="147"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305"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directors, officers and principal stockholders beneficially own a significant percentage of our stock and will be able to exert significant control over matters subject to stockholder approval.</w:t>
      </w:r>
    </w:p>
    <w:p>
      <w:pPr>
        <w:spacing w:after="0" w:line="20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Future sales of our common stock in the public market, including our directors, officers, or significant shareholders, could cause our share price to fall.</w:t>
      </w:r>
    </w:p>
    <w:p>
      <w:pPr>
        <w:spacing w:after="0" w:line="200" w:lineRule="exact"/>
        <w:rPr>
          <w:sz w:val="20"/>
          <w:szCs w:val="20"/>
          <w:color w:val="auto"/>
        </w:rPr>
      </w:pPr>
    </w:p>
    <w:p>
      <w:pPr>
        <w:sectPr>
          <w:pgSz w:w="11900" w:h="16838" w:orient="portrait"/>
          <w:cols w:equalWidth="0" w:num="2">
            <w:col w:w="960" w:space="340"/>
            <w:col w:w="9940"/>
          </w:cols>
          <w:pgMar w:left="320" w:top="121" w:right="3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1" w:lineRule="exact"/>
        <w:rPr>
          <w:sz w:val="20"/>
          <w:szCs w:val="20"/>
          <w:color w:val="auto"/>
        </w:rPr>
      </w:pPr>
    </w:p>
    <w:p>
      <w:pPr>
        <w:ind w:right="20" w:firstLine="864"/>
        <w:spacing w:after="0" w:line="251"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disorders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5"/>
          <w:szCs w:val="15"/>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56" w:lineRule="exact"/>
        <w:rPr>
          <w:sz w:val="20"/>
          <w:szCs w:val="20"/>
          <w:color w:val="auto"/>
        </w:rPr>
      </w:pPr>
    </w:p>
    <w:p>
      <w:pPr>
        <w:ind w:right="40" w:firstLine="864"/>
        <w:spacing w:after="0" w:line="250" w:lineRule="auto"/>
        <w:rPr>
          <w:sz w:val="20"/>
          <w:szCs w:val="20"/>
          <w:color w:val="auto"/>
        </w:rPr>
      </w:pPr>
      <w:r>
        <w:rPr>
          <w:rFonts w:ascii="Arial" w:cs="Arial" w:eastAsia="Arial" w:hAnsi="Arial"/>
          <w:sz w:val="18"/>
          <w:szCs w:val="18"/>
          <w:color w:val="auto"/>
        </w:rPr>
        <w:t>We plan to pursue label expansion for WAKIX in narcolepsy in pediatric patients and engage with the FDA in pursuit of pediatric exclusivity. We currently expect to initiate a Phase 3 clinical trial in pediatric patients in the second half of 2021 in pursuit of indications for both EDS and cataplexy. We believe that pitolisant’s ability to regulate histamine gives it the potential to provide therapeutic benefit in other rare neurological disorders that are mediated through H</w:t>
      </w:r>
      <w:r>
        <w:rPr>
          <w:rFonts w:ascii="Arial" w:cs="Arial" w:eastAsia="Arial" w:hAnsi="Arial"/>
          <w:sz w:val="15"/>
          <w:szCs w:val="15"/>
          <w:color w:val="auto"/>
        </w:rPr>
        <w:t>3</w:t>
      </w:r>
      <w:r>
        <w:rPr>
          <w:rFonts w:ascii="Arial" w:cs="Arial" w:eastAsia="Arial" w:hAnsi="Arial"/>
          <w:sz w:val="18"/>
          <w:szCs w:val="18"/>
          <w:color w:val="auto"/>
        </w:rPr>
        <w:t xml:space="preserve"> receptors and histamine signaling. We are initially focusing on evaluating WAKIX for the treatment of EDS associated with Prader-Willi Syndrome (“PWS”) and myotonic dystrophy, otherwise known as dystrophia myotonica (“DM”). In December 2020, we initiated a Phase 2 clinical trial to evaluate pitolisant for the treatment of EDS and other key symptoms in patients with PWS and anticipate topline results in the first half of 2022. In January 2021, we opened an Investigational New Drug application (“IND”) for DM and are planning to commence a Phase 2 clinical trial in adult patients with DM1 in the first half of 2021, with topline results expected in the second half of 2022. Beyond these indications, we intend to further explore pitolisant in other rare neurological disorders, potentially including those in which fatigue and cognitive impairment are prominent symptoms with significant impact on daily functioning.</w:t>
      </w:r>
    </w:p>
    <w:p>
      <w:pPr>
        <w:spacing w:after="0" w:line="171" w:lineRule="exact"/>
        <w:rPr>
          <w:sz w:val="20"/>
          <w:szCs w:val="20"/>
          <w:color w:val="auto"/>
        </w:rPr>
      </w:pPr>
    </w:p>
    <w:p>
      <w:pPr>
        <w:ind w:right="280" w:firstLine="864"/>
        <w:spacing w:after="0" w:line="281" w:lineRule="auto"/>
        <w:rPr>
          <w:sz w:val="20"/>
          <w:szCs w:val="20"/>
          <w:color w:val="auto"/>
        </w:rPr>
      </w:pPr>
      <w:r>
        <w:rPr>
          <w:rFonts w:ascii="Arial" w:cs="Arial" w:eastAsia="Arial" w:hAnsi="Arial"/>
          <w:sz w:val="17"/>
          <w:szCs w:val="17"/>
          <w:color w:val="auto"/>
        </w:rPr>
        <w:t>We also seek to expand our pipeline through the acquisition of additional assets that focus on addressing the unmet needs of patients with neurological disorders. We intend to target assets that will be complementary to WAKIX and our expanding list of potential new indications for WAKIX, and assets that will allow us to further leverage the expertise and infrastructure that we have successfully built at Harmony.</w:t>
      </w:r>
    </w:p>
    <w:p>
      <w:pPr>
        <w:spacing w:after="0" w:line="129" w:lineRule="exact"/>
        <w:rPr>
          <w:sz w:val="20"/>
          <w:szCs w:val="20"/>
          <w:color w:val="auto"/>
        </w:rPr>
      </w:pPr>
    </w:p>
    <w:p>
      <w:pPr>
        <w:ind w:right="60" w:firstLine="864"/>
        <w:spacing w:after="0" w:line="290" w:lineRule="auto"/>
        <w:rPr>
          <w:sz w:val="20"/>
          <w:szCs w:val="20"/>
          <w:color w:val="auto"/>
        </w:rPr>
      </w:pPr>
      <w:r>
        <w:rPr>
          <w:rFonts w:ascii="Arial" w:cs="Arial" w:eastAsia="Arial" w:hAnsi="Arial"/>
          <w:sz w:val="16"/>
          <w:szCs w:val="16"/>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 See “—Strategic Agreement—License and Commercialization Agreement with Bioprojet” for further information regarding the Bioprojet License Agreement.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w:t>
      </w:r>
    </w:p>
    <w:p>
      <w:pPr>
        <w:spacing w:after="0" w:line="124"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IND for pitolisant in narcolepsy, initiating an Expanded</w:t>
      </w:r>
    </w:p>
    <w:p>
      <w:pPr>
        <w:spacing w:after="0" w:line="17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Access Program (“EAP”) for pitolisant for appropriate patients in the United States, preparing and submitting our New Drug Application (“NDA”) for pitolisant, gaining NDA approval for WAKIX for the treatment of EDS or cataplexy in adult patients with narcolepsy, and launching and commercializing WAKIX in the United States. In addition, we have opened INDs for both PWS and DM and have initiated or intend to initiate clinical development programs in PWS, DM and pediatric narcolepsy to pursue potential new indications for WAKIX.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81" w:lineRule="exact"/>
        <w:rPr>
          <w:sz w:val="20"/>
          <w:szCs w:val="20"/>
          <w:color w:val="auto"/>
        </w:rPr>
      </w:pPr>
    </w:p>
    <w:p>
      <w:pPr>
        <w:ind w:right="20" w:firstLine="864"/>
        <w:spacing w:after="0" w:line="288" w:lineRule="auto"/>
        <w:rPr>
          <w:sz w:val="20"/>
          <w:szCs w:val="20"/>
          <w:color w:val="auto"/>
        </w:rPr>
      </w:pPr>
      <w:r>
        <w:rPr>
          <w:rFonts w:ascii="Arial" w:cs="Arial" w:eastAsia="Arial" w:hAnsi="Arial"/>
          <w:sz w:val="16"/>
          <w:szCs w:val="16"/>
          <w:color w:val="auto"/>
        </w:rPr>
        <w:t>On August 21, 2020, we completed the initial public offering (“IPO”) of our common stock, in which we sold 6,151,162 shares, including 802,325 shares pursuant to the underwriters’ over-allotment option. The shares began trading on the Nasdaq Global Market on August 19, 2020. The shares were sold at an IPO price of $24.00 per share for net proceeds of approximately $135.4 million, after deducting underwriting discounts and commissions and offering expenses of approximately $12.2 million. Upon the closing of the IPO, all outstanding shares of our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our convertible preferred stock, and warrants exercisable for convertible preferred stock were automatically converted into warrants exercisable for a total of 410,239 shares of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Sources of Funding</w:t>
      </w:r>
    </w:p>
    <w:p>
      <w:pPr>
        <w:spacing w:after="0" w:line="194"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For the year ended December 31, 2020, we generated $159.7 million of net product revenues. We have financed our operations primarily with (a) proceeds from sales of our convertible preferred stock, (b) borrowings under (i) our Loan Agreement with CRG and (ii) our Credit Agreement with OrbiMed, and (c) proceeds from our IPO. As of December 31, 2020, we had cash, cash equivalents and restricted cash of $229.4 million and an accumulated deficit of $488.2 million. As of December 31, 2020, we had outstanding debt, net of issuance costs, of $194.3 million.</w:t>
      </w:r>
    </w:p>
    <w:p>
      <w:pPr>
        <w:spacing w:after="0" w:line="134" w:lineRule="exact"/>
        <w:rPr>
          <w:sz w:val="20"/>
          <w:szCs w:val="20"/>
          <w:color w:val="auto"/>
        </w:rPr>
      </w:pPr>
    </w:p>
    <w:p>
      <w:pPr>
        <w:ind w:right="260" w:firstLine="864"/>
        <w:spacing w:after="0" w:line="255" w:lineRule="auto"/>
        <w:rPr>
          <w:sz w:val="20"/>
          <w:szCs w:val="20"/>
          <w:color w:val="auto"/>
        </w:rPr>
      </w:pPr>
      <w:r>
        <w:rPr>
          <w:rFonts w:ascii="Arial" w:cs="Arial" w:eastAsia="Arial" w:hAnsi="Arial"/>
          <w:sz w:val="18"/>
          <w:szCs w:val="18"/>
          <w:color w:val="auto"/>
        </w:rPr>
        <w:t>We believe that our anticipated cash from operating and financing activities and existing cash and cash equivalents will enable us to meet our operational liquidity needs and fund planned investing activities for the next 12 months. We have based this estimate on assumptions that may prove to be incorrect, and we could use our capital resources sooner than we expect. See “Part II—Item 7. Management’s Discussion and Analysis of Financial Condition and Results of Operations—Liquidity and Capital Resources.”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revenues and expenses in future quarters may differ from our expectations as we:</w:t>
      </w:r>
    </w:p>
    <w:p>
      <w:pPr>
        <w:spacing w:after="0" w:line="194" w:lineRule="exact"/>
        <w:rPr>
          <w:sz w:val="20"/>
          <w:szCs w:val="20"/>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commercialize WAKIX in the United States for the treatment of EDS or cataplexy in adult patients with narcolepsy;</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sales and marketing costs to support the commercialization of WAKIX and any additional product candidates;</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royalties and make milestone payments to Bioprojet for the license of WAKIX;</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manufacturing costs for WAKIX and any additional product candidates;</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 post-approval requirements related to WAKIX;</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clinical trials in PWS, DM and potential new indications for pitolisant or any additional product candidates;</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 a pediatric narcolepsy program in pursuit of an indication and extension of our patents based on pediatric exclusivity;</w:t>
      </w:r>
    </w:p>
    <w:p>
      <w:pPr>
        <w:spacing w:after="0" w:line="192" w:lineRule="exact"/>
        <w:rPr>
          <w:rFonts w:ascii="Arial" w:cs="Arial" w:eastAsia="Arial" w:hAnsi="Arial"/>
          <w:sz w:val="17"/>
          <w:szCs w:val="17"/>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earlier stage research and development activities for pitolisant;</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 independent investigator-initiated research for which there is a valid scientific rationale;</w:t>
      </w: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00" w:hanging="437"/>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interest expenses in conjunction with our debt facility;</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pitolisant or any additional product candidates that successfully complete clinical development;</w:t>
      </w:r>
    </w:p>
    <w:p>
      <w:pPr>
        <w:spacing w:after="0" w:line="180" w:lineRule="exact"/>
        <w:rPr>
          <w:rFonts w:ascii="Arial" w:cs="Arial" w:eastAsia="Arial" w:hAnsi="Arial"/>
          <w:sz w:val="18"/>
          <w:szCs w:val="18"/>
          <w:color w:val="auto"/>
        </w:rPr>
      </w:pPr>
    </w:p>
    <w:p>
      <w:pPr>
        <w:ind w:left="1300" w:right="300" w:hanging="437"/>
        <w:spacing w:after="0" w:line="27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certain ex-U.S. rights for WAKIX from Bioprojet and subsequently seek foreign regulatory approvals for WAKIX in certain of those jurisdictions;</w:t>
      </w:r>
    </w:p>
    <w:p>
      <w:pPr>
        <w:spacing w:after="0" w:line="134" w:lineRule="exact"/>
        <w:rPr>
          <w:rFonts w:ascii="Arial" w:cs="Arial" w:eastAsia="Arial" w:hAnsi="Arial"/>
          <w:sz w:val="18"/>
          <w:szCs w:val="18"/>
          <w:color w:val="auto"/>
        </w:rPr>
      </w:pPr>
    </w:p>
    <w:p>
      <w:pPr>
        <w:ind w:left="1300" w:hanging="437"/>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or in-license additional assets; and</w:t>
      </w:r>
    </w:p>
    <w:p>
      <w:pPr>
        <w:spacing w:after="0" w:line="180" w:lineRule="exact"/>
        <w:rPr>
          <w:rFonts w:ascii="Arial" w:cs="Arial" w:eastAsia="Arial" w:hAnsi="Arial"/>
          <w:sz w:val="18"/>
          <w:szCs w:val="18"/>
          <w:color w:val="auto"/>
        </w:rPr>
      </w:pPr>
    </w:p>
    <w:p>
      <w:pPr>
        <w:ind w:left="1300" w:hanging="437"/>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being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Launch Metrics</w:t>
      </w:r>
    </w:p>
    <w:p>
      <w:pPr>
        <w:spacing w:after="0" w:line="194"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As of December 31, 2020, over 2,400 unique healthcare professionals (“HCPs”) (out of a total of approximately 8,000 HCPs who treat approximately 90% of diagnosed narcolepsy patients) have prescribed WAKIX since it became available in November 2019. The average number of patients on WAKIX at the end of 2020 was approximately 2,500. We have secured formulary access for approximately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Business Update</w:t>
      </w:r>
    </w:p>
    <w:p>
      <w:pPr>
        <w:spacing w:after="0" w:line="181" w:lineRule="exact"/>
        <w:rPr>
          <w:sz w:val="20"/>
          <w:szCs w:val="20"/>
          <w:color w:val="auto"/>
        </w:rPr>
      </w:pPr>
    </w:p>
    <w:p>
      <w:pPr>
        <w:ind w:right="100" w:firstLine="864"/>
        <w:spacing w:after="0" w:line="335" w:lineRule="auto"/>
        <w:rPr>
          <w:sz w:val="20"/>
          <w:szCs w:val="20"/>
          <w:color w:val="auto"/>
        </w:rPr>
      </w:pPr>
      <w:r>
        <w:rPr>
          <w:rFonts w:ascii="Arial" w:cs="Arial" w:eastAsia="Arial" w:hAnsi="Arial"/>
          <w:sz w:val="16"/>
          <w:szCs w:val="16"/>
          <w:color w:val="auto"/>
        </w:rPr>
        <w:t>With the global impact of the COVID-19 pandemic, we have developed a response strategy that includes establishing cross-functional response teams and implementing business continuity plans to manage the impact of the pandemic on our employees, patients, HCPs, and our business.</w:t>
      </w:r>
    </w:p>
    <w:p>
      <w:pPr>
        <w:spacing w:after="0" w:line="102" w:lineRule="exact"/>
        <w:rPr>
          <w:sz w:val="20"/>
          <w:szCs w:val="20"/>
          <w:color w:val="auto"/>
        </w:rPr>
      </w:pPr>
    </w:p>
    <w:p>
      <w:pPr>
        <w:ind w:right="100" w:firstLine="864"/>
        <w:spacing w:after="0" w:line="293" w:lineRule="auto"/>
        <w:rPr>
          <w:sz w:val="20"/>
          <w:szCs w:val="20"/>
          <w:color w:val="auto"/>
        </w:rPr>
      </w:pPr>
      <w:r>
        <w:rPr>
          <w:rFonts w:ascii="Arial" w:cs="Arial" w:eastAsia="Arial" w:hAnsi="Arial"/>
          <w:sz w:val="16"/>
          <w:szCs w:val="16"/>
          <w:color w:val="auto"/>
        </w:rPr>
        <w:t>Despite our response strategy, the COVID-19 pandemic is having an effect on our business and the pharmaceutical industry in general, and is impacting the way stakeholders interact with one another during this pandemic. We continue to leverage technology and virtual engagement initiatives to offset our reduced in-person access to HCPs. The COVID-19 pandemic, which has led to high unemployment and corresponding loss of medical insurance, has caused a change in relationship dynamics between patients and their HCPs and has impacted the way patients take, or do not take, their medication. Based on these factors, we expect that the revenue growth rate in future quarters may be adversely impacted by the ongoing COVID-19 pandemic.</w:t>
      </w:r>
    </w:p>
    <w:p>
      <w:pPr>
        <w:spacing w:after="0" w:line="121" w:lineRule="exact"/>
        <w:rPr>
          <w:sz w:val="20"/>
          <w:szCs w:val="20"/>
          <w:color w:val="auto"/>
        </w:rPr>
      </w:pPr>
    </w:p>
    <w:p>
      <w:pPr>
        <w:ind w:right="140" w:firstLine="864"/>
        <w:spacing w:after="0" w:line="301" w:lineRule="auto"/>
        <w:rPr>
          <w:sz w:val="20"/>
          <w:szCs w:val="20"/>
          <w:color w:val="auto"/>
        </w:rPr>
      </w:pPr>
      <w:r>
        <w:rPr>
          <w:rFonts w:ascii="Arial" w:cs="Arial" w:eastAsia="Arial" w:hAnsi="Arial"/>
          <w:sz w:val="17"/>
          <w:szCs w:val="17"/>
          <w:color w:val="auto"/>
        </w:rPr>
        <w:t>We continue to identify new and innovative ways to maintain meaningful engagement, generate awareness and educate our patients, HCPs and payors to minimize the pressure from the COVID-19 pandemic on our business and support our commercial launch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194" w:lineRule="exact"/>
        <w:rPr>
          <w:sz w:val="20"/>
          <w:szCs w:val="20"/>
          <w:color w:val="auto"/>
        </w:rPr>
      </w:pPr>
    </w:p>
    <w:p>
      <w:pPr>
        <w:ind w:firstLine="864"/>
        <w:spacing w:after="0" w:line="268" w:lineRule="auto"/>
        <w:rPr>
          <w:sz w:val="20"/>
          <w:szCs w:val="20"/>
          <w:color w:val="auto"/>
        </w:rPr>
      </w:pPr>
      <w:r>
        <w:rPr>
          <w:rFonts w:ascii="Arial" w:cs="Arial" w:eastAsia="Arial" w:hAnsi="Arial"/>
          <w:sz w:val="17"/>
          <w:szCs w:val="17"/>
          <w:color w:val="auto"/>
        </w:rPr>
        <w:t>With respect to our commercialization activities, we believe the COVID-19 pandemic is putting pressure on top-line prescription demand for WAKIX, primarily due to (i) our field sales team’s reduced ability to access HCPs in person, and (ii) fewer patients seeing HCPs for prescriptions or treatments. The impact on demand for WAKIX may also be related to a reduced ability of prescribers to diagnose narcolepsy patients given the limitations in access to sleep testing, the reduced ability to see patients due to (i) cancelled appointments and (ii) the reprioritization of healthcare resources toward the treatment of COVID-19, both of which lead to fewer prescriptions. Despite these challenges, we continue to engage and educate HCPs virtually on the overall benefit/risk profile of WAKIX and continue to provide support for people living with narcolepsy. As offices, clinics and institutions have begun to allow limited in-person interactions pursuant to health authority and local government guidelines, our field teams continue to re-initiate in-person interactions with HCPs and customers, but the timing</w:t>
      </w:r>
    </w:p>
    <w:p>
      <w:pPr>
        <w:spacing w:after="0" w:line="18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and level of engagement vary by account and region and may be adversely impacted in the future where reemergence or future outbreaks of COVID-19 may occur.</w:t>
      </w:r>
    </w:p>
    <w:p>
      <w:pPr>
        <w:spacing w:after="0" w:line="148"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High unemployment and the corresponding loss of health insurance is causing some eligible patients to shift from commercial insurance to free goods and patient assistance programs, which impacts our ability to convert demand to revenue. Depending on the scale and ultimate duration of the COVID-19 pandemic and the extent of an economic slowdown, widespread unemployment and resulting loss of employer-sponsored insurance coverage, we may experience a shift from commercial payor coverage to government payor coverage or continued/increased demand for patient assistance and/or free drug programs, which could further impact our net revenue in the coming quarters.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w:t>
      </w:r>
    </w:p>
    <w:p>
      <w:pPr>
        <w:spacing w:after="0" w:line="181" w:lineRule="exact"/>
        <w:rPr>
          <w:sz w:val="20"/>
          <w:szCs w:val="20"/>
          <w:color w:val="auto"/>
        </w:rPr>
      </w:pPr>
    </w:p>
    <w:p>
      <w:pPr>
        <w:ind w:right="200" w:firstLine="864"/>
        <w:spacing w:after="0" w:line="272" w:lineRule="auto"/>
        <w:rPr>
          <w:sz w:val="20"/>
          <w:szCs w:val="20"/>
          <w:color w:val="auto"/>
        </w:rPr>
      </w:pPr>
      <w:r>
        <w:rPr>
          <w:rFonts w:ascii="Arial" w:cs="Arial" w:eastAsia="Arial" w:hAnsi="Arial"/>
          <w:sz w:val="17"/>
          <w:szCs w:val="17"/>
          <w:color w:val="auto"/>
        </w:rPr>
        <w:t>We currently expect to have adequate supply of WAKIX through the first half of 2022, with additional API on-hand inventory to support 12 to 18 months beyond this time frame. We are working closely with our third-party manufacturers, distributors and other partners to manage our supply chain activities and mitigate potential disruptions to our product supplies as a result of the COVID-19 pandemic. We believe that our access to the required production lines to produce additional API and WAKIX finished product throughout the next 12-18 months will not be directly impacted by the potential need to reprioritize manufacturing resources due to the production of materials utilized for COVID-19 vaccines.</w:t>
      </w:r>
    </w:p>
    <w:p>
      <w:pPr>
        <w:spacing w:after="0" w:line="149" w:lineRule="exact"/>
        <w:rPr>
          <w:sz w:val="20"/>
          <w:szCs w:val="20"/>
          <w:color w:val="auto"/>
        </w:rPr>
      </w:pPr>
    </w:p>
    <w:p>
      <w:pPr>
        <w:jc w:val="both"/>
        <w:ind w:right="400" w:firstLine="864"/>
        <w:spacing w:after="0" w:line="281" w:lineRule="auto"/>
        <w:rPr>
          <w:sz w:val="20"/>
          <w:szCs w:val="20"/>
          <w:color w:val="auto"/>
        </w:rPr>
      </w:pPr>
      <w:r>
        <w:rPr>
          <w:rFonts w:ascii="Arial" w:cs="Arial" w:eastAsia="Arial" w:hAnsi="Arial"/>
          <w:sz w:val="17"/>
          <w:szCs w:val="17"/>
          <w:color w:val="auto"/>
        </w:rPr>
        <w:t>Our manufacturing partners in France and the United States continue to be operational. If the COVID-19 pandemic persists for an extended period of time and/or begins to impact essential distribution systems such as transatlantic freight, FedEx, UPS and postal delivery, we could experience disruptions to our supply chain and operations with associated delays in the manufacturing and supply of our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1" w:lineRule="exact"/>
        <w:rPr>
          <w:sz w:val="20"/>
          <w:szCs w:val="20"/>
          <w:color w:val="auto"/>
        </w:rPr>
      </w:pPr>
    </w:p>
    <w:p>
      <w:pPr>
        <w:ind w:right="40" w:firstLine="864"/>
        <w:spacing w:after="0" w:line="266" w:lineRule="auto"/>
        <w:rPr>
          <w:sz w:val="20"/>
          <w:szCs w:val="20"/>
          <w:color w:val="auto"/>
        </w:rPr>
      </w:pPr>
      <w:r>
        <w:rPr>
          <w:rFonts w:ascii="Arial" w:cs="Arial" w:eastAsia="Arial" w:hAnsi="Arial"/>
          <w:sz w:val="17"/>
          <w:szCs w:val="17"/>
          <w:color w:val="auto"/>
        </w:rPr>
        <w:t>The COVID-19 pandemic has negatively impacted the pharmaceutical industry’s ability to conduct clinical trials. While we initially experienced some challenges due to the COVID-19 pandemic, we have taken measures and put contingency plans in place in order to advance our clinical development programs. We have implemented remote and virtual approaches to clinical trials, including using telemedicine for remote clinic visits to perform efficacy assessments and sending out licensed HCPs to each patient to collect safety assessments (e.g. labs, electrocardiograms) as required by the protocols. We are also performing remote site visits and data monitoring where possible. These measures are being instituted with the intent of maintaining patient safety and trial continuity while preserving study integrity. One unique challenge we are facing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or reemerges in the future, we could experience significant delays in our clinical development timelines, which would adversely affect our business, financial condition, results of operations and growth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Development and Other Financial Impacts</w:t>
      </w:r>
    </w:p>
    <w:p>
      <w:pPr>
        <w:spacing w:after="0" w:line="181"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The COVID-19 pandemic continues to rapidly evolve and has already resulted in a significant disruption of domestic and global financial markets. If the disruption persists and/or worsens, we may be unable to access additional capital, which could negatively affect our ability to execute on certain corporate development transactions or other important investment opportunities. The pandemic could also impact our ability to conduct in-person due diligence, negotiations, and other interactions to identify new opportunities.</w:t>
      </w:r>
    </w:p>
    <w:p>
      <w:pPr>
        <w:spacing w:after="0" w:line="150" w:lineRule="exact"/>
        <w:rPr>
          <w:sz w:val="20"/>
          <w:szCs w:val="20"/>
          <w:color w:val="auto"/>
        </w:rPr>
      </w:pPr>
    </w:p>
    <w:p>
      <w:pPr>
        <w:ind w:right="20" w:firstLine="864"/>
        <w:spacing w:after="0" w:line="275" w:lineRule="auto"/>
        <w:rPr>
          <w:sz w:val="20"/>
          <w:szCs w:val="20"/>
          <w:color w:val="auto"/>
        </w:rPr>
      </w:pPr>
      <w:r>
        <w:rPr>
          <w:rFonts w:ascii="Arial" w:cs="Arial" w:eastAsia="Arial" w:hAnsi="Arial"/>
          <w:sz w:val="17"/>
          <w:szCs w:val="17"/>
          <w:color w:val="auto"/>
        </w:rPr>
        <w:t>The COVID-19 pandemic has also affected, and continues to affect, our business operations and financial results. The extent of the impact of the COVID-19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or reemergence of outbreaks,</w:t>
      </w:r>
    </w:p>
    <w:p>
      <w:pPr>
        <w:spacing w:after="0" w:line="17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governmental travel restrictions, quarantines, social distancing and business closure requirements in the United States, France, and other countries, and the effectiveness of actions taken globally to contain and treat COVID-19.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Responsibility Impact</w:t>
      </w:r>
    </w:p>
    <w:p>
      <w:pPr>
        <w:spacing w:after="0" w:line="181" w:lineRule="exact"/>
        <w:rPr>
          <w:sz w:val="20"/>
          <w:szCs w:val="20"/>
          <w:color w:val="auto"/>
        </w:rPr>
      </w:pPr>
    </w:p>
    <w:p>
      <w:pPr>
        <w:ind w:right="40" w:firstLine="864"/>
        <w:spacing w:after="0" w:line="253" w:lineRule="auto"/>
        <w:rPr>
          <w:sz w:val="20"/>
          <w:szCs w:val="20"/>
          <w:color w:val="auto"/>
        </w:rPr>
      </w:pPr>
      <w:r>
        <w:rPr>
          <w:rFonts w:ascii="Arial" w:cs="Arial" w:eastAsia="Arial" w:hAnsi="Arial"/>
          <w:sz w:val="18"/>
          <w:szCs w:val="18"/>
          <w:color w:val="auto"/>
        </w:rPr>
        <w:t>We continue to provide support to our local communities, patient-focused organizations and other charitable organizations during the COVID-19 pandemic with relief efforts, including corporate donations, supplying food, medical supplies and other resources. For the safety and well-being of our employees, consultants and their families, during the COVID-19 pandemic, we have abided by government-issued work from home orders. We continue to clean and sanitize our offices on a regular basis and have implemented COVID-19 screening procedures and social distancing guidelines before allowing employees or guests to enter our offices.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Narcolepsy Market Overview</w:t>
      </w:r>
    </w:p>
    <w:p>
      <w:pPr>
        <w:spacing w:after="0" w:line="194" w:lineRule="exact"/>
        <w:rPr>
          <w:sz w:val="20"/>
          <w:szCs w:val="20"/>
          <w:color w:val="auto"/>
        </w:rPr>
      </w:pPr>
    </w:p>
    <w:p>
      <w:pPr>
        <w:ind w:firstLine="864"/>
        <w:spacing w:after="0" w:line="266" w:lineRule="auto"/>
        <w:rPr>
          <w:sz w:val="20"/>
          <w:szCs w:val="20"/>
          <w:color w:val="auto"/>
        </w:rPr>
      </w:pPr>
      <w:r>
        <w:rPr>
          <w:rFonts w:ascii="Arial" w:cs="Arial" w:eastAsia="Arial" w:hAnsi="Arial"/>
          <w:sz w:val="17"/>
          <w:szCs w:val="17"/>
          <w:color w:val="auto"/>
        </w:rPr>
        <w:t>Narcolepsy is a rare, chronic and debilitating neurological disorder of sleep-wake state instability that is estimated to affect approximately 165,000 Americans, with fewer than 50% diagnosed. Narcolepsy is characterized by EDS, which is present in all patients with narcolepsy and is the primary reason why patients seek treatment. EDS is the inability to stay awake or alert throughout the day, including an irrepressible need for sleep, with lapses into drowsiness or sleep, which has a significant impact on a patient’s ability to function. Additional symptoms of narcolepsy may include cataplexy (which is characterized by sudden and transient episodes of muscle weakness accompanied by full conscious awareness), hallucinations, sleep paralysis and disrupted nighttime sleep. In most patients, narcolepsy is caused by the loss of hypocretin, a neuropeptide in the brain that, along with histamine, works to support sleep-wake state stability. This disorder affects men and women equally, with typical symptom onset in adolescence or young adulthood; however, it can take up to a decade after onset of symptoms to be properly diagnosed. The U.S. narcolepsy market had an approximate net sales value of $2.1 billion in 2020. The market is expected to continue to grow based on several factors, including, but not limited to, the introduction of new innovative therapies that offer novel mechanisms of action resulting in improved safety/tolerability profiles while delivering clinically meaningful efficacy, additional investment in education, increased rates of diagnosis, and population growth.</w:t>
      </w:r>
    </w:p>
    <w:p>
      <w:pPr>
        <w:spacing w:after="0" w:line="145" w:lineRule="exact"/>
        <w:rPr>
          <w:sz w:val="20"/>
          <w:szCs w:val="20"/>
          <w:color w:val="auto"/>
        </w:rPr>
      </w:pPr>
    </w:p>
    <w:p>
      <w:pPr>
        <w:ind w:right="20" w:firstLine="864"/>
        <w:spacing w:after="0" w:line="282" w:lineRule="auto"/>
        <w:rPr>
          <w:sz w:val="20"/>
          <w:szCs w:val="20"/>
          <w:color w:val="auto"/>
        </w:rPr>
      </w:pPr>
      <w:r>
        <w:rPr>
          <w:rFonts w:ascii="Arial" w:cs="Arial" w:eastAsia="Arial" w:hAnsi="Arial"/>
          <w:sz w:val="16"/>
          <w:szCs w:val="16"/>
          <w:color w:val="auto"/>
        </w:rPr>
        <w:t>Prior to the FDA’s approval of WAKIX in 2019, there were six approved medications to treat patients with narcolepsy, all of which are scheduled as controlled substances, and no new therapies had been approved for narcolepsy patients in the United States since 2007. These medications include Xyrem (sodium oxybate), Provigil (modafinil), Nuvigil (armodafinil), Ritalin (methylphenidate), Adderall (amphetamine salts) and Sunosi (solriamfetol). Following the approval of WAKIX, in July 2020 the FDA approved a new lower sodium formulation of Xyrem (Xywav). These approved drugs are prescribed in accordance with their individual labels for indications covering narcolepsy, cataplexy and/or EDS related to narcolepsy, and have demonstrated the ability to improve the lives of the patients suffering from these symptoms. Other prescription drugs are used off-label for the treatment of either EDS or cataplexy in patients with narcolepsy, including stimulants for EDS and antidepressants for cataplexy. Despite the benefits provided by the available medications, according to the American Academy of Sleep Medicine (“AASM”), traditional stimulants, wake-promoting agents and sodium oxybate, at best, provide only moderate improvement in narcolepsy symptoms and side effects may limit their use. Some of the current therapies have significant side effects (such as increased heart rate and blood pressure) and boxed warnings due to the risk of respiratory depression, abuse and dependence. These therapies also have the potential for rebound and withdrawal symptoms. The Voice of the Patient report from the FDA’s patient-focused drug development initiative, published in 2014, concluded that, based on the overall benefit-risk assessment of current medications, there is a continued need for additional effective and tolerable treatment options for patients with narcolepsy. In a retrospective electronic chart review conducted by Rush University Medical Center from June 2011 to December 2018, over 75% (73 out of 97 respondents) of patients with narcolepsy reported at least one residual symptom while on their current treatment. In a third party survey that we commissioned prior to the commercialization of WAKIX, of the 200 patients with narcolepsy who were surveyed, 86% (173 out of 200 respondents) of patients reported narcolepsy is a life changing disorder and 93% (157 out of 169 respondents) expressed frustration with current treatment options, while 31 patients were not on treatment and, as such, did not provide a response to this question. The main drivers of patients’ dissatisfaction were side effects and tolerability, loss of efficacy over time and concerns about abuse and dependence with current therapies.</w:t>
      </w:r>
    </w:p>
    <w:p>
      <w:pPr>
        <w:spacing w:after="0" w:line="17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864"/>
        <w:spacing w:after="0" w:line="285" w:lineRule="auto"/>
        <w:rPr>
          <w:sz w:val="20"/>
          <w:szCs w:val="20"/>
          <w:color w:val="auto"/>
        </w:rPr>
      </w:pPr>
      <w:r>
        <w:rPr>
          <w:rFonts w:ascii="Arial" w:cs="Arial" w:eastAsia="Arial" w:hAnsi="Arial"/>
          <w:sz w:val="16"/>
          <w:szCs w:val="16"/>
          <w:color w:val="auto"/>
        </w:rPr>
        <w:t>In market research sponsored by us prior to the commercial release of WAKIX, both patients and healthcare professionals (“HCPs”) expressed frustration and dissatisfaction with then-existing therapies, reflecting current unmet medical needs. These unmet needs included, in order of importance, the availability of: (i) non-scheduled treatment options, (ii) more tolerable treatment regimens, (iii) more effective treatment options, (iv) novel MOAs beyond currently available therapies and (v) once-daily treatment options. Based on our market research, we believe the most significant unmet need identified was the availability of non-scheduled treatment options. Other than WAKIX, all drugs approved by the FDA for the treatment of narcolepsy, including stimulants, are scheduled as controlled substances by the DEA. Controlled substances have the potential for abuse, misuse, and diversion. In addition, these products also have the potential for the development of tolerance and withdrawal symptoms. Despite their inherent drawbacks, due to the limited number of treatment options, stimulants have historically been a primary treatment for people with narcolepsy. In addition to having the potential for abuse, all of the treatments approved for narcolepsy, except WAKIX, require a Risk Evaluation and Mitigation Strategy (“REMS”) program, which is required by the FDA for certain medications with serious safety concerns to help ensure the benefits of the medication outweigh its risks.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21" w:lineRule="exact"/>
        <w:rPr>
          <w:sz w:val="20"/>
          <w:szCs w:val="20"/>
          <w:color w:val="auto"/>
        </w:rPr>
      </w:pPr>
    </w:p>
    <w:p>
      <w:pPr>
        <w:ind w:right="200" w:firstLine="864"/>
        <w:spacing w:after="0" w:line="271" w:lineRule="auto"/>
        <w:rPr>
          <w:sz w:val="20"/>
          <w:szCs w:val="20"/>
          <w:color w:val="auto"/>
        </w:rPr>
      </w:pPr>
      <w:r>
        <w:rPr>
          <w:rFonts w:ascii="Arial" w:cs="Arial" w:eastAsia="Arial" w:hAnsi="Arial"/>
          <w:sz w:val="18"/>
          <w:szCs w:val="18"/>
          <w:color w:val="auto"/>
        </w:rPr>
        <w:t>WAKIX (pitolisant) represents a novel approach to narcolepsy treatment. We believe that WAKIX offers a meaningfully differentiated product profile over current treatment options for the following reasons:</w:t>
      </w:r>
    </w:p>
    <w:p>
      <w:pPr>
        <w:spacing w:after="0" w:line="175" w:lineRule="exact"/>
        <w:rPr>
          <w:sz w:val="20"/>
          <w:szCs w:val="20"/>
          <w:color w:val="auto"/>
        </w:rPr>
      </w:pPr>
    </w:p>
    <w:p>
      <w:pPr>
        <w:ind w:left="860" w:right="160" w:hanging="425"/>
        <w:spacing w:after="0" w:line="272"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First-in-class molecule with a novel MOA</w:t>
      </w:r>
      <w:r>
        <w:rPr>
          <w:rFonts w:ascii="Arial" w:cs="Arial" w:eastAsia="Arial" w:hAnsi="Arial"/>
          <w:sz w:val="17"/>
          <w:szCs w:val="17"/>
          <w:color w:val="auto"/>
        </w:rPr>
        <w:t>. WAKIX is the only selective H</w:t>
      </w:r>
      <w:r>
        <w:rPr>
          <w:rFonts w:ascii="Arial" w:cs="Arial" w:eastAsia="Arial" w:hAnsi="Arial"/>
          <w:sz w:val="14"/>
          <w:szCs w:val="14"/>
          <w:color w:val="auto"/>
        </w:rPr>
        <w:t>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receptor antagonist/inverse agonist approved by the FDA. It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approved for the treatment of EDS or cataplexy in adult patients with narcolepsy and is the only narcolepsy treatment that works primarily through histamine, a major wake-promoting neurotransmitter. Pitolisant is thought to work by regulating histamine, such that it activates wake-promoting neurons and inhibits sleep promoting neurons, which helps to stabilize states of sleep and wakefulness. We believe that these novel characteristics differentiate it from other narcolepsy treatments.</w:t>
      </w:r>
    </w:p>
    <w:p>
      <w:pPr>
        <w:spacing w:after="0" w:line="176" w:lineRule="exact"/>
        <w:rPr>
          <w:rFonts w:ascii="Arial" w:cs="Arial" w:eastAsia="Arial" w:hAnsi="Arial"/>
          <w:sz w:val="17"/>
          <w:szCs w:val="17"/>
          <w:color w:val="auto"/>
        </w:rPr>
      </w:pPr>
    </w:p>
    <w:p>
      <w:pPr>
        <w:ind w:left="860" w:right="60" w:hanging="425"/>
        <w:spacing w:after="0" w:line="25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First-and-only non-scheduled treatment for narcolepsy</w:t>
      </w:r>
      <w:r>
        <w:rPr>
          <w:rFonts w:ascii="Arial" w:cs="Arial" w:eastAsia="Arial" w:hAnsi="Arial"/>
          <w:sz w:val="18"/>
          <w:szCs w:val="18"/>
          <w:color w:val="auto"/>
        </w:rPr>
        <w:t>. WAKIX is the first-and-only FDA-approved treatment for narcolepsy that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as a controlled substance by the DEA. We believe one of the most significant unmet needs is the availability of non-scheduled treatment options. In a clinical trial, pitolisant demonstrated statistically significantly lower drug liking compared to phentermine (a Schedule IV stimulant), consistent with its lack of abuse potential.</w:t>
      </w:r>
    </w:p>
    <w:p>
      <w:pPr>
        <w:spacing w:after="0" w:line="190" w:lineRule="exact"/>
        <w:rPr>
          <w:rFonts w:ascii="Arial" w:cs="Arial" w:eastAsia="Arial" w:hAnsi="Arial"/>
          <w:sz w:val="18"/>
          <w:szCs w:val="18"/>
          <w:color w:val="auto"/>
        </w:rPr>
      </w:pPr>
    </w:p>
    <w:p>
      <w:pPr>
        <w:ind w:left="860" w:right="100" w:hanging="425"/>
        <w:spacing w:after="0" w:line="293"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WAKIX is not a stimulant</w:t>
      </w:r>
      <w:r>
        <w:rPr>
          <w:rFonts w:ascii="Arial" w:cs="Arial" w:eastAsia="Arial" w:hAnsi="Arial"/>
          <w:sz w:val="16"/>
          <w:szCs w:val="16"/>
          <w:color w:val="auto"/>
        </w:rPr>
        <w:t>. Stimulants are one of the most commonly prescribed treatments for patients with narcolepsy. Unlike stimulants,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trials, WAKIX has shown no evidence for the development of drug tolerance or withdrawal symptoms. Therefore, there is no need for patients to temporarily stop the medication to reset efficacy. In addition, unlike stimulants, WAKIX does not increase dopamine levels in the brain’s reward center, which contributes to its lack of abuse potential. According to the National Sleep Foundation, stimulants have the potential for abuse, so their use must be considered carefully by patients and HCPs. WAKIX gives patients and HCPs a different therapeutic option.</w:t>
      </w:r>
    </w:p>
    <w:p>
      <w:pPr>
        <w:spacing w:after="0" w:line="160" w:lineRule="exact"/>
        <w:rPr>
          <w:rFonts w:ascii="Arial" w:cs="Arial" w:eastAsia="Arial" w:hAnsi="Arial"/>
          <w:sz w:val="16"/>
          <w:szCs w:val="16"/>
          <w:color w:val="auto"/>
        </w:rPr>
      </w:pPr>
    </w:p>
    <w:p>
      <w:pPr>
        <w:ind w:left="860" w:right="80" w:hanging="425"/>
        <w:spacing w:after="0" w:line="252"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WAKIX can be used as monotherapy or administered concomitantly with other narcolepsy treatments</w:t>
      </w:r>
      <w:r>
        <w:rPr>
          <w:rFonts w:ascii="Arial" w:cs="Arial" w:eastAsia="Arial" w:hAnsi="Arial"/>
          <w:sz w:val="18"/>
          <w:szCs w:val="18"/>
          <w:color w:val="auto"/>
        </w:rPr>
        <w:t>. Narcolepsy is a difficult disorder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and the majority of narcolepsy patients often require multiple medications to treat their symptoms. WAKIX was studied in combination with each of modafinil and sodium oxybate (two common treatments for narcolepsy) and demonstrated no effect on the pharmacokinetic (“PK”) profile of either treatment, and neither treatment had a clinically relevant effect on the PK profile of WAKIX. We believe the ability of WAKIX to be taken as monotherapy or concomitantly with other narcolepsy medications affords HCPs the flexibility to better manage their patients with narcolepsy.</w:t>
      </w:r>
    </w:p>
    <w:p>
      <w:pPr>
        <w:spacing w:after="0" w:line="193" w:lineRule="exact"/>
        <w:rPr>
          <w:rFonts w:ascii="Arial" w:cs="Arial" w:eastAsia="Arial" w:hAnsi="Arial"/>
          <w:sz w:val="18"/>
          <w:szCs w:val="18"/>
          <w:color w:val="auto"/>
        </w:rPr>
      </w:pPr>
    </w:p>
    <w:p>
      <w:pPr>
        <w:jc w:val="both"/>
        <w:ind w:left="860" w:right="220" w:hanging="425"/>
        <w:spacing w:after="0" w:line="25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WAKIX is a once-daily oral tablet administered in the morning upon wakening</w:t>
      </w:r>
      <w:r>
        <w:rPr>
          <w:rFonts w:ascii="Arial" w:cs="Arial" w:eastAsia="Arial" w:hAnsi="Arial"/>
          <w:sz w:val="18"/>
          <w:szCs w:val="18"/>
          <w:color w:val="auto"/>
        </w:rPr>
        <w:t>. Patients have identified a need for treatment options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easier to take and are dosed less frequently. We believe that once-daily dosing with WAKIX addresses this need and may help improve patient compliance with treatment.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140" w:firstLine="864"/>
        <w:spacing w:after="0" w:line="259" w:lineRule="auto"/>
        <w:rPr>
          <w:sz w:val="20"/>
          <w:szCs w:val="20"/>
          <w:color w:val="auto"/>
        </w:rPr>
      </w:pPr>
      <w:r>
        <w:rPr>
          <w:rFonts w:ascii="Arial" w:cs="Arial" w:eastAsia="Arial" w:hAnsi="Arial"/>
          <w:sz w:val="18"/>
          <w:szCs w:val="18"/>
          <w:color w:val="auto"/>
        </w:rPr>
        <w:t>Our goal is to become a leading pharmaceutical company dedicated to developing and commercializing novel treatment options for patients living with rare neurological disorders who have unmet medical needs, beginning with a focus on narcolepsy. The key elements of our strategy are outlined in our three pillars of growth:</w:t>
      </w:r>
    </w:p>
    <w:p>
      <w:pPr>
        <w:spacing w:after="0" w:line="293" w:lineRule="exact"/>
        <w:rPr>
          <w:sz w:val="20"/>
          <w:szCs w:val="20"/>
          <w:color w:val="auto"/>
        </w:rPr>
      </w:pPr>
    </w:p>
    <w:p>
      <w:pPr>
        <w:ind w:left="860" w:hanging="42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Pillar I: Optimize the Commercialization of WAKIX in Adult Patients with Narcolepsy</w:t>
      </w:r>
    </w:p>
    <w:p>
      <w:pPr>
        <w:spacing w:after="0" w:line="328" w:lineRule="exact"/>
        <w:rPr>
          <w:sz w:val="20"/>
          <w:szCs w:val="20"/>
          <w:color w:val="auto"/>
        </w:rPr>
      </w:pPr>
    </w:p>
    <w:p>
      <w:pPr>
        <w:ind w:left="2160" w:right="180" w:hanging="428"/>
        <w:spacing w:after="0" w:line="272" w:lineRule="auto"/>
        <w:tabs>
          <w:tab w:leader="none" w:pos="2160" w:val="left"/>
        </w:tabs>
        <w:numPr>
          <w:ilvl w:val="1"/>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Commercialize WAKIX in the United States</w:t>
      </w:r>
      <w:r>
        <w:rPr>
          <w:rFonts w:ascii="Arial" w:cs="Arial" w:eastAsia="Arial" w:hAnsi="Arial"/>
          <w:sz w:val="17"/>
          <w:szCs w:val="17"/>
          <w:color w:val="auto"/>
        </w:rPr>
        <w:t>. We have assembled a team of approximately 150 professionals that possess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comprehensive life sciences experience. We have also established a robust company infrastructure to execute on our core business and growth strategies. This team includes over 70 dedicated and experienced sales professionals who call on the approximately 8,000 HCPs who treat approximately 90% of narcolepsy patients in the United States. In November 2019, we launched commercial sales of WAKIX in the United States.</w:t>
      </w:r>
    </w:p>
    <w:p>
      <w:pPr>
        <w:spacing w:after="0" w:line="283" w:lineRule="exact"/>
        <w:rPr>
          <w:rFonts w:ascii="Arial" w:cs="Arial" w:eastAsia="Arial" w:hAnsi="Arial"/>
          <w:sz w:val="17"/>
          <w:szCs w:val="17"/>
          <w:color w:val="auto"/>
        </w:rPr>
      </w:pPr>
    </w:p>
    <w:p>
      <w:pPr>
        <w:ind w:left="860" w:hanging="42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Pillar II: Expand the Clinical Utility of WAKIX</w:t>
      </w:r>
    </w:p>
    <w:p>
      <w:pPr>
        <w:spacing w:after="0" w:line="327" w:lineRule="exact"/>
        <w:rPr>
          <w:rFonts w:ascii="Arial" w:cs="Arial" w:eastAsia="Arial" w:hAnsi="Arial"/>
          <w:sz w:val="18"/>
          <w:szCs w:val="18"/>
          <w:color w:val="auto"/>
        </w:rPr>
      </w:pPr>
    </w:p>
    <w:p>
      <w:pPr>
        <w:ind w:left="2160" w:right="80" w:hanging="428"/>
        <w:spacing w:after="0" w:line="307" w:lineRule="auto"/>
        <w:tabs>
          <w:tab w:leader="none" w:pos="216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Expand WAKIX Label in Narcolepsy</w:t>
      </w:r>
      <w:r>
        <w:rPr>
          <w:rFonts w:ascii="Arial" w:cs="Arial" w:eastAsia="Arial" w:hAnsi="Arial"/>
          <w:sz w:val="16"/>
          <w:szCs w:val="16"/>
          <w:color w:val="auto"/>
        </w:rPr>
        <w:t>. Building upon the EDS and cataplexy indications in adult patients with narcolepsy,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 to initiate a Phase 3 clinical trial in pediatric narcolepsy patients in the second half of 2021 with the goal of gaining a pediatric indication for both EDS and cataplexy. We also plan to engage with the FDA to pursue pediatric exclusivity.</w:t>
      </w:r>
    </w:p>
    <w:p>
      <w:pPr>
        <w:spacing w:after="0" w:line="256" w:lineRule="exact"/>
        <w:rPr>
          <w:rFonts w:ascii="Arial" w:cs="Arial" w:eastAsia="Arial" w:hAnsi="Arial"/>
          <w:sz w:val="16"/>
          <w:szCs w:val="16"/>
          <w:color w:val="auto"/>
        </w:rPr>
      </w:pPr>
    </w:p>
    <w:p>
      <w:pPr>
        <w:ind w:left="2160" w:hanging="428"/>
        <w:spacing w:after="0" w:line="283" w:lineRule="auto"/>
        <w:tabs>
          <w:tab w:leader="none" w:pos="216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Pursue New Indications Beyond Narcolepsy</w:t>
      </w:r>
      <w:r>
        <w:rPr>
          <w:rFonts w:ascii="Arial" w:cs="Arial" w:eastAsia="Arial" w:hAnsi="Arial"/>
          <w:sz w:val="16"/>
          <w:szCs w:val="16"/>
          <w:color w:val="auto"/>
        </w:rPr>
        <w:t>. We believe that pitolisant’s novel MOA offers 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portfolio in a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opportunity and has therapeutic potential in several other patient populations with rare neurological disorders. We submitted an IND for PWS in October 2019 and received acknowledgement from the FDA that the proposed clinical investigation may proceed. We subsequently completed a Phase 1 PK clinical trial in pediatric patients with PWS in the fourth quarter of 2019, and initiated a long-term, open-label safety trial in these patients. In December 2020, we initiated a Phase 2 clinical trial to evaluate pitolisant for the treatment of EDS and other key symptoms in patients with PWS, including behavioral symptoms and cognitive impairment. Topline results from this clinical trial are expected in the first half of 2022. For patients with DM, we are planning to evaluate pitolisant for the treatment of EDS and other key symptoms, including fatigue and cognitive impairment. We submitted an IND for DM at the end of 2020 and the IND opened in January 2021, after which we received a “Study May Proceed” letter from the FDA in February 2021. We plan to initiate a Phase 2 clinical trial in patients with DM1 during the first half of 2021 and anticipate topline results in the second half of 2022. We also plan to explore pitolisant’s potential as a treatment for EDS and related symptoms in other rare neurological disorders, potentially including those in which fatigue and cognitive impairment are prominent symptoms with significant impact on daily functioning.</w:t>
      </w:r>
    </w:p>
    <w:p>
      <w:pPr>
        <w:spacing w:after="0" w:line="282" w:lineRule="exact"/>
        <w:rPr>
          <w:rFonts w:ascii="Arial" w:cs="Arial" w:eastAsia="Arial" w:hAnsi="Arial"/>
          <w:sz w:val="16"/>
          <w:szCs w:val="16"/>
          <w:color w:val="auto"/>
        </w:rPr>
      </w:pPr>
    </w:p>
    <w:p>
      <w:pPr>
        <w:ind w:left="860" w:hanging="42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Pillar III: Acquire New Assets to Expand our Product Portfolio</w:t>
      </w:r>
    </w:p>
    <w:p>
      <w:pPr>
        <w:spacing w:after="0" w:line="327" w:lineRule="exact"/>
        <w:rPr>
          <w:rFonts w:ascii="Arial" w:cs="Arial" w:eastAsia="Arial" w:hAnsi="Arial"/>
          <w:sz w:val="18"/>
          <w:szCs w:val="18"/>
          <w:color w:val="auto"/>
        </w:rPr>
      </w:pPr>
    </w:p>
    <w:p>
      <w:pPr>
        <w:ind w:left="2160" w:right="60" w:hanging="428"/>
        <w:spacing w:after="0" w:line="297" w:lineRule="auto"/>
        <w:tabs>
          <w:tab w:leader="none" w:pos="216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Explore Expansion of our Product Portfolio</w:t>
      </w:r>
      <w:r>
        <w:rPr>
          <w:rFonts w:ascii="Arial" w:cs="Arial" w:eastAsia="Arial" w:hAnsi="Arial"/>
          <w:sz w:val="16"/>
          <w:szCs w:val="16"/>
          <w:color w:val="auto"/>
        </w:rPr>
        <w:t>. As we continue our commercial growth and the advancement of our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programs with pitolisant, a key component of our strategy will be to expand our product portfolio beyond pitolisant by partnering, co-developing or acquiring assets focused on rare neurological disorders and/or other disorders with unmet medical needs that are complementary to our existing research and development expertise and/or commercial footprint.</w:t>
      </w:r>
    </w:p>
    <w:p>
      <w:pPr>
        <w:spacing w:after="0" w:line="15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w:t>
      </w:r>
    </w:p>
    <w:p>
      <w:pPr>
        <w:spacing w:after="0" w:line="194"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w:t>
      </w:r>
    </w:p>
    <w:p>
      <w:pPr>
        <w:spacing w:after="0" w:line="186" w:lineRule="exact"/>
        <w:rPr>
          <w:sz w:val="20"/>
          <w:szCs w:val="20"/>
          <w:color w:val="auto"/>
        </w:rPr>
      </w:pPr>
    </w:p>
    <w:p>
      <w:pPr>
        <w:ind w:right="20" w:firstLine="864"/>
        <w:spacing w:after="0" w:line="253" w:lineRule="auto"/>
        <w:rPr>
          <w:sz w:val="20"/>
          <w:szCs w:val="20"/>
          <w:color w:val="auto"/>
        </w:rPr>
      </w:pPr>
      <w:r>
        <w:rPr>
          <w:rFonts w:ascii="Arial" w:cs="Arial" w:eastAsia="Arial" w:hAnsi="Arial"/>
          <w:sz w:val="18"/>
          <w:szCs w:val="18"/>
          <w:color w:val="auto"/>
        </w:rPr>
        <w:t>Since inception, we have raised approximately $493 million in equity financing. We have assembled an experienced leadership team with a track record of developing and commercializing products to treat rare neurological disorders. We believe that the clinical development, regulatory, commercial, and operational expertise of our executive and senior leadership team will be essential as we execute on our strategy of becoming a leading pharmaceutical company focused on developing and commercializing innovative therapies for the treatment of rare neurological disorders while delivering significant value to both patients and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Development Pipeline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Label Expansion</w:t>
      </w:r>
    </w:p>
    <w:p>
      <w:pPr>
        <w:spacing w:after="0" w:line="114" w:lineRule="exact"/>
        <w:rPr>
          <w:sz w:val="20"/>
          <w:szCs w:val="20"/>
          <w:color w:val="auto"/>
        </w:rPr>
      </w:pPr>
    </w:p>
    <w:p>
      <w:pPr>
        <w:ind w:right="140" w:firstLine="864"/>
        <w:spacing w:after="0" w:line="272" w:lineRule="auto"/>
        <w:rPr>
          <w:sz w:val="20"/>
          <w:szCs w:val="20"/>
          <w:color w:val="auto"/>
        </w:rPr>
      </w:pPr>
      <w:r>
        <w:rPr>
          <w:rFonts w:ascii="Arial" w:cs="Arial" w:eastAsia="Arial" w:hAnsi="Arial"/>
          <w:sz w:val="17"/>
          <w:szCs w:val="17"/>
          <w:color w:val="auto"/>
        </w:rPr>
        <w:t>While all patients with narcolepsy have the primary symptom of EDS, for which WAKIX was originally approved in adult patients, it is estimated that 60% to 70% of those diagnosed with narcolepsy and treated also experience cataplexy, representing approximately 25,000 to 30,000 patients in the United States. On October 13, 2020, we received regulatory approval for WAKIX for the treatment of cataplexy in adult patients with narcolepsy. We believe that the additional indication for cataplexy in adult patients strengthens the product profile of WAKIX and helps to facilitate access to WAKIX for adult patients suffering from both EDS and cataplexy associated with narcolepsy.</w:t>
      </w:r>
    </w:p>
    <w:p>
      <w:pPr>
        <w:spacing w:after="0" w:line="176" w:lineRule="exact"/>
        <w:rPr>
          <w:sz w:val="20"/>
          <w:szCs w:val="20"/>
          <w:color w:val="auto"/>
        </w:rPr>
      </w:pPr>
    </w:p>
    <w:p>
      <w:pPr>
        <w:ind w:right="20" w:firstLine="864"/>
        <w:spacing w:after="0" w:line="253" w:lineRule="auto"/>
        <w:rPr>
          <w:sz w:val="20"/>
          <w:szCs w:val="20"/>
          <w:color w:val="auto"/>
        </w:rPr>
      </w:pPr>
      <w:r>
        <w:rPr>
          <w:rFonts w:ascii="Arial" w:cs="Arial" w:eastAsia="Arial" w:hAnsi="Arial"/>
          <w:sz w:val="18"/>
          <w:szCs w:val="18"/>
          <w:color w:val="auto"/>
        </w:rPr>
        <w:t>We are actively working on our goal of label expansion for WAKIX in narcolepsy by pursuing an indication for pediatric patients suffering from narcolepsy. Approximately 3,600 of the diagnosed narcolepsy patients in the United States are 19 years of age or under. We believe that pediatric patients could benefit from new treatment options. Accordingly, we currently expect to initiate a Phase 3 clinical trial in the second half of 2021 for indications of both EDS and cataplexy in pediatric patients. Topline results from this clinical trial are expected in the first half of 2023. We also intend to submit a Pediatric Written Request to the FDA with the goal of obtaining pediatric exclusivity.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Indications</w:t>
      </w:r>
    </w:p>
    <w:p>
      <w:pPr>
        <w:spacing w:after="0" w:line="114" w:lineRule="exact"/>
        <w:rPr>
          <w:sz w:val="20"/>
          <w:szCs w:val="20"/>
          <w:color w:val="auto"/>
        </w:rPr>
      </w:pPr>
    </w:p>
    <w:p>
      <w:pPr>
        <w:ind w:right="140" w:firstLine="864"/>
        <w:spacing w:after="0" w:line="255"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disorders that are mediated through the H</w:t>
      </w:r>
      <w:r>
        <w:rPr>
          <w:rFonts w:ascii="Arial" w:cs="Arial" w:eastAsia="Arial" w:hAnsi="Arial"/>
          <w:sz w:val="15"/>
          <w:szCs w:val="15"/>
          <w:color w:val="auto"/>
        </w:rPr>
        <w:t>3</w:t>
      </w:r>
      <w:r>
        <w:rPr>
          <w:rFonts w:ascii="Arial" w:cs="Arial" w:eastAsia="Arial" w:hAnsi="Arial"/>
          <w:sz w:val="18"/>
          <w:szCs w:val="18"/>
          <w:color w:val="auto"/>
        </w:rPr>
        <w:t xml:space="preserve"> receptor and histamine signaling and offers a </w:t>
      </w:r>
      <w:r>
        <w:rPr>
          <w:rFonts w:ascii="Arial" w:cs="Arial" w:eastAsia="Arial" w:hAnsi="Arial"/>
          <w:sz w:val="18"/>
          <w:szCs w:val="18"/>
          <w:i w:val="1"/>
          <w:iCs w:val="1"/>
          <w:color w:val="auto"/>
        </w:rPr>
        <w:t>portfolio in a product</w:t>
      </w:r>
      <w:r>
        <w:rPr>
          <w:rFonts w:ascii="Arial" w:cs="Arial" w:eastAsia="Arial" w:hAnsi="Arial"/>
          <w:sz w:val="18"/>
          <w:szCs w:val="18"/>
          <w:color w:val="auto"/>
        </w:rPr>
        <w:t xml:space="preserve"> opportunity with pitolisant. We plan to explore the potential benefit of pitolisant in additional rare neurological indications beyond narcolepsy, initially focusing on the treatment of EDS associated with PWS and DM.</w:t>
      </w:r>
    </w:p>
    <w:p>
      <w:pPr>
        <w:spacing w:after="0" w:line="190" w:lineRule="exact"/>
        <w:rPr>
          <w:sz w:val="20"/>
          <w:szCs w:val="20"/>
          <w:color w:val="auto"/>
        </w:rPr>
      </w:pPr>
    </w:p>
    <w:p>
      <w:pPr>
        <w:ind w:right="20" w:firstLine="864"/>
        <w:spacing w:after="0" w:line="269" w:lineRule="auto"/>
        <w:rPr>
          <w:sz w:val="20"/>
          <w:szCs w:val="20"/>
          <w:color w:val="auto"/>
        </w:rPr>
      </w:pPr>
      <w:r>
        <w:rPr>
          <w:rFonts w:ascii="Arial" w:cs="Arial" w:eastAsia="Arial" w:hAnsi="Arial"/>
          <w:sz w:val="17"/>
          <w:szCs w:val="17"/>
          <w:color w:val="auto"/>
        </w:rPr>
        <w:t>PWS is a rare genetic disorder caused by a loss of function of specific genes on chromosome 15 resulting in hypothalamic dysfunction. The hypothalamus controls both sleep-wake states and hunger-satiety. Therefore, two of the main symptoms in patients with PWS are EDS and insatiable hunger, or hyperphagia. Other consequences of PWS include low muscle tone, short stature, behavioral problems and cognitive impairment. It is estimated that approximately 15,000 to 20,000 people in the United States suffer from PWS, and over half of those suffering from PWS also have reported or experienced EDS, for which there are no FDA-approved treatments. We completed a Phase 1 PK clinical trial in the United States in pediatric patients with PWS in the fourth quarter of 2019, and initiated a long-term, open-label safety study in these patients. In December 2020, we initiated a Phase 2 clinical trial in patients with PWS and anticipate topline results from this clinical trial in the first half of 2022.</w:t>
      </w:r>
    </w:p>
    <w:p>
      <w:pPr>
        <w:spacing w:after="0" w:line="17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firstLine="864"/>
        <w:spacing w:after="0" w:line="266" w:lineRule="auto"/>
        <w:rPr>
          <w:sz w:val="20"/>
          <w:szCs w:val="20"/>
          <w:color w:val="auto"/>
        </w:rPr>
      </w:pPr>
      <w:r>
        <w:rPr>
          <w:rFonts w:ascii="Arial" w:cs="Arial" w:eastAsia="Arial" w:hAnsi="Arial"/>
          <w:sz w:val="17"/>
          <w:szCs w:val="17"/>
          <w:color w:val="auto"/>
        </w:rPr>
        <w:t>DM is a rare, multi-system genetic disease that affects the neuromuscular system as well as several other systems, for which there are no FDA-approved treatments. It is inherited in an autosomal dominant pattern and there are two main types: type 1 (“DM1”) and type 2 (“DM2”). The underlying cause of DM1 is a mutation in the myotonic dystrophy protein kinase (“DMPK”) gene on chromosome 19. DM1 is the most common form of adult-onset muscular dystrophy and affects as many as 140,000 patients in the United States. EDS and fatigue are hallmark clinical characteristics in the majority of patients with DM1 and are referred to as the most frequent non-muscular symptoms in patients with DM1. Cognitive impairment is also a prominent symptom in patients with DM1 and all of these symptoms are thought to be mediated through H</w:t>
      </w:r>
      <w:r>
        <w:rPr>
          <w:rFonts w:ascii="Arial" w:cs="Arial" w:eastAsia="Arial" w:hAnsi="Arial"/>
          <w:sz w:val="14"/>
          <w:szCs w:val="14"/>
          <w:color w:val="auto"/>
        </w:rPr>
        <w:t>3</w:t>
      </w:r>
      <w:r>
        <w:rPr>
          <w:rFonts w:ascii="Arial" w:cs="Arial" w:eastAsia="Arial" w:hAnsi="Arial"/>
          <w:sz w:val="17"/>
          <w:szCs w:val="17"/>
          <w:color w:val="auto"/>
        </w:rPr>
        <w:t xml:space="preserve"> receptors and histaminergic pathways located throughout the central nervous system (“CNS”). DM2 is not as common as DM1 with an estimated prevalence of between 3,000 and 29,000 patients in the United States. The underlying cause of DM2 is a mutation in the CCHC-Type Zinc Finger Nucleic Acid Binding Protein (“CBNP”) gene on chromosome 3. Patients with DM1 and DM2 share similar phenotypes but disease onset is later in patients with DM2 and symptoms tend to be milder. We submitted an IND for DM at the end of 2020 and the IND opened in January 2021, after which we received a “Study May Proceed” letter from the FDA in February 2021. We plan to initiate a Phase 2 clinical trial in patients with DM1 during the first half of 2021 and anticipate topline results from this clinical trial in the second half of 2022.</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Development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168910</wp:posOffset>
            </wp:positionV>
            <wp:extent cx="5299075" cy="2802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9907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40" w:firstLine="864"/>
        <w:spacing w:after="0" w:line="255" w:lineRule="auto"/>
        <w:rPr>
          <w:sz w:val="20"/>
          <w:szCs w:val="20"/>
          <w:color w:val="auto"/>
        </w:rPr>
      </w:pPr>
      <w:r>
        <w:rPr>
          <w:rFonts w:ascii="Arial" w:cs="Arial" w:eastAsia="Arial" w:hAnsi="Arial"/>
          <w:sz w:val="18"/>
          <w:szCs w:val="18"/>
          <w:color w:val="auto"/>
        </w:rPr>
        <w:t>Beyond the target indications listed above, we believe there are opportunities related to CNS disorders of hypersomnolence that we may pursue. We also intend to further explore pitolisant in other rare neurological disorders, potentially in those in which fatigue and cognitive impairment are prominent symptoms with significant impact on daily functioning. As we conduct our new clinical programs, we will generate new data and gain new insights that will help inform our development strategy in pursuit of additional indications in the future.</w:t>
      </w:r>
    </w:p>
    <w:p>
      <w:pPr>
        <w:spacing w:after="0" w:line="19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Commercialization Strategy</w:t>
      </w:r>
    </w:p>
    <w:p>
      <w:pPr>
        <w:spacing w:after="0" w:line="221" w:lineRule="exact"/>
        <w:rPr>
          <w:sz w:val="20"/>
          <w:szCs w:val="20"/>
          <w:color w:val="auto"/>
        </w:rPr>
      </w:pPr>
    </w:p>
    <w:p>
      <w:pPr>
        <w:ind w:right="480" w:firstLine="864"/>
        <w:spacing w:after="0" w:line="271" w:lineRule="auto"/>
        <w:rPr>
          <w:sz w:val="20"/>
          <w:szCs w:val="20"/>
          <w:color w:val="auto"/>
        </w:rPr>
      </w:pPr>
      <w:r>
        <w:rPr>
          <w:rFonts w:ascii="Arial" w:cs="Arial" w:eastAsia="Arial" w:hAnsi="Arial"/>
          <w:sz w:val="18"/>
          <w:szCs w:val="18"/>
          <w:color w:val="auto"/>
        </w:rPr>
        <w:t>We launched WAKIX into the narcolepsy market in November 2019 and are engaging with HCPs, patients and payors through the focused commercialization strategy outlined below to optimize adoption of WAKIX in the marketplace:</w:t>
      </w:r>
    </w:p>
    <w:p>
      <w:pPr>
        <w:spacing w:after="0" w:line="175" w:lineRule="exact"/>
        <w:rPr>
          <w:sz w:val="20"/>
          <w:szCs w:val="20"/>
          <w:color w:val="auto"/>
        </w:rPr>
      </w:pPr>
    </w:p>
    <w:p>
      <w:pPr>
        <w:ind w:left="860" w:hanging="425"/>
        <w:spacing w:after="0" w:line="252"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HCP Awareness and Adoption</w:t>
      </w:r>
      <w:r>
        <w:rPr>
          <w:rFonts w:ascii="Arial" w:cs="Arial" w:eastAsia="Arial" w:hAnsi="Arial"/>
          <w:sz w:val="18"/>
          <w:szCs w:val="18"/>
          <w:color w:val="auto"/>
        </w:rPr>
        <w:t>: To facilitate HCP awareness and adoption of WAKIX, we have deployed our dedicated, in-house, over 70-person sales team to educate a defined prescriber base of approximately 8,000 HCPs comprised of neurologists, pulmonologists, sleep specialists, psychiatrists and high-prescribing primary care physicians who specialize in or focus on sleep disorders. We believe these HCPs diagnose and treat approximately 90% of the narcolepsy patients in the United States. We began our commercial HCP outreach in August 2019 following FDA approval of WAKIX for the treatment of EDS in adult patients with narcolepsy and our efforts continue following the approval of the cataplexy indication in October 2020.</w:t>
      </w:r>
    </w:p>
    <w:p>
      <w:pPr>
        <w:spacing w:after="0" w:line="193" w:lineRule="exact"/>
        <w:rPr>
          <w:rFonts w:ascii="Arial" w:cs="Arial" w:eastAsia="Arial" w:hAnsi="Arial"/>
          <w:sz w:val="18"/>
          <w:szCs w:val="18"/>
          <w:color w:val="auto"/>
        </w:rPr>
      </w:pPr>
    </w:p>
    <w:p>
      <w:pPr>
        <w:ind w:left="860" w:right="120" w:hanging="425"/>
        <w:spacing w:after="0" w:line="275"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Patient Awareness</w:t>
      </w:r>
      <w:r>
        <w:rPr>
          <w:rFonts w:ascii="Arial" w:cs="Arial" w:eastAsia="Arial" w:hAnsi="Arial"/>
          <w:sz w:val="17"/>
          <w:szCs w:val="17"/>
          <w:color w:val="auto"/>
        </w:rPr>
        <w:t>: It is estimated that narcolepsy affects approximately 165,000 Americans with fewer than 50% diagnosed. Of those living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narcolepsy in the United States, it is estimated that fewer than 45,000 are on narcolepsy medications, which we believe indicates a significant unmet medical need. To drive patient awareness of WAKIX and its differentiated product profile, we have been communicating with the narcolepsy patient community and providing them with educational materials and information on WAKIX.</w:t>
      </w:r>
    </w:p>
    <w:p>
      <w:pPr>
        <w:spacing w:after="0" w:line="173" w:lineRule="exact"/>
        <w:rPr>
          <w:rFonts w:ascii="Arial" w:cs="Arial" w:eastAsia="Arial" w:hAnsi="Arial"/>
          <w:sz w:val="17"/>
          <w:szCs w:val="17"/>
          <w:color w:val="auto"/>
        </w:rPr>
      </w:pPr>
    </w:p>
    <w:p>
      <w:pPr>
        <w:ind w:left="860" w:right="60" w:hanging="425"/>
        <w:spacing w:after="0" w:line="253"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Payor Coverage: </w:t>
      </w:r>
      <w:r>
        <w:rPr>
          <w:rFonts w:ascii="Arial" w:cs="Arial" w:eastAsia="Arial" w:hAnsi="Arial"/>
          <w:sz w:val="18"/>
          <w:szCs w:val="18"/>
          <w:color w:val="auto"/>
        </w:rPr>
        <w:t>Recognizing the importance of payor coverage, our field market access team has been engaging with national and regional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payors over the past two plus years to educate them on the clinical data and value proposition of WAKIX. Through December 31, 2020, we have secured formulary access for approximately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93" w:lineRule="exact"/>
        <w:rPr>
          <w:sz w:val="20"/>
          <w:szCs w:val="20"/>
          <w:color w:val="auto"/>
        </w:rPr>
      </w:pPr>
    </w:p>
    <w:p>
      <w:pPr>
        <w:ind w:right="100" w:firstLine="864"/>
        <w:spacing w:after="0" w:line="275" w:lineRule="auto"/>
        <w:rPr>
          <w:sz w:val="20"/>
          <w:szCs w:val="20"/>
          <w:color w:val="auto"/>
        </w:rPr>
      </w:pPr>
      <w:r>
        <w:rPr>
          <w:rFonts w:ascii="Arial" w:cs="Arial" w:eastAsia="Arial" w:hAnsi="Arial"/>
          <w:sz w:val="17"/>
          <w:szCs w:val="17"/>
          <w:color w:val="auto"/>
        </w:rPr>
        <w:t>We believe the differentiating attributes of WAKIX that have facilitated and will continue to facilitate awareness, adoption, and coverage include: (i) it is a first-in-class molecule with a novel MOA, (ii) it is the first-and-only non-scheduled treatment approved for EDS or cataplexy in adult patients with narcolepsy, (iii) it is not a stimulant, (iv) it has broad clinical utility because it can be used as monotherapy or administered concomitantly with other narcolepsy treatments, and (v) it is a once-daily oral tablet administered in the morning upon wakening.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WAKIX (pitolisant)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4" w:lineRule="exact"/>
        <w:rPr>
          <w:sz w:val="20"/>
          <w:szCs w:val="20"/>
          <w:color w:val="auto"/>
        </w:rPr>
      </w:pPr>
    </w:p>
    <w:p>
      <w:pPr>
        <w:ind w:right="140" w:firstLine="864"/>
        <w:spacing w:after="0" w:line="269" w:lineRule="auto"/>
        <w:rPr>
          <w:sz w:val="20"/>
          <w:szCs w:val="20"/>
          <w:color w:val="auto"/>
        </w:rPr>
      </w:pPr>
      <w:r>
        <w:rPr>
          <w:rFonts w:ascii="Arial" w:cs="Arial" w:eastAsia="Arial" w:hAnsi="Arial"/>
          <w:sz w:val="17"/>
          <w:szCs w:val="17"/>
          <w:color w:val="auto"/>
        </w:rPr>
        <w:t>The strategy behind the clinical development of pitolisant is based on its MOA, which is thought to work by regulating histamine transmission. Pitolisant is a first-in-class molecule with a novel MOA, acting as a potent and highly selective antagonist/inverse agonist of the H</w:t>
      </w:r>
      <w:r>
        <w:rPr>
          <w:rFonts w:ascii="Arial" w:cs="Arial" w:eastAsia="Arial" w:hAnsi="Arial"/>
          <w:sz w:val="14"/>
          <w:szCs w:val="14"/>
          <w:color w:val="auto"/>
        </w:rPr>
        <w:t>3</w:t>
      </w:r>
      <w:r>
        <w:rPr>
          <w:rFonts w:ascii="Arial" w:cs="Arial" w:eastAsia="Arial" w:hAnsi="Arial"/>
          <w:sz w:val="17"/>
          <w:szCs w:val="17"/>
          <w:color w:val="auto"/>
        </w:rPr>
        <w:t xml:space="preserve"> receptor. It activates histaminergic neurons in the brain, a neuronal system involved in the maintenance of wakefulness, attention, vigilance and cognition. Pitolisant binds to H</w:t>
      </w:r>
      <w:r>
        <w:rPr>
          <w:rFonts w:ascii="Arial" w:cs="Arial" w:eastAsia="Arial" w:hAnsi="Arial"/>
          <w:sz w:val="14"/>
          <w:szCs w:val="14"/>
          <w:color w:val="auto"/>
        </w:rPr>
        <w:t>3</w:t>
      </w:r>
      <w:r>
        <w:rPr>
          <w:rFonts w:ascii="Arial" w:cs="Arial" w:eastAsia="Arial" w:hAnsi="Arial"/>
          <w:sz w:val="17"/>
          <w:szCs w:val="17"/>
          <w:color w:val="auto"/>
        </w:rPr>
        <w:t xml:space="preserve"> receptors on presynaptic neurons and blocks the normal negative feedback mechanism for histamine release, resulting in increased release of this wake-promoting neurotransmitter. It also functions as an inverse agonist, resulting in enhanced histamine synthesis and release from presynaptic neurons. Increased histamine available in the synapse binds to postsynaptic H</w:t>
      </w:r>
      <w:r>
        <w:rPr>
          <w:rFonts w:ascii="Arial" w:cs="Arial" w:eastAsia="Arial" w:hAnsi="Arial"/>
          <w:sz w:val="14"/>
          <w:szCs w:val="14"/>
          <w:color w:val="auto"/>
        </w:rPr>
        <w:t>1</w:t>
      </w:r>
      <w:r>
        <w:rPr>
          <w:rFonts w:ascii="Arial" w:cs="Arial" w:eastAsia="Arial" w:hAnsi="Arial"/>
          <w:sz w:val="17"/>
          <w:szCs w:val="17"/>
          <w:color w:val="auto"/>
        </w:rPr>
        <w:t xml:space="preserve"> receptors, activating postsynaptic neurons, which stimulate wake-promoting brain regions and inhibit sleep-promoting regions of the brain.</w:t>
      </w:r>
    </w:p>
    <w:p>
      <w:pPr>
        <w:spacing w:after="0" w:line="200" w:lineRule="exact"/>
        <w:rPr>
          <w:sz w:val="20"/>
          <w:szCs w:val="20"/>
          <w:color w:val="auto"/>
        </w:rPr>
      </w:pP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WAKIX® (pitolisant)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234315</wp:posOffset>
            </wp:positionV>
            <wp:extent cx="5299075" cy="3193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9075" cy="319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firstLine="864"/>
        <w:spacing w:after="0" w:line="253" w:lineRule="auto"/>
        <w:rPr>
          <w:sz w:val="20"/>
          <w:szCs w:val="20"/>
          <w:color w:val="auto"/>
        </w:rPr>
      </w:pPr>
      <w:r>
        <w:rPr>
          <w:rFonts w:ascii="Arial" w:cs="Arial" w:eastAsia="Arial" w:hAnsi="Arial"/>
          <w:sz w:val="18"/>
          <w:szCs w:val="18"/>
          <w:color w:val="auto"/>
        </w:rPr>
        <w:t>Pitolisant also stimulates the release of other wake-promoting neurotransmitters (dopamine, norepinephrine, serotonin and acetylcholine) via H</w:t>
      </w:r>
      <w:r>
        <w:rPr>
          <w:rFonts w:ascii="Arial" w:cs="Arial" w:eastAsia="Arial" w:hAnsi="Arial"/>
          <w:sz w:val="15"/>
          <w:szCs w:val="15"/>
          <w:color w:val="auto"/>
        </w:rPr>
        <w:t>3</w:t>
      </w:r>
      <w:r>
        <w:rPr>
          <w:rFonts w:ascii="Arial" w:cs="Arial" w:eastAsia="Arial" w:hAnsi="Arial"/>
          <w:sz w:val="18"/>
          <w:szCs w:val="18"/>
          <w:color w:val="auto"/>
        </w:rPr>
        <w:t xml:space="preserve"> heteroreceptors within those neuronal systems. Importantly, pitolisant does not increase dopamine levels in the striatum, including the nucleus accumbens, which is the brain’s reward center where an increase in dopamine levels is correlated with abuse potential. This feature of pitolisant’s MOA, along with primarily working through the histaminergic system, are two of the aspects that differentiate pitolisant from all other currently approved treatments for narcolepsy.</w:t>
      </w:r>
    </w:p>
    <w:p>
      <w:pPr>
        <w:spacing w:after="0" w:line="193" w:lineRule="exact"/>
        <w:rPr>
          <w:sz w:val="20"/>
          <w:szCs w:val="20"/>
          <w:color w:val="auto"/>
        </w:rPr>
      </w:pPr>
    </w:p>
    <w:p>
      <w:pPr>
        <w:ind w:firstLine="864"/>
        <w:spacing w:after="0" w:line="286" w:lineRule="auto"/>
        <w:rPr>
          <w:sz w:val="20"/>
          <w:szCs w:val="20"/>
          <w:color w:val="auto"/>
        </w:rPr>
      </w:pPr>
      <w:r>
        <w:rPr>
          <w:rFonts w:ascii="Arial" w:cs="Arial" w:eastAsia="Arial" w:hAnsi="Arial"/>
          <w:sz w:val="16"/>
          <w:szCs w:val="16"/>
          <w:color w:val="auto"/>
        </w:rPr>
        <w:t>The safety profile of pitolisant is based on pooled safety data from 22 Phase 2 or Phase 3 clinical trials conducted by Bioprojet, eight of which were in patients with narcolepsy and 14 of which were in other indications. These trials included 1,513 unique patients, of whom 1,043 received pitolisant in double-blind placebo-controlled studies, and others received pitolisant in single-blind or open-label trials. Three successful pivotal trials in narcolepsy, HARMONY 1, HARMONY 1bis, and HARMONY CTP, were completed in Europe by Bioprojet and served as the foundation for the approval of pitolisant by the EMA in 2016 for the treatment of narcolepsy in adults with or without cataplexy. Pitolisant was evaluated in a long-term safety and tolerability trial, HARMONY 3, which further supported the results observed in HARMONY 1, HARMONY 1bis, and HARMONY CTP. The data from these trials were submitted, along with data from a human abuse potential (“HAP”) trial, to the FDA as part of the NDA for WAKIX (pitolisant), which the FDA approved on August 14, 2019 for the treatment of EDS in adult patients with narcolepsy and on October 13, 2020 for the treatment of cataplexy in adult patients with narcolepsy. The table below provides an overview of the trial designs from these five clinical trials.</w:t>
      </w: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313055</wp:posOffset>
            </wp:positionV>
            <wp:extent cx="7125335" cy="4662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5335" cy="466217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shd w:val="clear" w:color="auto" w:fill="538135"/>
          </w:tcPr>
          <w:p>
            <w:pPr>
              <w:ind w:left="980"/>
              <w:spacing w:after="0"/>
              <w:rPr>
                <w:sz w:val="20"/>
                <w:szCs w:val="20"/>
                <w:color w:val="auto"/>
              </w:rPr>
            </w:pPr>
            <w:r>
              <w:rPr>
                <w:rFonts w:ascii="Arial" w:cs="Arial" w:eastAsia="Arial" w:hAnsi="Arial"/>
                <w:sz w:val="18"/>
                <w:szCs w:val="18"/>
                <w:b w:val="1"/>
                <w:bCs w:val="1"/>
                <w:color w:val="auto"/>
              </w:rPr>
              <w:t>Name of Study</w:t>
            </w:r>
          </w:p>
        </w:tc>
        <w:tc>
          <w:tcPr>
            <w:tcW w:w="1240" w:type="dxa"/>
            <w:vAlign w:val="bottom"/>
            <w:shd w:val="clear" w:color="auto" w:fill="538135"/>
          </w:tcPr>
          <w:p>
            <w:pPr>
              <w:ind w:left="260"/>
              <w:spacing w:after="0"/>
              <w:rPr>
                <w:sz w:val="20"/>
                <w:szCs w:val="20"/>
                <w:color w:val="auto"/>
              </w:rPr>
            </w:pPr>
            <w:r>
              <w:rPr>
                <w:rFonts w:ascii="Arial" w:cs="Arial" w:eastAsia="Arial" w:hAnsi="Arial"/>
                <w:sz w:val="18"/>
                <w:szCs w:val="18"/>
                <w:b w:val="1"/>
                <w:bCs w:val="1"/>
                <w:color w:val="auto"/>
              </w:rPr>
              <w:t>Number of</w:t>
            </w:r>
          </w:p>
        </w:tc>
        <w:tc>
          <w:tcPr>
            <w:tcW w:w="1860" w:type="dxa"/>
            <w:vAlign w:val="bottom"/>
            <w:shd w:val="clear" w:color="auto" w:fill="538135"/>
          </w:tcPr>
          <w:p>
            <w:pPr>
              <w:ind w:left="320"/>
              <w:spacing w:after="0"/>
              <w:rPr>
                <w:sz w:val="20"/>
                <w:szCs w:val="20"/>
                <w:color w:val="auto"/>
              </w:rPr>
            </w:pPr>
            <w:r>
              <w:rPr>
                <w:rFonts w:ascii="Arial" w:cs="Arial" w:eastAsia="Arial" w:hAnsi="Arial"/>
                <w:sz w:val="18"/>
                <w:szCs w:val="18"/>
                <w:b w:val="1"/>
                <w:bCs w:val="1"/>
                <w:color w:val="auto"/>
              </w:rPr>
              <w:t>Maximum Dose;</w:t>
            </w:r>
          </w:p>
        </w:tc>
        <w:tc>
          <w:tcPr>
            <w:tcW w:w="1920" w:type="dxa"/>
            <w:vAlign w:val="bottom"/>
            <w:shd w:val="clear" w:color="auto" w:fill="538135"/>
          </w:tcPr>
          <w:p>
            <w:pPr>
              <w:ind w:left="280"/>
              <w:spacing w:after="0"/>
              <w:rPr>
                <w:sz w:val="20"/>
                <w:szCs w:val="20"/>
                <w:color w:val="auto"/>
              </w:rPr>
            </w:pPr>
            <w:r>
              <w:rPr>
                <w:rFonts w:ascii="Arial" w:cs="Arial" w:eastAsia="Arial" w:hAnsi="Arial"/>
                <w:sz w:val="18"/>
                <w:szCs w:val="18"/>
                <w:b w:val="1"/>
                <w:bCs w:val="1"/>
                <w:color w:val="auto"/>
              </w:rPr>
              <w:t>Primary Objective</w:t>
            </w:r>
          </w:p>
        </w:tc>
        <w:tc>
          <w:tcPr>
            <w:tcW w:w="3200" w:type="dxa"/>
            <w:vAlign w:val="bottom"/>
            <w:shd w:val="clear" w:color="auto" w:fill="538135"/>
          </w:tcPr>
          <w:p>
            <w:pPr>
              <w:ind w:left="1360"/>
              <w:spacing w:after="0"/>
              <w:rPr>
                <w:sz w:val="20"/>
                <w:szCs w:val="20"/>
                <w:color w:val="auto"/>
              </w:rPr>
            </w:pPr>
            <w:r>
              <w:rPr>
                <w:rFonts w:ascii="Arial" w:cs="Arial" w:eastAsia="Arial" w:hAnsi="Arial"/>
                <w:sz w:val="18"/>
                <w:szCs w:val="18"/>
                <w:b w:val="1"/>
                <w:bCs w:val="1"/>
                <w:color w:val="auto"/>
              </w:rPr>
              <w:t>Results</w:t>
            </w:r>
          </w:p>
        </w:tc>
      </w:tr>
      <w:tr>
        <w:trPr>
          <w:trHeight w:val="231"/>
        </w:trPr>
        <w:tc>
          <w:tcPr>
            <w:tcW w:w="3000" w:type="dxa"/>
            <w:vAlign w:val="bottom"/>
            <w:shd w:val="clear" w:color="auto" w:fill="538135"/>
          </w:tcPr>
          <w:p>
            <w:pPr>
              <w:ind w:left="1040"/>
              <w:spacing w:after="0"/>
              <w:rPr>
                <w:sz w:val="20"/>
                <w:szCs w:val="20"/>
                <w:color w:val="auto"/>
              </w:rPr>
            </w:pPr>
            <w:r>
              <w:rPr>
                <w:rFonts w:ascii="Arial" w:cs="Arial" w:eastAsia="Arial" w:hAnsi="Arial"/>
                <w:sz w:val="18"/>
                <w:szCs w:val="18"/>
                <w:b w:val="1"/>
                <w:bCs w:val="1"/>
                <w:color w:val="auto"/>
              </w:rPr>
              <w:t>Study Design</w:t>
            </w:r>
          </w:p>
        </w:tc>
        <w:tc>
          <w:tcPr>
            <w:tcW w:w="1240" w:type="dxa"/>
            <w:vAlign w:val="bottom"/>
            <w:shd w:val="clear" w:color="auto" w:fill="538135"/>
          </w:tcPr>
          <w:p>
            <w:pPr>
              <w:ind w:left="360"/>
              <w:spacing w:after="0"/>
              <w:rPr>
                <w:sz w:val="20"/>
                <w:szCs w:val="20"/>
                <w:color w:val="auto"/>
              </w:rPr>
            </w:pPr>
            <w:r>
              <w:rPr>
                <w:rFonts w:ascii="Arial" w:cs="Arial" w:eastAsia="Arial" w:hAnsi="Arial"/>
                <w:sz w:val="18"/>
                <w:szCs w:val="18"/>
                <w:b w:val="1"/>
                <w:bCs w:val="1"/>
                <w:color w:val="auto"/>
              </w:rPr>
              <w:t>Patients</w:t>
            </w:r>
          </w:p>
        </w:tc>
        <w:tc>
          <w:tcPr>
            <w:tcW w:w="1860" w:type="dxa"/>
            <w:vAlign w:val="bottom"/>
            <w:shd w:val="clear" w:color="auto" w:fill="538135"/>
          </w:tcPr>
          <w:p>
            <w:pPr>
              <w:ind w:left="380"/>
              <w:spacing w:after="0"/>
              <w:rPr>
                <w:sz w:val="20"/>
                <w:szCs w:val="20"/>
                <w:color w:val="auto"/>
              </w:rPr>
            </w:pPr>
            <w:r>
              <w:rPr>
                <w:rFonts w:ascii="Arial" w:cs="Arial" w:eastAsia="Arial" w:hAnsi="Arial"/>
                <w:sz w:val="18"/>
                <w:szCs w:val="18"/>
                <w:b w:val="1"/>
                <w:bCs w:val="1"/>
                <w:color w:val="auto"/>
              </w:rPr>
              <w:t>% at that Dose</w:t>
            </w:r>
          </w:p>
        </w:tc>
        <w:tc>
          <w:tcPr>
            <w:tcW w:w="1920" w:type="dxa"/>
            <w:vAlign w:val="bottom"/>
            <w:shd w:val="clear" w:color="auto" w:fill="538135"/>
          </w:tcPr>
          <w:p>
            <w:pPr>
              <w:spacing w:after="0"/>
              <w:rPr>
                <w:sz w:val="20"/>
                <w:szCs w:val="20"/>
                <w:color w:val="auto"/>
              </w:rPr>
            </w:pPr>
          </w:p>
        </w:tc>
        <w:tc>
          <w:tcPr>
            <w:tcW w:w="3200" w:type="dxa"/>
            <w:vAlign w:val="bottom"/>
            <w:shd w:val="clear" w:color="auto" w:fill="538135"/>
          </w:tcPr>
          <w:p>
            <w:pPr>
              <w:spacing w:after="0"/>
              <w:rPr>
                <w:sz w:val="20"/>
                <w:szCs w:val="20"/>
                <w:color w:val="auto"/>
              </w:rPr>
            </w:pPr>
          </w:p>
        </w:tc>
      </w:tr>
      <w:tr>
        <w:trPr>
          <w:trHeight w:val="470"/>
        </w:trPr>
        <w:tc>
          <w:tcPr>
            <w:tcW w:w="3000" w:type="dxa"/>
            <w:vAlign w:val="bottom"/>
            <w:shd w:val="clear" w:color="auto" w:fill="538135"/>
          </w:tcPr>
          <w:p>
            <w:pPr>
              <w:spacing w:after="0"/>
              <w:rPr>
                <w:sz w:val="24"/>
                <w:szCs w:val="24"/>
                <w:color w:val="auto"/>
              </w:rPr>
            </w:pPr>
          </w:p>
        </w:tc>
        <w:tc>
          <w:tcPr>
            <w:tcW w:w="1240" w:type="dxa"/>
            <w:vAlign w:val="bottom"/>
            <w:shd w:val="clear" w:color="auto" w:fill="538135"/>
          </w:tcPr>
          <w:p>
            <w:pPr>
              <w:spacing w:after="0"/>
              <w:rPr>
                <w:sz w:val="24"/>
                <w:szCs w:val="24"/>
                <w:color w:val="auto"/>
              </w:rPr>
            </w:pPr>
          </w:p>
        </w:tc>
        <w:tc>
          <w:tcPr>
            <w:tcW w:w="1860" w:type="dxa"/>
            <w:vAlign w:val="bottom"/>
            <w:shd w:val="clear" w:color="auto" w:fill="538135"/>
          </w:tcPr>
          <w:p>
            <w:pPr>
              <w:spacing w:after="0"/>
              <w:rPr>
                <w:sz w:val="24"/>
                <w:szCs w:val="24"/>
                <w:color w:val="auto"/>
              </w:rPr>
            </w:pPr>
          </w:p>
        </w:tc>
        <w:tc>
          <w:tcPr>
            <w:tcW w:w="1920" w:type="dxa"/>
            <w:vAlign w:val="bottom"/>
            <w:shd w:val="clear" w:color="auto" w:fill="538135"/>
          </w:tcPr>
          <w:p>
            <w:pPr>
              <w:spacing w:after="0"/>
              <w:rPr>
                <w:sz w:val="24"/>
                <w:szCs w:val="24"/>
                <w:color w:val="auto"/>
              </w:rPr>
            </w:pPr>
          </w:p>
        </w:tc>
        <w:tc>
          <w:tcPr>
            <w:tcW w:w="3200" w:type="dxa"/>
            <w:vAlign w:val="bottom"/>
            <w:shd w:val="clear" w:color="auto" w:fill="538135"/>
          </w:tcPr>
          <w:p>
            <w:pPr>
              <w:spacing w:after="0"/>
              <w:rPr>
                <w:sz w:val="24"/>
                <w:szCs w:val="24"/>
                <w:color w:val="auto"/>
              </w:rPr>
            </w:pPr>
          </w:p>
        </w:tc>
      </w:tr>
      <w:tr>
        <w:trPr>
          <w:trHeight w:val="280"/>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b w:val="1"/>
                <w:bCs w:val="1"/>
                <w:color w:val="auto"/>
              </w:rPr>
              <w:t>HARMONY 1</w:t>
            </w:r>
          </w:p>
        </w:tc>
        <w:tc>
          <w:tcPr>
            <w:tcW w:w="1240" w:type="dxa"/>
            <w:vAlign w:val="bottom"/>
            <w:shd w:val="clear" w:color="auto" w:fill="D1D8CE"/>
          </w:tcPr>
          <w:p>
            <w:pPr>
              <w:ind w:left="220"/>
              <w:spacing w:after="0"/>
              <w:rPr>
                <w:sz w:val="20"/>
                <w:szCs w:val="20"/>
                <w:color w:val="auto"/>
              </w:rPr>
            </w:pPr>
            <w:r>
              <w:rPr>
                <w:rFonts w:ascii="Arial" w:cs="Arial" w:eastAsia="Arial" w:hAnsi="Arial"/>
                <w:sz w:val="18"/>
                <w:szCs w:val="18"/>
                <w:color w:val="auto"/>
              </w:rPr>
              <w:t>N = 95</w:t>
            </w:r>
          </w:p>
        </w:tc>
        <w:tc>
          <w:tcPr>
            <w:tcW w:w="1860" w:type="dxa"/>
            <w:vAlign w:val="bottom"/>
            <w:shd w:val="clear" w:color="auto" w:fill="D1D8CE"/>
          </w:tcPr>
          <w:p>
            <w:pPr>
              <w:ind w:left="160"/>
              <w:spacing w:after="0"/>
              <w:rPr>
                <w:sz w:val="20"/>
                <w:szCs w:val="20"/>
                <w:color w:val="auto"/>
              </w:rPr>
            </w:pPr>
            <w:r>
              <w:rPr>
                <w:rFonts w:ascii="Arial" w:cs="Arial" w:eastAsia="Arial" w:hAnsi="Arial"/>
                <w:sz w:val="18"/>
                <w:szCs w:val="18"/>
                <w:color w:val="auto"/>
              </w:rPr>
              <w:t>35.6 mg;</w:t>
            </w: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Assess change in</w:t>
            </w: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-6.0 for WAKIX compared to -2.9 for</w:t>
            </w: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Randomized, double-blind, placebo</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ind w:left="160"/>
              <w:spacing w:after="0"/>
              <w:rPr>
                <w:sz w:val="20"/>
                <w:szCs w:val="20"/>
                <w:color w:val="auto"/>
              </w:rPr>
            </w:pPr>
            <w:r>
              <w:rPr>
                <w:rFonts w:ascii="Arial" w:cs="Arial" w:eastAsia="Arial" w:hAnsi="Arial"/>
                <w:sz w:val="18"/>
                <w:szCs w:val="18"/>
                <w:color w:val="auto"/>
              </w:rPr>
              <w:t>61%</w:t>
            </w: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Epworth Sleepiness</w:t>
            </w: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placebo</w:t>
            </w: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and</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spacing w:after="0"/>
              <w:rPr>
                <w:sz w:val="18"/>
                <w:szCs w:val="18"/>
                <w:color w:val="auto"/>
              </w:rPr>
            </w:pP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Scale (“ESS”) score</w:t>
            </w: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(treatment effect -3.1; p=0.022)</w:t>
            </w: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active control; patients with</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spacing w:after="0"/>
              <w:rPr>
                <w:sz w:val="18"/>
                <w:szCs w:val="18"/>
                <w:color w:val="auto"/>
              </w:rPr>
            </w:pP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from baseline to final</w:t>
            </w:r>
          </w:p>
        </w:tc>
        <w:tc>
          <w:tcPr>
            <w:tcW w:w="3200" w:type="dxa"/>
            <w:vAlign w:val="bottom"/>
            <w:shd w:val="clear" w:color="auto" w:fill="D1D8CE"/>
          </w:tcPr>
          <w:p>
            <w:pPr>
              <w:spacing w:after="0"/>
              <w:rPr>
                <w:sz w:val="18"/>
                <w:szCs w:val="18"/>
                <w:color w:val="auto"/>
              </w:rPr>
            </w:pP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narcolepsy ±</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spacing w:after="0"/>
              <w:rPr>
                <w:sz w:val="18"/>
                <w:szCs w:val="18"/>
                <w:color w:val="auto"/>
              </w:rPr>
            </w:pP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visit</w:t>
            </w:r>
          </w:p>
        </w:tc>
        <w:tc>
          <w:tcPr>
            <w:tcW w:w="3200" w:type="dxa"/>
            <w:vAlign w:val="bottom"/>
            <w:shd w:val="clear" w:color="auto" w:fill="D1D8CE"/>
          </w:tcPr>
          <w:p>
            <w:pPr>
              <w:spacing w:after="0"/>
              <w:rPr>
                <w:sz w:val="18"/>
                <w:szCs w:val="18"/>
                <w:color w:val="auto"/>
              </w:rPr>
            </w:pPr>
          </w:p>
        </w:tc>
      </w:tr>
      <w:tr>
        <w:trPr>
          <w:trHeight w:val="262"/>
        </w:trPr>
        <w:tc>
          <w:tcPr>
            <w:tcW w:w="3000" w:type="dxa"/>
            <w:vAlign w:val="bottom"/>
            <w:tcBorders>
              <w:bottom w:val="single" w:sz="8" w:color="D1D8CE"/>
            </w:tcBorders>
            <w:shd w:val="clear" w:color="auto" w:fill="D1D8CE"/>
          </w:tcPr>
          <w:p>
            <w:pPr>
              <w:ind w:left="140"/>
              <w:spacing w:after="0"/>
              <w:rPr>
                <w:sz w:val="20"/>
                <w:szCs w:val="20"/>
                <w:color w:val="auto"/>
              </w:rPr>
            </w:pPr>
            <w:r>
              <w:rPr>
                <w:rFonts w:ascii="Arial" w:cs="Arial" w:eastAsia="Arial" w:hAnsi="Arial"/>
                <w:sz w:val="18"/>
                <w:szCs w:val="18"/>
                <w:color w:val="auto"/>
              </w:rPr>
              <w:t>cataplexy; 8 weeks of treatment</w:t>
            </w:r>
          </w:p>
        </w:tc>
        <w:tc>
          <w:tcPr>
            <w:tcW w:w="1240" w:type="dxa"/>
            <w:vAlign w:val="bottom"/>
            <w:tcBorders>
              <w:bottom w:val="single" w:sz="8" w:color="D1D8CE"/>
            </w:tcBorders>
            <w:shd w:val="clear" w:color="auto" w:fill="D1D8CE"/>
          </w:tcPr>
          <w:p>
            <w:pPr>
              <w:spacing w:after="0"/>
              <w:rPr>
                <w:sz w:val="22"/>
                <w:szCs w:val="22"/>
                <w:color w:val="auto"/>
              </w:rPr>
            </w:pPr>
          </w:p>
        </w:tc>
        <w:tc>
          <w:tcPr>
            <w:tcW w:w="1860" w:type="dxa"/>
            <w:vAlign w:val="bottom"/>
            <w:tcBorders>
              <w:bottom w:val="single" w:sz="8" w:color="D1D8CE"/>
            </w:tcBorders>
            <w:shd w:val="clear" w:color="auto" w:fill="D1D8CE"/>
          </w:tcPr>
          <w:p>
            <w:pPr>
              <w:spacing w:after="0"/>
              <w:rPr>
                <w:sz w:val="22"/>
                <w:szCs w:val="22"/>
                <w:color w:val="auto"/>
              </w:rPr>
            </w:pPr>
          </w:p>
        </w:tc>
        <w:tc>
          <w:tcPr>
            <w:tcW w:w="1920" w:type="dxa"/>
            <w:vAlign w:val="bottom"/>
            <w:tcBorders>
              <w:bottom w:val="single" w:sz="8" w:color="D1D8CE"/>
            </w:tcBorders>
            <w:shd w:val="clear" w:color="auto" w:fill="D1D8CE"/>
          </w:tcPr>
          <w:p>
            <w:pPr>
              <w:spacing w:after="0"/>
              <w:rPr>
                <w:sz w:val="22"/>
                <w:szCs w:val="22"/>
                <w:color w:val="auto"/>
              </w:rPr>
            </w:pPr>
          </w:p>
        </w:tc>
        <w:tc>
          <w:tcPr>
            <w:tcW w:w="3200" w:type="dxa"/>
            <w:vAlign w:val="bottom"/>
            <w:tcBorders>
              <w:bottom w:val="single" w:sz="8" w:color="D1D8CE"/>
            </w:tcBorders>
            <w:shd w:val="clear" w:color="auto" w:fill="D1D8CE"/>
          </w:tcPr>
          <w:p>
            <w:pPr>
              <w:spacing w:after="0"/>
              <w:rPr>
                <w:sz w:val="22"/>
                <w:szCs w:val="22"/>
                <w:color w:val="auto"/>
              </w:rPr>
            </w:pPr>
          </w:p>
        </w:tc>
      </w:tr>
      <w:tr>
        <w:trPr>
          <w:trHeight w:val="266"/>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b w:val="1"/>
                <w:bCs w:val="1"/>
                <w:color w:val="auto"/>
              </w:rPr>
              <w:t>HARMONY 1bis</w:t>
            </w:r>
          </w:p>
        </w:tc>
        <w:tc>
          <w:tcPr>
            <w:tcW w:w="1240" w:type="dxa"/>
            <w:vAlign w:val="bottom"/>
            <w:shd w:val="clear" w:color="auto" w:fill="E9EDE8"/>
          </w:tcPr>
          <w:p>
            <w:pPr>
              <w:ind w:left="220"/>
              <w:spacing w:after="0"/>
              <w:rPr>
                <w:sz w:val="20"/>
                <w:szCs w:val="20"/>
                <w:color w:val="auto"/>
              </w:rPr>
            </w:pPr>
            <w:r>
              <w:rPr>
                <w:rFonts w:ascii="Arial" w:cs="Arial" w:eastAsia="Arial" w:hAnsi="Arial"/>
                <w:sz w:val="18"/>
                <w:szCs w:val="18"/>
                <w:color w:val="auto"/>
              </w:rPr>
              <w:t>N = 166</w:t>
            </w:r>
          </w:p>
        </w:tc>
        <w:tc>
          <w:tcPr>
            <w:tcW w:w="1860" w:type="dxa"/>
            <w:vAlign w:val="bottom"/>
            <w:shd w:val="clear" w:color="auto" w:fill="E9EDE8"/>
          </w:tcPr>
          <w:p>
            <w:pPr>
              <w:ind w:left="160"/>
              <w:spacing w:after="0"/>
              <w:rPr>
                <w:sz w:val="20"/>
                <w:szCs w:val="20"/>
                <w:color w:val="auto"/>
              </w:rPr>
            </w:pPr>
            <w:r>
              <w:rPr>
                <w:rFonts w:ascii="Arial" w:cs="Arial" w:eastAsia="Arial" w:hAnsi="Arial"/>
                <w:sz w:val="18"/>
                <w:szCs w:val="18"/>
                <w:color w:val="auto"/>
              </w:rPr>
              <w:t>17.8 mg</w:t>
            </w:r>
          </w:p>
        </w:tc>
        <w:tc>
          <w:tcPr>
            <w:tcW w:w="1920" w:type="dxa"/>
            <w:vAlign w:val="bottom"/>
            <w:shd w:val="clear" w:color="auto" w:fill="E9EDE8"/>
          </w:tcPr>
          <w:p>
            <w:pPr>
              <w:ind w:left="140"/>
              <w:spacing w:after="0"/>
              <w:rPr>
                <w:sz w:val="20"/>
                <w:szCs w:val="20"/>
                <w:color w:val="auto"/>
              </w:rPr>
            </w:pPr>
            <w:r>
              <w:rPr>
                <w:rFonts w:ascii="Arial" w:cs="Arial" w:eastAsia="Arial" w:hAnsi="Arial"/>
                <w:sz w:val="18"/>
                <w:szCs w:val="18"/>
                <w:color w:val="auto"/>
                <w:w w:val="96"/>
              </w:rPr>
              <w:t>Assess change in ESS</w:t>
            </w:r>
          </w:p>
        </w:tc>
        <w:tc>
          <w:tcPr>
            <w:tcW w:w="3200" w:type="dxa"/>
            <w:vAlign w:val="bottom"/>
            <w:shd w:val="clear" w:color="auto" w:fill="E9EDE8"/>
          </w:tcPr>
          <w:p>
            <w:pPr>
              <w:ind w:left="200"/>
              <w:spacing w:after="0"/>
              <w:rPr>
                <w:sz w:val="20"/>
                <w:szCs w:val="20"/>
                <w:color w:val="auto"/>
              </w:rPr>
            </w:pPr>
            <w:r>
              <w:rPr>
                <w:rFonts w:ascii="Arial" w:cs="Arial" w:eastAsia="Arial" w:hAnsi="Arial"/>
                <w:sz w:val="18"/>
                <w:szCs w:val="18"/>
                <w:color w:val="auto"/>
              </w:rPr>
              <w:t>-5.0 for WAKIX compared to -2.8 for</w:t>
            </w:r>
          </w:p>
        </w:tc>
      </w:tr>
      <w:tr>
        <w:trPr>
          <w:trHeight w:val="214"/>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color w:val="auto"/>
              </w:rPr>
              <w:t>Randomized, double-blind, placebo</w:t>
            </w:r>
          </w:p>
        </w:tc>
        <w:tc>
          <w:tcPr>
            <w:tcW w:w="1240" w:type="dxa"/>
            <w:vAlign w:val="bottom"/>
            <w:shd w:val="clear" w:color="auto" w:fill="E9EDE8"/>
          </w:tcPr>
          <w:p>
            <w:pPr>
              <w:spacing w:after="0"/>
              <w:rPr>
                <w:sz w:val="18"/>
                <w:szCs w:val="18"/>
                <w:color w:val="auto"/>
              </w:rPr>
            </w:pPr>
          </w:p>
        </w:tc>
        <w:tc>
          <w:tcPr>
            <w:tcW w:w="1860" w:type="dxa"/>
            <w:vAlign w:val="bottom"/>
            <w:shd w:val="clear" w:color="auto" w:fill="E9EDE8"/>
          </w:tcPr>
          <w:p>
            <w:pPr>
              <w:ind w:left="160"/>
              <w:spacing w:after="0"/>
              <w:rPr>
                <w:sz w:val="20"/>
                <w:szCs w:val="20"/>
                <w:color w:val="auto"/>
              </w:rPr>
            </w:pPr>
            <w:r>
              <w:rPr>
                <w:rFonts w:ascii="Arial" w:cs="Arial" w:eastAsia="Arial" w:hAnsi="Arial"/>
                <w:sz w:val="18"/>
                <w:szCs w:val="18"/>
                <w:color w:val="auto"/>
              </w:rPr>
              <w:t>76%</w:t>
            </w:r>
          </w:p>
        </w:tc>
        <w:tc>
          <w:tcPr>
            <w:tcW w:w="1920" w:type="dxa"/>
            <w:vAlign w:val="bottom"/>
            <w:shd w:val="clear" w:color="auto" w:fill="E9EDE8"/>
          </w:tcPr>
          <w:p>
            <w:pPr>
              <w:ind w:left="140"/>
              <w:spacing w:after="0"/>
              <w:rPr>
                <w:sz w:val="20"/>
                <w:szCs w:val="20"/>
                <w:color w:val="auto"/>
              </w:rPr>
            </w:pPr>
            <w:r>
              <w:rPr>
                <w:rFonts w:ascii="Arial" w:cs="Arial" w:eastAsia="Arial" w:hAnsi="Arial"/>
                <w:sz w:val="18"/>
                <w:szCs w:val="18"/>
                <w:color w:val="auto"/>
                <w:w w:val="99"/>
              </w:rPr>
              <w:t>score from baseline to</w:t>
            </w:r>
          </w:p>
        </w:tc>
        <w:tc>
          <w:tcPr>
            <w:tcW w:w="3200" w:type="dxa"/>
            <w:vAlign w:val="bottom"/>
            <w:shd w:val="clear" w:color="auto" w:fill="E9EDE8"/>
          </w:tcPr>
          <w:p>
            <w:pPr>
              <w:ind w:left="200"/>
              <w:spacing w:after="0"/>
              <w:rPr>
                <w:sz w:val="20"/>
                <w:szCs w:val="20"/>
                <w:color w:val="auto"/>
              </w:rPr>
            </w:pPr>
            <w:r>
              <w:rPr>
                <w:rFonts w:ascii="Arial" w:cs="Arial" w:eastAsia="Arial" w:hAnsi="Arial"/>
                <w:sz w:val="18"/>
                <w:szCs w:val="18"/>
                <w:color w:val="auto"/>
              </w:rPr>
              <w:t>placebo</w:t>
            </w:r>
          </w:p>
        </w:tc>
      </w:tr>
      <w:tr>
        <w:trPr>
          <w:trHeight w:val="214"/>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color w:val="auto"/>
              </w:rPr>
              <w:t>and</w:t>
            </w:r>
          </w:p>
        </w:tc>
        <w:tc>
          <w:tcPr>
            <w:tcW w:w="1240" w:type="dxa"/>
            <w:vAlign w:val="bottom"/>
            <w:shd w:val="clear" w:color="auto" w:fill="E9EDE8"/>
          </w:tcPr>
          <w:p>
            <w:pPr>
              <w:spacing w:after="0"/>
              <w:rPr>
                <w:sz w:val="18"/>
                <w:szCs w:val="18"/>
                <w:color w:val="auto"/>
              </w:rPr>
            </w:pPr>
          </w:p>
        </w:tc>
        <w:tc>
          <w:tcPr>
            <w:tcW w:w="1860" w:type="dxa"/>
            <w:vAlign w:val="bottom"/>
            <w:shd w:val="clear" w:color="auto" w:fill="E9EDE8"/>
          </w:tcPr>
          <w:p>
            <w:pPr>
              <w:spacing w:after="0"/>
              <w:rPr>
                <w:sz w:val="18"/>
                <w:szCs w:val="18"/>
                <w:color w:val="auto"/>
              </w:rPr>
            </w:pPr>
          </w:p>
        </w:tc>
        <w:tc>
          <w:tcPr>
            <w:tcW w:w="1920" w:type="dxa"/>
            <w:vAlign w:val="bottom"/>
            <w:shd w:val="clear" w:color="auto" w:fill="E9EDE8"/>
          </w:tcPr>
          <w:p>
            <w:pPr>
              <w:ind w:left="140"/>
              <w:spacing w:after="0"/>
              <w:rPr>
                <w:sz w:val="20"/>
                <w:szCs w:val="20"/>
                <w:color w:val="auto"/>
              </w:rPr>
            </w:pPr>
            <w:r>
              <w:rPr>
                <w:rFonts w:ascii="Arial" w:cs="Arial" w:eastAsia="Arial" w:hAnsi="Arial"/>
                <w:sz w:val="18"/>
                <w:szCs w:val="18"/>
                <w:color w:val="auto"/>
              </w:rPr>
              <w:t>final visit</w:t>
            </w:r>
          </w:p>
        </w:tc>
        <w:tc>
          <w:tcPr>
            <w:tcW w:w="3200" w:type="dxa"/>
            <w:vAlign w:val="bottom"/>
            <w:shd w:val="clear" w:color="auto" w:fill="E9EDE8"/>
          </w:tcPr>
          <w:p>
            <w:pPr>
              <w:ind w:left="200"/>
              <w:spacing w:after="0"/>
              <w:rPr>
                <w:sz w:val="20"/>
                <w:szCs w:val="20"/>
                <w:color w:val="auto"/>
              </w:rPr>
            </w:pPr>
            <w:r>
              <w:rPr>
                <w:rFonts w:ascii="Arial" w:cs="Arial" w:eastAsia="Arial" w:hAnsi="Arial"/>
                <w:sz w:val="18"/>
                <w:szCs w:val="18"/>
                <w:color w:val="auto"/>
              </w:rPr>
              <w:t>(treatment effect -2.2; p=0.030)</w:t>
            </w:r>
          </w:p>
        </w:tc>
      </w:tr>
      <w:tr>
        <w:trPr>
          <w:trHeight w:val="214"/>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color w:val="auto"/>
              </w:rPr>
              <w:t>active control; patients with</w:t>
            </w:r>
          </w:p>
        </w:tc>
        <w:tc>
          <w:tcPr>
            <w:tcW w:w="1240" w:type="dxa"/>
            <w:vAlign w:val="bottom"/>
            <w:shd w:val="clear" w:color="auto" w:fill="E9EDE8"/>
          </w:tcPr>
          <w:p>
            <w:pPr>
              <w:spacing w:after="0"/>
              <w:rPr>
                <w:sz w:val="18"/>
                <w:szCs w:val="18"/>
                <w:color w:val="auto"/>
              </w:rPr>
            </w:pPr>
          </w:p>
        </w:tc>
        <w:tc>
          <w:tcPr>
            <w:tcW w:w="1860" w:type="dxa"/>
            <w:vAlign w:val="bottom"/>
            <w:shd w:val="clear" w:color="auto" w:fill="E9EDE8"/>
          </w:tcPr>
          <w:p>
            <w:pPr>
              <w:spacing w:after="0"/>
              <w:rPr>
                <w:sz w:val="18"/>
                <w:szCs w:val="18"/>
                <w:color w:val="auto"/>
              </w:rPr>
            </w:pPr>
          </w:p>
        </w:tc>
        <w:tc>
          <w:tcPr>
            <w:tcW w:w="1920" w:type="dxa"/>
            <w:vAlign w:val="bottom"/>
            <w:shd w:val="clear" w:color="auto" w:fill="E9EDE8"/>
          </w:tcPr>
          <w:p>
            <w:pPr>
              <w:spacing w:after="0"/>
              <w:rPr>
                <w:sz w:val="18"/>
                <w:szCs w:val="18"/>
                <w:color w:val="auto"/>
              </w:rPr>
            </w:pPr>
          </w:p>
        </w:tc>
        <w:tc>
          <w:tcPr>
            <w:tcW w:w="3200" w:type="dxa"/>
            <w:vAlign w:val="bottom"/>
            <w:shd w:val="clear" w:color="auto" w:fill="E9EDE8"/>
          </w:tcPr>
          <w:p>
            <w:pPr>
              <w:spacing w:after="0"/>
              <w:rPr>
                <w:sz w:val="18"/>
                <w:szCs w:val="18"/>
                <w:color w:val="auto"/>
              </w:rPr>
            </w:pPr>
          </w:p>
        </w:tc>
      </w:tr>
      <w:tr>
        <w:trPr>
          <w:trHeight w:val="214"/>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color w:val="auto"/>
              </w:rPr>
              <w:t>narcolepsy ±</w:t>
            </w:r>
          </w:p>
        </w:tc>
        <w:tc>
          <w:tcPr>
            <w:tcW w:w="1240" w:type="dxa"/>
            <w:vAlign w:val="bottom"/>
            <w:shd w:val="clear" w:color="auto" w:fill="E9EDE8"/>
          </w:tcPr>
          <w:p>
            <w:pPr>
              <w:spacing w:after="0"/>
              <w:rPr>
                <w:sz w:val="18"/>
                <w:szCs w:val="18"/>
                <w:color w:val="auto"/>
              </w:rPr>
            </w:pPr>
          </w:p>
        </w:tc>
        <w:tc>
          <w:tcPr>
            <w:tcW w:w="1860" w:type="dxa"/>
            <w:vAlign w:val="bottom"/>
            <w:shd w:val="clear" w:color="auto" w:fill="E9EDE8"/>
          </w:tcPr>
          <w:p>
            <w:pPr>
              <w:spacing w:after="0"/>
              <w:rPr>
                <w:sz w:val="18"/>
                <w:szCs w:val="18"/>
                <w:color w:val="auto"/>
              </w:rPr>
            </w:pPr>
          </w:p>
        </w:tc>
        <w:tc>
          <w:tcPr>
            <w:tcW w:w="1920" w:type="dxa"/>
            <w:vAlign w:val="bottom"/>
            <w:shd w:val="clear" w:color="auto" w:fill="E9EDE8"/>
          </w:tcPr>
          <w:p>
            <w:pPr>
              <w:spacing w:after="0"/>
              <w:rPr>
                <w:sz w:val="18"/>
                <w:szCs w:val="18"/>
                <w:color w:val="auto"/>
              </w:rPr>
            </w:pPr>
          </w:p>
        </w:tc>
        <w:tc>
          <w:tcPr>
            <w:tcW w:w="3200" w:type="dxa"/>
            <w:vAlign w:val="bottom"/>
            <w:shd w:val="clear" w:color="auto" w:fill="E9EDE8"/>
          </w:tcPr>
          <w:p>
            <w:pPr>
              <w:spacing w:after="0"/>
              <w:rPr>
                <w:sz w:val="18"/>
                <w:szCs w:val="18"/>
                <w:color w:val="auto"/>
              </w:rPr>
            </w:pPr>
          </w:p>
        </w:tc>
      </w:tr>
      <w:tr>
        <w:trPr>
          <w:trHeight w:val="262"/>
        </w:trPr>
        <w:tc>
          <w:tcPr>
            <w:tcW w:w="3000" w:type="dxa"/>
            <w:vAlign w:val="bottom"/>
            <w:tcBorders>
              <w:bottom w:val="single" w:sz="8" w:color="E9EDE8"/>
            </w:tcBorders>
            <w:shd w:val="clear" w:color="auto" w:fill="E9EDE8"/>
          </w:tcPr>
          <w:p>
            <w:pPr>
              <w:ind w:left="140"/>
              <w:spacing w:after="0"/>
              <w:rPr>
                <w:sz w:val="20"/>
                <w:szCs w:val="20"/>
                <w:color w:val="auto"/>
              </w:rPr>
            </w:pPr>
            <w:r>
              <w:rPr>
                <w:rFonts w:ascii="Arial" w:cs="Arial" w:eastAsia="Arial" w:hAnsi="Arial"/>
                <w:sz w:val="18"/>
                <w:szCs w:val="18"/>
                <w:color w:val="auto"/>
              </w:rPr>
              <w:t>cataplexy; 8 weeks of treatment</w:t>
            </w:r>
          </w:p>
        </w:tc>
        <w:tc>
          <w:tcPr>
            <w:tcW w:w="1240" w:type="dxa"/>
            <w:vAlign w:val="bottom"/>
            <w:tcBorders>
              <w:bottom w:val="single" w:sz="8" w:color="E9EDE8"/>
            </w:tcBorders>
            <w:shd w:val="clear" w:color="auto" w:fill="E9EDE8"/>
          </w:tcPr>
          <w:p>
            <w:pPr>
              <w:spacing w:after="0"/>
              <w:rPr>
                <w:sz w:val="22"/>
                <w:szCs w:val="22"/>
                <w:color w:val="auto"/>
              </w:rPr>
            </w:pPr>
          </w:p>
        </w:tc>
        <w:tc>
          <w:tcPr>
            <w:tcW w:w="1860" w:type="dxa"/>
            <w:vAlign w:val="bottom"/>
            <w:tcBorders>
              <w:bottom w:val="single" w:sz="8" w:color="E9EDE8"/>
            </w:tcBorders>
            <w:shd w:val="clear" w:color="auto" w:fill="E9EDE8"/>
          </w:tcPr>
          <w:p>
            <w:pPr>
              <w:spacing w:after="0"/>
              <w:rPr>
                <w:sz w:val="22"/>
                <w:szCs w:val="22"/>
                <w:color w:val="auto"/>
              </w:rPr>
            </w:pPr>
          </w:p>
        </w:tc>
        <w:tc>
          <w:tcPr>
            <w:tcW w:w="1920" w:type="dxa"/>
            <w:vAlign w:val="bottom"/>
            <w:tcBorders>
              <w:bottom w:val="single" w:sz="8" w:color="E9EDE8"/>
            </w:tcBorders>
            <w:shd w:val="clear" w:color="auto" w:fill="E9EDE8"/>
          </w:tcPr>
          <w:p>
            <w:pPr>
              <w:spacing w:after="0"/>
              <w:rPr>
                <w:sz w:val="22"/>
                <w:szCs w:val="22"/>
                <w:color w:val="auto"/>
              </w:rPr>
            </w:pPr>
          </w:p>
        </w:tc>
        <w:tc>
          <w:tcPr>
            <w:tcW w:w="3200" w:type="dxa"/>
            <w:vAlign w:val="bottom"/>
            <w:tcBorders>
              <w:bottom w:val="single" w:sz="8" w:color="E9EDE8"/>
            </w:tcBorders>
            <w:shd w:val="clear" w:color="auto" w:fill="E9EDE8"/>
          </w:tcPr>
          <w:p>
            <w:pPr>
              <w:spacing w:after="0"/>
              <w:rPr>
                <w:sz w:val="22"/>
                <w:szCs w:val="22"/>
                <w:color w:val="auto"/>
              </w:rPr>
            </w:pPr>
          </w:p>
        </w:tc>
      </w:tr>
      <w:tr>
        <w:trPr>
          <w:trHeight w:val="266"/>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b w:val="1"/>
                <w:bCs w:val="1"/>
                <w:color w:val="auto"/>
              </w:rPr>
              <w:t>HARMONY CTP</w:t>
            </w:r>
          </w:p>
        </w:tc>
        <w:tc>
          <w:tcPr>
            <w:tcW w:w="1240" w:type="dxa"/>
            <w:vAlign w:val="bottom"/>
            <w:shd w:val="clear" w:color="auto" w:fill="D1D8CE"/>
          </w:tcPr>
          <w:p>
            <w:pPr>
              <w:ind w:left="220"/>
              <w:spacing w:after="0"/>
              <w:rPr>
                <w:sz w:val="20"/>
                <w:szCs w:val="20"/>
                <w:color w:val="auto"/>
              </w:rPr>
            </w:pPr>
            <w:r>
              <w:rPr>
                <w:rFonts w:ascii="Arial" w:cs="Arial" w:eastAsia="Arial" w:hAnsi="Arial"/>
                <w:sz w:val="18"/>
                <w:szCs w:val="18"/>
                <w:color w:val="auto"/>
              </w:rPr>
              <w:t>N = 106</w:t>
            </w:r>
          </w:p>
        </w:tc>
        <w:tc>
          <w:tcPr>
            <w:tcW w:w="1860" w:type="dxa"/>
            <w:vAlign w:val="bottom"/>
            <w:shd w:val="clear" w:color="auto" w:fill="D1D8CE"/>
          </w:tcPr>
          <w:p>
            <w:pPr>
              <w:ind w:left="160"/>
              <w:spacing w:after="0"/>
              <w:rPr>
                <w:sz w:val="20"/>
                <w:szCs w:val="20"/>
                <w:color w:val="auto"/>
              </w:rPr>
            </w:pPr>
            <w:r>
              <w:rPr>
                <w:rFonts w:ascii="Arial" w:cs="Arial" w:eastAsia="Arial" w:hAnsi="Arial"/>
                <w:sz w:val="18"/>
                <w:szCs w:val="18"/>
                <w:color w:val="auto"/>
              </w:rPr>
              <w:t>35.6 mg</w:t>
            </w: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Assess change in</w:t>
            </w: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WRC decreased 75% for WAKIX</w:t>
            </w: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Randomized, double-blind, placebo</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ind w:left="160"/>
              <w:spacing w:after="0"/>
              <w:rPr>
                <w:sz w:val="20"/>
                <w:szCs w:val="20"/>
                <w:color w:val="auto"/>
              </w:rPr>
            </w:pPr>
            <w:r>
              <w:rPr>
                <w:rFonts w:ascii="Arial" w:cs="Arial" w:eastAsia="Arial" w:hAnsi="Arial"/>
                <w:sz w:val="18"/>
                <w:szCs w:val="18"/>
                <w:color w:val="auto"/>
              </w:rPr>
              <w:t>65%</w:t>
            </w: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Weekly Rate of</w:t>
            </w: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compared to 38% for placebo</w:t>
            </w: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w w:val="97"/>
              </w:rPr>
              <w:t>control; patients with narcolepsy and</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spacing w:after="0"/>
              <w:rPr>
                <w:sz w:val="18"/>
                <w:szCs w:val="18"/>
                <w:color w:val="auto"/>
              </w:rPr>
            </w:pP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Cataplexy (“WRC”)</w:t>
            </w: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(rate ratio 0.51; p&lt;0.0001)</w:t>
            </w:r>
          </w:p>
        </w:tc>
      </w:tr>
      <w:tr>
        <w:trPr>
          <w:trHeight w:val="227"/>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cataplexy; 7 weeks of treatment</w:t>
            </w:r>
          </w:p>
        </w:tc>
        <w:tc>
          <w:tcPr>
            <w:tcW w:w="1240" w:type="dxa"/>
            <w:vAlign w:val="bottom"/>
            <w:shd w:val="clear" w:color="auto" w:fill="D1D8CE"/>
          </w:tcPr>
          <w:p>
            <w:pPr>
              <w:spacing w:after="0"/>
              <w:rPr>
                <w:sz w:val="19"/>
                <w:szCs w:val="19"/>
                <w:color w:val="auto"/>
              </w:rPr>
            </w:pPr>
          </w:p>
        </w:tc>
        <w:tc>
          <w:tcPr>
            <w:tcW w:w="1860" w:type="dxa"/>
            <w:vAlign w:val="bottom"/>
            <w:shd w:val="clear" w:color="auto" w:fill="D1D8CE"/>
          </w:tcPr>
          <w:p>
            <w:pPr>
              <w:spacing w:after="0"/>
              <w:rPr>
                <w:sz w:val="19"/>
                <w:szCs w:val="19"/>
                <w:color w:val="auto"/>
              </w:rPr>
            </w:pPr>
          </w:p>
        </w:tc>
        <w:tc>
          <w:tcPr>
            <w:tcW w:w="1920" w:type="dxa"/>
            <w:vAlign w:val="bottom"/>
            <w:shd w:val="clear" w:color="auto" w:fill="D1D8CE"/>
          </w:tcPr>
          <w:p>
            <w:pPr>
              <w:spacing w:after="0"/>
              <w:rPr>
                <w:sz w:val="19"/>
                <w:szCs w:val="19"/>
                <w:color w:val="auto"/>
              </w:rPr>
            </w:pPr>
          </w:p>
        </w:tc>
        <w:tc>
          <w:tcPr>
            <w:tcW w:w="3200" w:type="dxa"/>
            <w:vAlign w:val="bottom"/>
            <w:shd w:val="clear" w:color="auto" w:fill="D1D8CE"/>
          </w:tcPr>
          <w:p>
            <w:pPr>
              <w:spacing w:after="0"/>
              <w:rPr>
                <w:sz w:val="19"/>
                <w:szCs w:val="19"/>
                <w:color w:val="auto"/>
              </w:rPr>
            </w:pPr>
          </w:p>
        </w:tc>
      </w:tr>
      <w:tr>
        <w:trPr>
          <w:trHeight w:val="309"/>
        </w:trPr>
        <w:tc>
          <w:tcPr>
            <w:tcW w:w="3000" w:type="dxa"/>
            <w:vAlign w:val="bottom"/>
            <w:shd w:val="clear" w:color="auto" w:fill="D1D8CE"/>
          </w:tcPr>
          <w:p>
            <w:pPr>
              <w:spacing w:after="0"/>
              <w:rPr>
                <w:sz w:val="24"/>
                <w:szCs w:val="24"/>
                <w:color w:val="auto"/>
              </w:rPr>
            </w:pPr>
          </w:p>
        </w:tc>
        <w:tc>
          <w:tcPr>
            <w:tcW w:w="1240" w:type="dxa"/>
            <w:vAlign w:val="bottom"/>
            <w:shd w:val="clear" w:color="auto" w:fill="D1D8CE"/>
          </w:tcPr>
          <w:p>
            <w:pPr>
              <w:spacing w:after="0"/>
              <w:rPr>
                <w:sz w:val="24"/>
                <w:szCs w:val="24"/>
                <w:color w:val="auto"/>
              </w:rPr>
            </w:pPr>
          </w:p>
        </w:tc>
        <w:tc>
          <w:tcPr>
            <w:tcW w:w="1860" w:type="dxa"/>
            <w:vAlign w:val="bottom"/>
            <w:shd w:val="clear" w:color="auto" w:fill="D1D8CE"/>
          </w:tcPr>
          <w:p>
            <w:pPr>
              <w:spacing w:after="0"/>
              <w:rPr>
                <w:sz w:val="24"/>
                <w:szCs w:val="24"/>
                <w:color w:val="auto"/>
              </w:rPr>
            </w:pPr>
          </w:p>
        </w:tc>
        <w:tc>
          <w:tcPr>
            <w:tcW w:w="1920" w:type="dxa"/>
            <w:vAlign w:val="bottom"/>
            <w:shd w:val="clear" w:color="auto" w:fill="D1D8CE"/>
          </w:tcPr>
          <w:p>
            <w:pPr>
              <w:spacing w:after="0"/>
              <w:rPr>
                <w:sz w:val="24"/>
                <w:szCs w:val="24"/>
                <w:color w:val="auto"/>
              </w:rPr>
            </w:pPr>
          </w:p>
        </w:tc>
        <w:tc>
          <w:tcPr>
            <w:tcW w:w="3200" w:type="dxa"/>
            <w:vAlign w:val="bottom"/>
            <w:shd w:val="clear" w:color="auto" w:fill="D1D8CE"/>
          </w:tcPr>
          <w:p>
            <w:pPr>
              <w:spacing w:after="0"/>
              <w:rPr>
                <w:sz w:val="24"/>
                <w:szCs w:val="24"/>
                <w:color w:val="auto"/>
              </w:rPr>
            </w:pPr>
          </w:p>
        </w:tc>
      </w:tr>
      <w:tr>
        <w:trPr>
          <w:trHeight w:val="266"/>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b w:val="1"/>
                <w:bCs w:val="1"/>
                <w:color w:val="auto"/>
              </w:rPr>
              <w:t>HARMONY 3</w:t>
            </w:r>
          </w:p>
        </w:tc>
        <w:tc>
          <w:tcPr>
            <w:tcW w:w="1240" w:type="dxa"/>
            <w:vAlign w:val="bottom"/>
            <w:shd w:val="clear" w:color="auto" w:fill="E9EDE8"/>
          </w:tcPr>
          <w:p>
            <w:pPr>
              <w:ind w:left="220"/>
              <w:spacing w:after="0"/>
              <w:rPr>
                <w:sz w:val="20"/>
                <w:szCs w:val="20"/>
                <w:color w:val="auto"/>
              </w:rPr>
            </w:pPr>
            <w:r>
              <w:rPr>
                <w:rFonts w:ascii="Arial" w:cs="Arial" w:eastAsia="Arial" w:hAnsi="Arial"/>
                <w:sz w:val="18"/>
                <w:szCs w:val="18"/>
                <w:color w:val="auto"/>
              </w:rPr>
              <w:t>N = 104</w:t>
            </w:r>
          </w:p>
        </w:tc>
        <w:tc>
          <w:tcPr>
            <w:tcW w:w="1860" w:type="dxa"/>
            <w:vAlign w:val="bottom"/>
            <w:shd w:val="clear" w:color="auto" w:fill="E9EDE8"/>
          </w:tcPr>
          <w:p>
            <w:pPr>
              <w:ind w:left="160"/>
              <w:spacing w:after="0"/>
              <w:rPr>
                <w:sz w:val="20"/>
                <w:szCs w:val="20"/>
                <w:color w:val="auto"/>
              </w:rPr>
            </w:pPr>
            <w:r>
              <w:rPr>
                <w:rFonts w:ascii="Arial" w:cs="Arial" w:eastAsia="Arial" w:hAnsi="Arial"/>
                <w:sz w:val="18"/>
                <w:szCs w:val="18"/>
                <w:color w:val="auto"/>
              </w:rPr>
              <w:t>35.6 mg</w:t>
            </w:r>
          </w:p>
        </w:tc>
        <w:tc>
          <w:tcPr>
            <w:tcW w:w="1920" w:type="dxa"/>
            <w:vAlign w:val="bottom"/>
            <w:shd w:val="clear" w:color="auto" w:fill="E9EDE8"/>
          </w:tcPr>
          <w:p>
            <w:pPr>
              <w:ind w:left="140"/>
              <w:spacing w:after="0"/>
              <w:rPr>
                <w:sz w:val="20"/>
                <w:szCs w:val="20"/>
                <w:color w:val="auto"/>
              </w:rPr>
            </w:pPr>
            <w:r>
              <w:rPr>
                <w:rFonts w:ascii="Arial" w:cs="Arial" w:eastAsia="Arial" w:hAnsi="Arial"/>
                <w:sz w:val="18"/>
                <w:szCs w:val="18"/>
                <w:color w:val="auto"/>
              </w:rPr>
              <w:t>Long-term safety</w:t>
            </w:r>
          </w:p>
        </w:tc>
        <w:tc>
          <w:tcPr>
            <w:tcW w:w="3200" w:type="dxa"/>
            <w:vAlign w:val="bottom"/>
            <w:shd w:val="clear" w:color="auto" w:fill="E9EDE8"/>
          </w:tcPr>
          <w:p>
            <w:pPr>
              <w:ind w:left="200"/>
              <w:spacing w:after="0"/>
              <w:rPr>
                <w:sz w:val="20"/>
                <w:szCs w:val="20"/>
                <w:color w:val="auto"/>
              </w:rPr>
            </w:pPr>
            <w:r>
              <w:rPr>
                <w:rFonts w:ascii="Arial" w:cs="Arial" w:eastAsia="Arial" w:hAnsi="Arial"/>
                <w:sz w:val="18"/>
                <w:szCs w:val="18"/>
                <w:color w:val="auto"/>
              </w:rPr>
              <w:t>Safety/tolerability profile consistent</w:t>
            </w:r>
          </w:p>
        </w:tc>
      </w:tr>
      <w:tr>
        <w:trPr>
          <w:trHeight w:val="214"/>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color w:val="auto"/>
              </w:rPr>
              <w:t>Long-term, open-label, real-world</w:t>
            </w:r>
          </w:p>
        </w:tc>
        <w:tc>
          <w:tcPr>
            <w:tcW w:w="1240" w:type="dxa"/>
            <w:vAlign w:val="bottom"/>
            <w:shd w:val="clear" w:color="auto" w:fill="E9EDE8"/>
          </w:tcPr>
          <w:p>
            <w:pPr>
              <w:spacing w:after="0"/>
              <w:rPr>
                <w:sz w:val="18"/>
                <w:szCs w:val="18"/>
                <w:color w:val="auto"/>
              </w:rPr>
            </w:pPr>
          </w:p>
        </w:tc>
        <w:tc>
          <w:tcPr>
            <w:tcW w:w="1860" w:type="dxa"/>
            <w:vAlign w:val="bottom"/>
            <w:shd w:val="clear" w:color="auto" w:fill="E9EDE8"/>
          </w:tcPr>
          <w:p>
            <w:pPr>
              <w:ind w:left="160"/>
              <w:spacing w:after="0"/>
              <w:rPr>
                <w:sz w:val="20"/>
                <w:szCs w:val="20"/>
                <w:color w:val="auto"/>
              </w:rPr>
            </w:pPr>
            <w:r>
              <w:rPr>
                <w:rFonts w:ascii="Arial" w:cs="Arial" w:eastAsia="Arial" w:hAnsi="Arial"/>
                <w:sz w:val="18"/>
                <w:szCs w:val="18"/>
                <w:color w:val="auto"/>
              </w:rPr>
              <w:t>88%</w:t>
            </w:r>
          </w:p>
        </w:tc>
        <w:tc>
          <w:tcPr>
            <w:tcW w:w="1920" w:type="dxa"/>
            <w:vAlign w:val="bottom"/>
            <w:shd w:val="clear" w:color="auto" w:fill="E9EDE8"/>
          </w:tcPr>
          <w:p>
            <w:pPr>
              <w:spacing w:after="0"/>
              <w:rPr>
                <w:sz w:val="18"/>
                <w:szCs w:val="18"/>
                <w:color w:val="auto"/>
              </w:rPr>
            </w:pPr>
          </w:p>
        </w:tc>
        <w:tc>
          <w:tcPr>
            <w:tcW w:w="3200" w:type="dxa"/>
            <w:vAlign w:val="bottom"/>
            <w:shd w:val="clear" w:color="auto" w:fill="E9EDE8"/>
          </w:tcPr>
          <w:p>
            <w:pPr>
              <w:ind w:left="200"/>
              <w:spacing w:after="0"/>
              <w:rPr>
                <w:sz w:val="20"/>
                <w:szCs w:val="20"/>
                <w:color w:val="auto"/>
              </w:rPr>
            </w:pPr>
            <w:r>
              <w:rPr>
                <w:rFonts w:ascii="Arial" w:cs="Arial" w:eastAsia="Arial" w:hAnsi="Arial"/>
                <w:sz w:val="18"/>
                <w:szCs w:val="18"/>
                <w:color w:val="auto"/>
              </w:rPr>
              <w:t>with that seen in the RCTs</w:t>
            </w:r>
          </w:p>
        </w:tc>
      </w:tr>
      <w:tr>
        <w:trPr>
          <w:trHeight w:val="214"/>
        </w:trPr>
        <w:tc>
          <w:tcPr>
            <w:tcW w:w="3000" w:type="dxa"/>
            <w:vAlign w:val="bottom"/>
            <w:shd w:val="clear" w:color="auto" w:fill="E9EDE8"/>
          </w:tcPr>
          <w:p>
            <w:pPr>
              <w:ind w:left="140"/>
              <w:spacing w:after="0"/>
              <w:rPr>
                <w:sz w:val="20"/>
                <w:szCs w:val="20"/>
                <w:color w:val="auto"/>
              </w:rPr>
            </w:pPr>
            <w:r>
              <w:rPr>
                <w:rFonts w:ascii="Arial" w:cs="Arial" w:eastAsia="Arial" w:hAnsi="Arial"/>
                <w:sz w:val="18"/>
                <w:szCs w:val="18"/>
                <w:color w:val="auto"/>
              </w:rPr>
              <w:t>trial;</w:t>
            </w:r>
          </w:p>
        </w:tc>
        <w:tc>
          <w:tcPr>
            <w:tcW w:w="1240" w:type="dxa"/>
            <w:vAlign w:val="bottom"/>
            <w:shd w:val="clear" w:color="auto" w:fill="E9EDE8"/>
          </w:tcPr>
          <w:p>
            <w:pPr>
              <w:spacing w:after="0"/>
              <w:rPr>
                <w:sz w:val="18"/>
                <w:szCs w:val="18"/>
                <w:color w:val="auto"/>
              </w:rPr>
            </w:pPr>
          </w:p>
        </w:tc>
        <w:tc>
          <w:tcPr>
            <w:tcW w:w="1860" w:type="dxa"/>
            <w:vAlign w:val="bottom"/>
            <w:shd w:val="clear" w:color="auto" w:fill="E9EDE8"/>
          </w:tcPr>
          <w:p>
            <w:pPr>
              <w:spacing w:after="0"/>
              <w:rPr>
                <w:sz w:val="18"/>
                <w:szCs w:val="18"/>
                <w:color w:val="auto"/>
              </w:rPr>
            </w:pPr>
          </w:p>
        </w:tc>
        <w:tc>
          <w:tcPr>
            <w:tcW w:w="1920" w:type="dxa"/>
            <w:vAlign w:val="bottom"/>
            <w:shd w:val="clear" w:color="auto" w:fill="E9EDE8"/>
          </w:tcPr>
          <w:p>
            <w:pPr>
              <w:spacing w:after="0"/>
              <w:rPr>
                <w:sz w:val="18"/>
                <w:szCs w:val="18"/>
                <w:color w:val="auto"/>
              </w:rPr>
            </w:pPr>
          </w:p>
        </w:tc>
        <w:tc>
          <w:tcPr>
            <w:tcW w:w="3200" w:type="dxa"/>
            <w:vAlign w:val="bottom"/>
            <w:shd w:val="clear" w:color="auto" w:fill="E9EDE8"/>
          </w:tcPr>
          <w:p>
            <w:pPr>
              <w:spacing w:after="0"/>
              <w:rPr>
                <w:sz w:val="18"/>
                <w:szCs w:val="18"/>
                <w:color w:val="auto"/>
              </w:rPr>
            </w:pPr>
          </w:p>
        </w:tc>
      </w:tr>
      <w:tr>
        <w:trPr>
          <w:trHeight w:val="262"/>
        </w:trPr>
        <w:tc>
          <w:tcPr>
            <w:tcW w:w="3000" w:type="dxa"/>
            <w:vAlign w:val="bottom"/>
            <w:tcBorders>
              <w:bottom w:val="single" w:sz="8" w:color="E9EDE8"/>
            </w:tcBorders>
            <w:shd w:val="clear" w:color="auto" w:fill="E9EDE8"/>
          </w:tcPr>
          <w:p>
            <w:pPr>
              <w:ind w:left="140"/>
              <w:spacing w:after="0"/>
              <w:rPr>
                <w:sz w:val="20"/>
                <w:szCs w:val="20"/>
                <w:color w:val="auto"/>
              </w:rPr>
            </w:pPr>
            <w:r>
              <w:rPr>
                <w:rFonts w:ascii="Arial" w:cs="Arial" w:eastAsia="Arial" w:hAnsi="Arial"/>
                <w:sz w:val="18"/>
                <w:szCs w:val="18"/>
                <w:color w:val="auto"/>
              </w:rPr>
              <w:t>≥1 year</w:t>
            </w:r>
          </w:p>
        </w:tc>
        <w:tc>
          <w:tcPr>
            <w:tcW w:w="1240" w:type="dxa"/>
            <w:vAlign w:val="bottom"/>
            <w:tcBorders>
              <w:bottom w:val="single" w:sz="8" w:color="E9EDE8"/>
            </w:tcBorders>
            <w:shd w:val="clear" w:color="auto" w:fill="E9EDE8"/>
          </w:tcPr>
          <w:p>
            <w:pPr>
              <w:spacing w:after="0"/>
              <w:rPr>
                <w:sz w:val="22"/>
                <w:szCs w:val="22"/>
                <w:color w:val="auto"/>
              </w:rPr>
            </w:pPr>
          </w:p>
        </w:tc>
        <w:tc>
          <w:tcPr>
            <w:tcW w:w="1860" w:type="dxa"/>
            <w:vAlign w:val="bottom"/>
            <w:tcBorders>
              <w:bottom w:val="single" w:sz="8" w:color="E9EDE8"/>
            </w:tcBorders>
            <w:shd w:val="clear" w:color="auto" w:fill="E9EDE8"/>
          </w:tcPr>
          <w:p>
            <w:pPr>
              <w:spacing w:after="0"/>
              <w:rPr>
                <w:sz w:val="22"/>
                <w:szCs w:val="22"/>
                <w:color w:val="auto"/>
              </w:rPr>
            </w:pPr>
          </w:p>
        </w:tc>
        <w:tc>
          <w:tcPr>
            <w:tcW w:w="1920" w:type="dxa"/>
            <w:vAlign w:val="bottom"/>
            <w:tcBorders>
              <w:bottom w:val="single" w:sz="8" w:color="E9EDE8"/>
            </w:tcBorders>
            <w:shd w:val="clear" w:color="auto" w:fill="E9EDE8"/>
          </w:tcPr>
          <w:p>
            <w:pPr>
              <w:spacing w:after="0"/>
              <w:rPr>
                <w:sz w:val="22"/>
                <w:szCs w:val="22"/>
                <w:color w:val="auto"/>
              </w:rPr>
            </w:pPr>
          </w:p>
        </w:tc>
        <w:tc>
          <w:tcPr>
            <w:tcW w:w="3200" w:type="dxa"/>
            <w:vAlign w:val="bottom"/>
            <w:tcBorders>
              <w:bottom w:val="single" w:sz="8" w:color="E9EDE8"/>
            </w:tcBorders>
            <w:shd w:val="clear" w:color="auto" w:fill="E9EDE8"/>
          </w:tcPr>
          <w:p>
            <w:pPr>
              <w:spacing w:after="0"/>
              <w:rPr>
                <w:sz w:val="22"/>
                <w:szCs w:val="22"/>
                <w:color w:val="auto"/>
              </w:rPr>
            </w:pPr>
          </w:p>
        </w:tc>
      </w:tr>
      <w:tr>
        <w:trPr>
          <w:trHeight w:val="266"/>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b w:val="1"/>
                <w:bCs w:val="1"/>
                <w:color w:val="auto"/>
              </w:rPr>
              <w:t>Human Abuse Potential Study</w:t>
            </w:r>
          </w:p>
        </w:tc>
        <w:tc>
          <w:tcPr>
            <w:tcW w:w="1240" w:type="dxa"/>
            <w:vAlign w:val="bottom"/>
            <w:shd w:val="clear" w:color="auto" w:fill="D1D8CE"/>
          </w:tcPr>
          <w:p>
            <w:pPr>
              <w:ind w:left="220"/>
              <w:spacing w:after="0"/>
              <w:rPr>
                <w:sz w:val="20"/>
                <w:szCs w:val="20"/>
                <w:color w:val="auto"/>
              </w:rPr>
            </w:pPr>
            <w:r>
              <w:rPr>
                <w:rFonts w:ascii="Arial" w:cs="Arial" w:eastAsia="Arial" w:hAnsi="Arial"/>
                <w:sz w:val="18"/>
                <w:szCs w:val="18"/>
                <w:color w:val="auto"/>
              </w:rPr>
              <w:t>N = 43</w:t>
            </w:r>
          </w:p>
        </w:tc>
        <w:tc>
          <w:tcPr>
            <w:tcW w:w="1860" w:type="dxa"/>
            <w:vAlign w:val="bottom"/>
            <w:shd w:val="clear" w:color="auto" w:fill="D1D8CE"/>
          </w:tcPr>
          <w:p>
            <w:pPr>
              <w:ind w:left="160"/>
              <w:spacing w:after="0"/>
              <w:rPr>
                <w:sz w:val="20"/>
                <w:szCs w:val="20"/>
                <w:color w:val="auto"/>
              </w:rPr>
            </w:pPr>
            <w:r>
              <w:rPr>
                <w:rFonts w:ascii="Arial" w:cs="Arial" w:eastAsia="Arial" w:hAnsi="Arial"/>
                <w:sz w:val="18"/>
                <w:szCs w:val="18"/>
                <w:color w:val="auto"/>
              </w:rPr>
              <w:t>35.6 mg &amp; 213.6 mg;</w:t>
            </w:r>
          </w:p>
        </w:tc>
        <w:tc>
          <w:tcPr>
            <w:tcW w:w="1920" w:type="dxa"/>
            <w:vAlign w:val="bottom"/>
            <w:shd w:val="clear" w:color="auto" w:fill="D1D8CE"/>
          </w:tcPr>
          <w:p>
            <w:pPr>
              <w:ind w:left="140"/>
              <w:spacing w:after="0"/>
              <w:rPr>
                <w:sz w:val="20"/>
                <w:szCs w:val="20"/>
                <w:color w:val="auto"/>
              </w:rPr>
            </w:pPr>
            <w:r>
              <w:rPr>
                <w:rFonts w:ascii="Arial" w:cs="Arial" w:eastAsia="Arial" w:hAnsi="Arial"/>
                <w:sz w:val="18"/>
                <w:szCs w:val="18"/>
                <w:color w:val="auto"/>
              </w:rPr>
              <w:t>Assess drug liking</w:t>
            </w: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WAKIX demonstrated a statistically</w:t>
            </w: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Randomized, double-blind, active &amp;</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ind w:left="160"/>
              <w:spacing w:after="0"/>
              <w:rPr>
                <w:sz w:val="20"/>
                <w:szCs w:val="20"/>
                <w:color w:val="auto"/>
              </w:rPr>
            </w:pPr>
            <w:r>
              <w:rPr>
                <w:rFonts w:ascii="Arial" w:cs="Arial" w:eastAsia="Arial" w:hAnsi="Arial"/>
                <w:sz w:val="18"/>
                <w:szCs w:val="18"/>
                <w:color w:val="auto"/>
              </w:rPr>
              <w:t>Phentermine 60 mg</w:t>
            </w:r>
          </w:p>
        </w:tc>
        <w:tc>
          <w:tcPr>
            <w:tcW w:w="1920" w:type="dxa"/>
            <w:vAlign w:val="bottom"/>
            <w:shd w:val="clear" w:color="auto" w:fill="D1D8CE"/>
          </w:tcPr>
          <w:p>
            <w:pPr>
              <w:spacing w:after="0"/>
              <w:rPr>
                <w:sz w:val="18"/>
                <w:szCs w:val="18"/>
                <w:color w:val="auto"/>
              </w:rPr>
            </w:pP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significant and clinically relevant</w:t>
            </w:r>
          </w:p>
        </w:tc>
      </w:tr>
      <w:tr>
        <w:trPr>
          <w:trHeight w:val="214"/>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w w:val="98"/>
              </w:rPr>
              <w:t>placebo-controlled, 4-way crossover</w:t>
            </w:r>
          </w:p>
        </w:tc>
        <w:tc>
          <w:tcPr>
            <w:tcW w:w="1240" w:type="dxa"/>
            <w:vAlign w:val="bottom"/>
            <w:shd w:val="clear" w:color="auto" w:fill="D1D8CE"/>
          </w:tcPr>
          <w:p>
            <w:pPr>
              <w:spacing w:after="0"/>
              <w:rPr>
                <w:sz w:val="18"/>
                <w:szCs w:val="18"/>
                <w:color w:val="auto"/>
              </w:rPr>
            </w:pPr>
          </w:p>
        </w:tc>
        <w:tc>
          <w:tcPr>
            <w:tcW w:w="1860" w:type="dxa"/>
            <w:vAlign w:val="bottom"/>
            <w:shd w:val="clear" w:color="auto" w:fill="D1D8CE"/>
          </w:tcPr>
          <w:p>
            <w:pPr>
              <w:ind w:left="160"/>
              <w:spacing w:after="0"/>
              <w:rPr>
                <w:sz w:val="20"/>
                <w:szCs w:val="20"/>
                <w:color w:val="auto"/>
              </w:rPr>
            </w:pPr>
            <w:r>
              <w:rPr>
                <w:rFonts w:ascii="Arial" w:cs="Arial" w:eastAsia="Arial" w:hAnsi="Arial"/>
                <w:sz w:val="18"/>
                <w:szCs w:val="18"/>
                <w:color w:val="auto"/>
              </w:rPr>
              <w:t>(active control)</w:t>
            </w:r>
          </w:p>
        </w:tc>
        <w:tc>
          <w:tcPr>
            <w:tcW w:w="1920" w:type="dxa"/>
            <w:vAlign w:val="bottom"/>
            <w:shd w:val="clear" w:color="auto" w:fill="D1D8CE"/>
          </w:tcPr>
          <w:p>
            <w:pPr>
              <w:spacing w:after="0"/>
              <w:rPr>
                <w:sz w:val="18"/>
                <w:szCs w:val="18"/>
                <w:color w:val="auto"/>
              </w:rPr>
            </w:pPr>
          </w:p>
        </w:tc>
        <w:tc>
          <w:tcPr>
            <w:tcW w:w="3200" w:type="dxa"/>
            <w:vAlign w:val="bottom"/>
            <w:shd w:val="clear" w:color="auto" w:fill="D1D8CE"/>
          </w:tcPr>
          <w:p>
            <w:pPr>
              <w:ind w:left="200"/>
              <w:spacing w:after="0"/>
              <w:rPr>
                <w:sz w:val="20"/>
                <w:szCs w:val="20"/>
                <w:color w:val="auto"/>
              </w:rPr>
            </w:pPr>
            <w:r>
              <w:rPr>
                <w:rFonts w:ascii="Arial" w:cs="Arial" w:eastAsia="Arial" w:hAnsi="Arial"/>
                <w:sz w:val="18"/>
                <w:szCs w:val="18"/>
                <w:color w:val="auto"/>
              </w:rPr>
              <w:t>reduction in drug liking (p&lt;0.0001)</w:t>
            </w:r>
          </w:p>
        </w:tc>
      </w:tr>
      <w:tr>
        <w:trPr>
          <w:trHeight w:val="227"/>
        </w:trPr>
        <w:tc>
          <w:tcPr>
            <w:tcW w:w="3000" w:type="dxa"/>
            <w:vAlign w:val="bottom"/>
            <w:shd w:val="clear" w:color="auto" w:fill="D1D8CE"/>
          </w:tcPr>
          <w:p>
            <w:pPr>
              <w:ind w:left="140"/>
              <w:spacing w:after="0"/>
              <w:rPr>
                <w:sz w:val="20"/>
                <w:szCs w:val="20"/>
                <w:color w:val="auto"/>
              </w:rPr>
            </w:pPr>
            <w:r>
              <w:rPr>
                <w:rFonts w:ascii="Arial" w:cs="Arial" w:eastAsia="Arial" w:hAnsi="Arial"/>
                <w:sz w:val="18"/>
                <w:szCs w:val="18"/>
                <w:color w:val="auto"/>
              </w:rPr>
              <w:t>study</w:t>
            </w:r>
          </w:p>
        </w:tc>
        <w:tc>
          <w:tcPr>
            <w:tcW w:w="1240" w:type="dxa"/>
            <w:vAlign w:val="bottom"/>
            <w:shd w:val="clear" w:color="auto" w:fill="D1D8CE"/>
          </w:tcPr>
          <w:p>
            <w:pPr>
              <w:spacing w:after="0"/>
              <w:rPr>
                <w:sz w:val="19"/>
                <w:szCs w:val="19"/>
                <w:color w:val="auto"/>
              </w:rPr>
            </w:pPr>
          </w:p>
        </w:tc>
        <w:tc>
          <w:tcPr>
            <w:tcW w:w="1860" w:type="dxa"/>
            <w:vAlign w:val="bottom"/>
            <w:shd w:val="clear" w:color="auto" w:fill="D1D8CE"/>
          </w:tcPr>
          <w:p>
            <w:pPr>
              <w:spacing w:after="0"/>
              <w:rPr>
                <w:sz w:val="19"/>
                <w:szCs w:val="19"/>
                <w:color w:val="auto"/>
              </w:rPr>
            </w:pPr>
          </w:p>
        </w:tc>
        <w:tc>
          <w:tcPr>
            <w:tcW w:w="1920" w:type="dxa"/>
            <w:vAlign w:val="bottom"/>
            <w:shd w:val="clear" w:color="auto" w:fill="D1D8CE"/>
          </w:tcPr>
          <w:p>
            <w:pPr>
              <w:spacing w:after="0"/>
              <w:rPr>
                <w:sz w:val="19"/>
                <w:szCs w:val="19"/>
                <w:color w:val="auto"/>
              </w:rPr>
            </w:pPr>
          </w:p>
        </w:tc>
        <w:tc>
          <w:tcPr>
            <w:tcW w:w="3200" w:type="dxa"/>
            <w:vAlign w:val="bottom"/>
            <w:shd w:val="clear" w:color="auto" w:fill="D1D8CE"/>
          </w:tcPr>
          <w:p>
            <w:pPr>
              <w:spacing w:after="0"/>
              <w:rPr>
                <w:sz w:val="19"/>
                <w:szCs w:val="19"/>
                <w:color w:val="auto"/>
              </w:rPr>
            </w:pPr>
          </w:p>
        </w:tc>
      </w:tr>
      <w:tr>
        <w:trPr>
          <w:trHeight w:val="416"/>
        </w:trPr>
        <w:tc>
          <w:tcPr>
            <w:tcW w:w="3000" w:type="dxa"/>
            <w:vAlign w:val="bottom"/>
            <w:shd w:val="clear" w:color="auto" w:fill="D1D8CE"/>
          </w:tcPr>
          <w:p>
            <w:pPr>
              <w:spacing w:after="0"/>
              <w:rPr>
                <w:sz w:val="24"/>
                <w:szCs w:val="24"/>
                <w:color w:val="auto"/>
              </w:rPr>
            </w:pPr>
          </w:p>
        </w:tc>
        <w:tc>
          <w:tcPr>
            <w:tcW w:w="1240" w:type="dxa"/>
            <w:vAlign w:val="bottom"/>
            <w:shd w:val="clear" w:color="auto" w:fill="D1D8CE"/>
          </w:tcPr>
          <w:p>
            <w:pPr>
              <w:spacing w:after="0"/>
              <w:rPr>
                <w:sz w:val="24"/>
                <w:szCs w:val="24"/>
                <w:color w:val="auto"/>
              </w:rPr>
            </w:pPr>
          </w:p>
        </w:tc>
        <w:tc>
          <w:tcPr>
            <w:tcW w:w="1860" w:type="dxa"/>
            <w:vAlign w:val="bottom"/>
            <w:shd w:val="clear" w:color="auto" w:fill="D1D8CE"/>
          </w:tcPr>
          <w:p>
            <w:pPr>
              <w:spacing w:after="0"/>
              <w:rPr>
                <w:sz w:val="24"/>
                <w:szCs w:val="24"/>
                <w:color w:val="auto"/>
              </w:rPr>
            </w:pPr>
          </w:p>
        </w:tc>
        <w:tc>
          <w:tcPr>
            <w:tcW w:w="1920" w:type="dxa"/>
            <w:vAlign w:val="bottom"/>
            <w:shd w:val="clear" w:color="auto" w:fill="D1D8CE"/>
          </w:tcPr>
          <w:p>
            <w:pPr>
              <w:spacing w:after="0"/>
              <w:rPr>
                <w:sz w:val="24"/>
                <w:szCs w:val="24"/>
                <w:color w:val="auto"/>
              </w:rPr>
            </w:pPr>
          </w:p>
        </w:tc>
        <w:tc>
          <w:tcPr>
            <w:tcW w:w="3200" w:type="dxa"/>
            <w:vAlign w:val="bottom"/>
            <w:shd w:val="clear" w:color="auto" w:fill="D1D8CE"/>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Highlights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key findings from these clinical trials are as follows:</w:t>
      </w:r>
    </w:p>
    <w:p>
      <w:pPr>
        <w:spacing w:after="0" w:line="221" w:lineRule="exact"/>
        <w:rPr>
          <w:sz w:val="20"/>
          <w:szCs w:val="20"/>
          <w:color w:val="auto"/>
        </w:rPr>
      </w:pPr>
    </w:p>
    <w:p>
      <w:pPr>
        <w:ind w:left="860" w:right="60" w:hanging="425"/>
        <w:spacing w:after="0" w:line="275"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Pitolisant showed a statistically significant improvement in EDS in adult patients with narcolepsy. In HARMONY 1, the ESS score change from baseline to final visit was -6.0 for pitolisant compared to -2.9 for placebo (treatment effect -3.1; p=0.022). In HARMONY 1bis, the ESS score change from baseline to final visit was -5.0 for pitolisant compared to -2.8 for placebo (treatment effect -2.2; p=0.030). These findings were supported by statistically significant improvement on the Maintenance of Wakefulness Test (“MWT”).</w:t>
      </w:r>
    </w:p>
    <w:p>
      <w:pPr>
        <w:spacing w:after="0" w:line="280" w:lineRule="exact"/>
        <w:rPr>
          <w:rFonts w:ascii="Arial" w:cs="Arial" w:eastAsia="Arial" w:hAnsi="Arial"/>
          <w:sz w:val="17"/>
          <w:szCs w:val="17"/>
          <w:color w:val="auto"/>
        </w:rPr>
      </w:pPr>
    </w:p>
    <w:p>
      <w:pPr>
        <w:ind w:left="860" w:right="160" w:hanging="425"/>
        <w:spacing w:after="0" w:line="271"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Pitolisant demonstrated a statistically significant reduction in measures of cataplexy in adult patients with narcolepsy. In HARMONY CTP, the reduction in the weekly rate of cataplexy in patients on pitolisant was</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860" w:right="120"/>
        <w:spacing w:after="0" w:line="266" w:lineRule="auto"/>
        <w:rPr>
          <w:sz w:val="20"/>
          <w:szCs w:val="20"/>
          <w:color w:val="auto"/>
        </w:rPr>
      </w:pPr>
      <w:r>
        <w:rPr>
          <w:rFonts w:ascii="Arial" w:cs="Arial" w:eastAsia="Arial" w:hAnsi="Arial"/>
          <w:sz w:val="17"/>
          <w:szCs w:val="17"/>
          <w:color w:val="auto"/>
        </w:rPr>
        <w:t>75% compared to 38% in patients on placebo (rate ratio 0.51; 95% CI 0.44 – 0.60; p&lt;0.0001). This finding was supported by a significant reduction in cataplexy (a secondary endpoint) in the HARMONY 1 trial. However, the FDA initially stated that the cataplexy data from the HARMONY 1 trial in the NDA did not provide substantial evidence of effectiveness with respect to cataplexy because the statistical analysis plan did not prospectively control for Type 1 error of the secondary endpoints, and the subgroup of patients with cataplexy was not identified prospectively. As a result, the FDA issued a complete response letter (“CRL”) with respect to the cataplexy indication, and therefore did not originally approve WAKIX for the treatment of cataplexy in adult patients with narcolepsy. Subsequently, in June 2020, in response to our request for FDA to reconsider the cataplexy data from the HARMONY 1 trial, we received a general advice letter confirming that the cataplexy data from the HARMONY 1 clinical trial supported a statistically significant reduction in daily rate of cataplexy in the pitolisant group when compared with the placebo group. As a result, the FDA recommended we submit a complete response resubmission in pursuit of the adult cataplexy indication for WAKIX. On October 13, 2020, we received regulatory approval for WAKIX for the treatment of cataplexy in adult patients with narcolepsy.</w:t>
      </w:r>
    </w:p>
    <w:p>
      <w:pPr>
        <w:spacing w:after="0" w:line="292" w:lineRule="exact"/>
        <w:rPr>
          <w:sz w:val="20"/>
          <w:szCs w:val="20"/>
          <w:color w:val="auto"/>
        </w:rPr>
      </w:pPr>
    </w:p>
    <w:p>
      <w:pPr>
        <w:ind w:left="860" w:hanging="425"/>
        <w:spacing w:after="0" w:line="25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Pitolisant was generally well-tolerated in clinical trials. In the placebo-controlled clinical trials conducted in patients with narcolepsy with or without cataplexy, the most common adverse reactions (occurring in </w:t>
      </w:r>
      <w:r>
        <w:rPr>
          <w:rFonts w:ascii="Arial" w:cs="Arial" w:eastAsia="Arial" w:hAnsi="Arial"/>
          <w:sz w:val="18"/>
          <w:szCs w:val="18"/>
          <w:u w:val="single" w:color="auto"/>
          <w:color w:val="auto"/>
        </w:rPr>
        <w:t>&gt;</w:t>
      </w:r>
      <w:r>
        <w:rPr>
          <w:rFonts w:ascii="Arial" w:cs="Arial" w:eastAsia="Arial" w:hAnsi="Arial"/>
          <w:sz w:val="18"/>
          <w:szCs w:val="18"/>
          <w:color w:val="auto"/>
        </w:rPr>
        <w:t>5% of patients and at twice the rate of placebo) with the use of pitolisant were insomnia (6%), nausea (6%), and anxiety (5%). In these trials, 6 of the 152 patients (3.9%) who received pitolisant and 4 of the 114 patients (3.5%) who received placebo discontinued because of an adverse event.</w:t>
      </w:r>
    </w:p>
    <w:p>
      <w:pPr>
        <w:spacing w:after="0" w:line="297" w:lineRule="exact"/>
        <w:rPr>
          <w:rFonts w:ascii="Arial" w:cs="Arial" w:eastAsia="Arial" w:hAnsi="Arial"/>
          <w:sz w:val="18"/>
          <w:szCs w:val="18"/>
          <w:color w:val="auto"/>
        </w:rPr>
      </w:pPr>
    </w:p>
    <w:p>
      <w:pPr>
        <w:ind w:left="860" w:right="140" w:hanging="425"/>
        <w:spacing w:after="0" w:line="271"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HARMONY 3 trial, a favorable long-term safety/tolerability profile for pitolisant out to one year was demonstrated; safety findings were similar to those reported in the randomized controlled trials, with no new safety signals identified.</w:t>
      </w:r>
    </w:p>
    <w:p>
      <w:pPr>
        <w:spacing w:after="0" w:line="281" w:lineRule="exact"/>
        <w:rPr>
          <w:sz w:val="20"/>
          <w:szCs w:val="20"/>
          <w:color w:val="auto"/>
        </w:rPr>
      </w:pPr>
    </w:p>
    <w:p>
      <w:pPr>
        <w:ind w:left="1740" w:right="420" w:hanging="329"/>
        <w:spacing w:after="0" w:line="316" w:lineRule="auto"/>
        <w:tabs>
          <w:tab w:leader="none" w:pos="1740" w:val="left"/>
        </w:tabs>
        <w:numPr>
          <w:ilvl w:val="1"/>
          <w:numId w:val="12"/>
        </w:numPr>
        <w:rPr>
          <w:rFonts w:ascii="Courier New" w:cs="Courier New" w:eastAsia="Courier New" w:hAnsi="Courier New"/>
          <w:sz w:val="16"/>
          <w:szCs w:val="16"/>
          <w:color w:val="auto"/>
        </w:rPr>
      </w:pPr>
      <w:r>
        <w:rPr>
          <w:rFonts w:ascii="Arial" w:cs="Arial" w:eastAsia="Arial" w:hAnsi="Arial"/>
          <w:sz w:val="16"/>
          <w:szCs w:val="16"/>
          <w:color w:val="auto"/>
        </w:rPr>
        <w:t>In this open-label, long-term real-world trial, improvement in EDS (as measured by a reduction in ESS scores) and reduction in cataplexy (as measured by reduction in mean daily cataplexy episodes) was maintained out to twelve months.</w:t>
      </w:r>
    </w:p>
    <w:p>
      <w:pPr>
        <w:spacing w:after="0" w:line="245" w:lineRule="exact"/>
        <w:rPr>
          <w:rFonts w:ascii="Courier New" w:cs="Courier New" w:eastAsia="Courier New" w:hAnsi="Courier New"/>
          <w:sz w:val="16"/>
          <w:szCs w:val="16"/>
          <w:color w:val="auto"/>
        </w:rPr>
      </w:pPr>
    </w:p>
    <w:p>
      <w:pPr>
        <w:ind w:left="860" w:right="180" w:hanging="425"/>
        <w:spacing w:after="0" w:line="255"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 clinical HAP trial, pitolisant demonstrated statistically significant lower maximum drug liking (primary endpoint), overall drug liking, and willingness to take drug again compared to phentermine (C-IV), with responses similar to placebo. No evidence of abuse potential was demonstrated based on clinical and preclinical data, and WAKIX was therefore approved without being scheduled as a controlled substance by the DEA.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HARMONY 1</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Design</w:t>
      </w:r>
    </w:p>
    <w:p>
      <w:pPr>
        <w:spacing w:after="0" w:line="118" w:lineRule="exact"/>
        <w:rPr>
          <w:sz w:val="20"/>
          <w:szCs w:val="20"/>
          <w:color w:val="auto"/>
        </w:rPr>
      </w:pPr>
    </w:p>
    <w:p>
      <w:pPr>
        <w:ind w:right="80" w:firstLine="864"/>
        <w:spacing w:after="0" w:line="293" w:lineRule="auto"/>
        <w:rPr>
          <w:sz w:val="20"/>
          <w:szCs w:val="20"/>
          <w:color w:val="auto"/>
        </w:rPr>
      </w:pPr>
      <w:r>
        <w:rPr>
          <w:rFonts w:ascii="Arial" w:cs="Arial" w:eastAsia="Arial" w:hAnsi="Arial"/>
          <w:sz w:val="16"/>
          <w:szCs w:val="16"/>
          <w:color w:val="auto"/>
        </w:rPr>
        <w:t>HARMONY 1 was a randomized, double-blind, placebo-controlled trial that evaluated the efficacy and safety of pitolisant in adult patients with narcolepsy on improvement in EDS over an eight-week period. The trial was conducted in the EU, and consequently was designed to include both a placebo arm and an active comparator, modafinil, which was used in doses up to 400 mg/day. HARMONY 1 consisted of 95 patients and had flexible dosing during the first three weeks of the trial, followed by five weeks of stable dosing. The maximum dose of pitolisant in this dose-to-effect trial was 35.6 mg and only 61% of the patients were titrated to this dose for the stable dosing period. Approximately 80% of the patients had a history of cataplexy.</w:t>
      </w:r>
    </w:p>
    <w:p>
      <w:pPr>
        <w:spacing w:after="0" w:line="161" w:lineRule="exact"/>
        <w:rPr>
          <w:sz w:val="20"/>
          <w:szCs w:val="20"/>
          <w:color w:val="auto"/>
        </w:rPr>
      </w:pPr>
    </w:p>
    <w:p>
      <w:pPr>
        <w:ind w:right="140" w:firstLine="864"/>
        <w:spacing w:after="0" w:line="252" w:lineRule="auto"/>
        <w:rPr>
          <w:sz w:val="20"/>
          <w:szCs w:val="20"/>
          <w:color w:val="auto"/>
        </w:rPr>
      </w:pPr>
      <w:r>
        <w:rPr>
          <w:rFonts w:ascii="Arial" w:cs="Arial" w:eastAsia="Arial" w:hAnsi="Arial"/>
          <w:sz w:val="18"/>
          <w:szCs w:val="18"/>
          <w:color w:val="auto"/>
        </w:rPr>
        <w:t>The primary endpoint in the trial was the ESS score at final visit, adjusted for baseline, for pitolisant compared to placebo. ESS is a self-administered eight-item questionnaire scored 0 to 24 with lower scores corresponding to lower EDS. Secondary endpoints in HARMONY 1 included ESS responder rates, MWT (an objective measure of the ability to stay awake), the Sustained Attention to Response Task (“SART”) reduction in cataplexy, Clinical Global Impression of Change (“CGI-C”) for both EDS and cataplexy, the European Quality of Life Questionnaire (the “EQ-5D”), and the Patient’s Global Opinion on the Effect of Treatment Questionnaire. The main efficacy objective of the trial was to demonstrate superiority of pitolisant compared to placebo on the primary</w:t>
      </w:r>
    </w:p>
    <w:p>
      <w:pPr>
        <w:spacing w:after="0" w:line="19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endpoint, while one of the secondary objectives was to explore the non-inferiority of pitolisant compared to modafinil on ESS score. It should be noted that there was no prospective plan to control for Type 1 error in this trial.</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Efficacy Results</w:t>
      </w:r>
    </w:p>
    <w:p>
      <w:pPr>
        <w:spacing w:after="0" w:line="118" w:lineRule="exact"/>
        <w:rPr>
          <w:sz w:val="20"/>
          <w:szCs w:val="20"/>
          <w:color w:val="auto"/>
        </w:rPr>
      </w:pPr>
    </w:p>
    <w:p>
      <w:pPr>
        <w:ind w:firstLine="864"/>
        <w:spacing w:after="0" w:line="265" w:lineRule="auto"/>
        <w:rPr>
          <w:sz w:val="20"/>
          <w:szCs w:val="20"/>
          <w:color w:val="auto"/>
        </w:rPr>
      </w:pPr>
      <w:r>
        <w:rPr>
          <w:rFonts w:ascii="Arial" w:cs="Arial" w:eastAsia="Arial" w:hAnsi="Arial"/>
          <w:sz w:val="17"/>
          <w:szCs w:val="17"/>
          <w:color w:val="auto"/>
        </w:rPr>
        <w:t>Pitolisant showed a significant reduction in the mean ESS score change from baseline to final visit at end of trial as compared to placebo (-6.0 versus -2.9, respectively) and between-group differences in ESS score were evident within the first two weeks of treatment. This resulted in a treatment effect (ESS score at final visit, adjusted for baseline, for pitolisant compared to placebo) of -3.1, which was statistically significant for pitolisant versus placebo (p=0.022). The change from baseline in ESS score for modafinil was -6.9 and, based on this score, pitolisant was not found to be non-inferior to modafinil (mean difference of 0.09, p=0.932) and the trial therefore did not meet this secondary efficacy objective. We believe there are several factors that contributed to this finding. First, 73% of the patients on modafinil in this trial were titrated up to a dose of 400 mg/day (the recommended dose of modafinil in the FDA-approved U.S. Prescribing Information (“USPI”) is 200 mg/day) while only 61% of the patients on pitolisant were titrated to the maximum pitolisant dose of 35.6 mg/day (which is the maximum approved dose in the USPI), such that a greater number of patients in the modafinil arm received the maximum effective dose than those in the pitolisant arm, raising the possibility that those subjects in the pitolisant arm could have seen greater treatment effect had they been dosed at the maximum dose available. Second, the margin of non-inferiority for the difference in the ESS scores pre-specified in the statistical analysis plan was narrow (2 points), meaning that the change in ESS score adjusted for baseline compared between pitolisant and modafinil had to have a lower 95% CI of no less than -2 points to declare pitolisant non-inferior to modafinil. The lower bound of the 95% CI of the analysis fell just outside this margin (-2.11). According to literature, however, a clinically relevant difference on the ESS ranges from 2–3 points, such that the non-inferiority margins pre-specified under the statistical analysis plan may have been too narrow. Ultimately, however, the trial results comparing pitolisant and modafinil did not impact the FDA’s findings that pitolisant was effective for improvement in EDS, and the FDA-approved label for WAKIX does not contain any data on modafinil.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ESS Score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151765</wp:posOffset>
            </wp:positionV>
            <wp:extent cx="5137785" cy="2369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7785" cy="236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firstLine="864"/>
        <w:spacing w:after="0" w:line="253" w:lineRule="auto"/>
        <w:rPr>
          <w:sz w:val="20"/>
          <w:szCs w:val="20"/>
          <w:color w:val="auto"/>
        </w:rPr>
      </w:pPr>
      <w:r>
        <w:rPr>
          <w:rFonts w:ascii="Arial" w:cs="Arial" w:eastAsia="Arial" w:hAnsi="Arial"/>
          <w:sz w:val="18"/>
          <w:szCs w:val="18"/>
          <w:color w:val="auto"/>
        </w:rPr>
        <w:t xml:space="preserve">Regarding the secondary endpoints, ESS responder rates (a responder was defined as having a final ESS score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10) were significantly greater for those patients treated with pitolisant compared to those on placebo (45.2% vs. 13.3%, respectively; p=0.013). The responder rate for patients treated with modafinil was 45.5% and the difference compared to pitolisant was not statistically significant (p=0.892). On the MWT, pitolisant treatment improved performance when compared to placebo in a statistically significant manner (p=0.044), while improvement was not significantly different compared to modafinil (p=0.173).</w:t>
      </w:r>
    </w:p>
    <w:p>
      <w:pPr>
        <w:spacing w:after="0" w:line="19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00"/>
        <w:spacing w:after="0"/>
        <w:tabs>
          <w:tab w:leader="none" w:pos="7800" w:val="left"/>
        </w:tabs>
        <w:rPr>
          <w:sz w:val="20"/>
          <w:szCs w:val="20"/>
          <w:color w:val="auto"/>
        </w:rPr>
      </w:pPr>
      <w:r>
        <w:rPr>
          <w:rFonts w:ascii="Arial" w:cs="Arial" w:eastAsia="Arial" w:hAnsi="Arial"/>
          <w:sz w:val="18"/>
          <w:szCs w:val="18"/>
          <w:b w:val="1"/>
          <w:bCs w:val="1"/>
          <w:color w:val="auto"/>
        </w:rPr>
        <w:t xml:space="preserve">Responders (Final ESS </w:t>
      </w:r>
      <w:r>
        <w:rPr>
          <w:rFonts w:ascii="Arial" w:cs="Arial" w:eastAsia="Arial" w:hAnsi="Arial"/>
          <w:sz w:val="18"/>
          <w:szCs w:val="18"/>
          <w:u w:val="single" w:color="auto"/>
          <w:color w:val="auto"/>
        </w:rPr>
        <w:t>&lt;</w:t>
      </w:r>
      <w:r>
        <w:rPr>
          <w:rFonts w:ascii="Arial" w:cs="Arial" w:eastAsia="Arial" w:hAnsi="Arial"/>
          <w:sz w:val="18"/>
          <w:szCs w:val="18"/>
          <w:b w:val="1"/>
          <w:bCs w:val="1"/>
          <w:color w:val="auto"/>
        </w:rPr>
        <w:t xml:space="preserve"> 10)</w:t>
      </w:r>
      <w:r>
        <w:rPr>
          <w:sz w:val="20"/>
          <w:szCs w:val="20"/>
          <w:color w:val="auto"/>
        </w:rPr>
        <w:tab/>
      </w:r>
      <w:r>
        <w:rPr>
          <w:rFonts w:ascii="Arial" w:cs="Arial" w:eastAsia="Arial" w:hAnsi="Arial"/>
          <w:sz w:val="17"/>
          <w:szCs w:val="17"/>
          <w:b w:val="1"/>
          <w:bCs w:val="1"/>
          <w:color w:val="auto"/>
        </w:rPr>
        <w:t>Change in MWT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168910</wp:posOffset>
            </wp:positionV>
            <wp:extent cx="6038215" cy="2802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821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firstLine="864"/>
        <w:spacing w:after="0" w:line="267" w:lineRule="auto"/>
        <w:rPr>
          <w:sz w:val="20"/>
          <w:szCs w:val="20"/>
          <w:color w:val="auto"/>
        </w:rPr>
      </w:pPr>
      <w:r>
        <w:rPr>
          <w:rFonts w:ascii="Arial" w:cs="Arial" w:eastAsia="Arial" w:hAnsi="Arial"/>
          <w:sz w:val="17"/>
          <w:szCs w:val="17"/>
          <w:color w:val="auto"/>
        </w:rPr>
        <w:t>With regard to other secondary endpoints, the overall pattern of response was that the findings for patients on both pitolisant and modafinil were superior to those on placebo while the responses were not significantly different for pitolisant compared to modafinil. The SART Total Score (a measure of attention) was significantly higher in the pitolisant group as compared to placebo (p=0.041), and while not significantly different from the modafinil group (p=0.363), the scores were similar (9.1 and 8.9 for pitolisant and modafinil, respectively). The CGI-C for EDS showed improvement in 56% of patients on placebo, 73% of patients on pitolisant, and 86% of patients on modafinil. Regarding the daily cataplexy rates endpoint, patients treated with pitolisant experienced a 62% reduction in the daily rate of cataplexy compared to a reduction of 8% in those on placebo and 25% in those on modafinil. Responses on the CGI-C for cataplexy were consistent with this outcome, with 29%, 45%, and 35% of patients who experienced cataplexy during the trial reporting an improvement in their cataplexy symptoms in the placebo, pitolisant, and modafinil groups, respectively. Lastly, the Patient’s Global Opinion on the Effect of Treatment Questionnaire recorded positive responses in 56% of patients in the placebo group, 81% of patients in the pitolisant group, and 86% of patients in the modafinil group.</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Safety Results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Pitolisant was generally well tolerated in HARMONY 1. Sixty patients experienced a treatment emergent adverse event (“TEAE”) during the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trial: 61% in the pitolisant group, 60% in the placebo group, and 70% in the modafinil group. The most commonly reported TEAE in the pitolisant treatment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group was headache, reported by 35% of the patients, compared to 20% in the placebo group. Other frequently reported TEAEs in the pitolisant treatment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group were insomnia, nausea and weight increase (each reported by two patients, or 6%). There were five serious adverse events during HARMONY 1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none were considered treatment-related (two in the pitolisant group, two in the modafinil group, and one in the placebo group). There were no deaths during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trial and no significant changes in laboratory values or hemodynamic parameters (heart rate and blood pressure) from baseline to final visit in any group.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HARMONY 1bis</w:t>
      </w:r>
    </w:p>
    <w:p>
      <w:pPr>
        <w:spacing w:after="0" w:line="114" w:lineRule="exact"/>
        <w:rPr>
          <w:sz w:val="20"/>
          <w:szCs w:val="20"/>
          <w:color w:val="auto"/>
        </w:rPr>
      </w:pPr>
    </w:p>
    <w:p>
      <w:pPr>
        <w:ind w:right="180" w:firstLine="864"/>
        <w:spacing w:after="0" w:line="271" w:lineRule="auto"/>
        <w:rPr>
          <w:sz w:val="20"/>
          <w:szCs w:val="20"/>
          <w:color w:val="auto"/>
        </w:rPr>
      </w:pPr>
      <w:r>
        <w:rPr>
          <w:rFonts w:ascii="Arial" w:cs="Arial" w:eastAsia="Arial" w:hAnsi="Arial"/>
          <w:sz w:val="18"/>
          <w:szCs w:val="18"/>
          <w:color w:val="auto"/>
        </w:rPr>
        <w:t>HARMONY 1bis was a randomized, double-blind, placebo-controlled trial that evaluated the efficacy and safety of pitolisant in adult patients with narcolepsy on improvement in EDS over an eight-week period. This trial</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was designed in accordance with recommendations from European regulators, and as such, contained both a placebo and active comparator arm. The active comparator was modafinil used in doses up to 400 mg/day. HARMONY 1bis enrolled 165 patients and had flexible dosing during the first three weeks of the trial, followed by five weeks of stable dosing. The maximum dose of pitolisant in this dose-to-effect trial was 17.8 mg and only 76% of the patients were titrated to this dose for the stable dosing period. 75% of the patients had a history of cataplexy.</w:t>
      </w:r>
    </w:p>
    <w:p>
      <w:pPr>
        <w:spacing w:after="0" w:line="174" w:lineRule="exact"/>
        <w:rPr>
          <w:sz w:val="20"/>
          <w:szCs w:val="20"/>
          <w:color w:val="auto"/>
        </w:rPr>
      </w:pPr>
    </w:p>
    <w:p>
      <w:pPr>
        <w:jc w:val="both"/>
        <w:ind w:right="60" w:firstLine="864"/>
        <w:spacing w:after="0" w:line="272" w:lineRule="auto"/>
        <w:rPr>
          <w:sz w:val="20"/>
          <w:szCs w:val="20"/>
          <w:color w:val="auto"/>
        </w:rPr>
      </w:pPr>
      <w:r>
        <w:rPr>
          <w:rFonts w:ascii="Arial" w:cs="Arial" w:eastAsia="Arial" w:hAnsi="Arial"/>
          <w:sz w:val="17"/>
          <w:szCs w:val="17"/>
          <w:color w:val="auto"/>
        </w:rPr>
        <w:t>The primary endpoint in the trial was the ESS score at final visit, adjusted for baseline, for pitolisant compared to placebo. Secondary endpoints included ESS responder rates, MWT, SART, reduction in cataplexy, CGI-C for both EDS and cataplexy, the EQ-5D, and the Patient’s Global Opinion on the Effect of Treatment Questionnaire. The main efficacy objective of the trial was to demonstrate superiority of pitolisant compared to placebo on the primary endpoint, while one of the secondary objectives was to explore the non-inferiority of pitolisant compared to modafinil on ESS score. It should be noted that there was no prospective plan to control for Type 1 error in this trial.</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Efficacy Results</w:t>
      </w:r>
    </w:p>
    <w:p>
      <w:pPr>
        <w:spacing w:after="0" w:line="118" w:lineRule="exact"/>
        <w:rPr>
          <w:sz w:val="20"/>
          <w:szCs w:val="20"/>
          <w:color w:val="auto"/>
        </w:rPr>
      </w:pPr>
    </w:p>
    <w:p>
      <w:pPr>
        <w:ind w:right="120" w:firstLine="864"/>
        <w:spacing w:after="0" w:line="287" w:lineRule="auto"/>
        <w:rPr>
          <w:sz w:val="20"/>
          <w:szCs w:val="20"/>
          <w:color w:val="auto"/>
        </w:rPr>
      </w:pPr>
      <w:r>
        <w:rPr>
          <w:rFonts w:ascii="Arial" w:cs="Arial" w:eastAsia="Arial" w:hAnsi="Arial"/>
          <w:sz w:val="16"/>
          <w:szCs w:val="16"/>
          <w:color w:val="auto"/>
        </w:rPr>
        <w:t>Pitolisant showed a significant reduction in the mean ESS score change from baseline to final visit as compared to placebo (-5.0 versus -2.8, respectively). This resulted in a treatment effect (ESS score at final visit, adjusted for baseline, for pitolisant compared to placebo) of -2.2 (p=0.030). The treatment effect between modafinil and pitolisant was -2.75 and, based on this score and the pre-specified statistical analysis plan, resulted in pitolisant not being non-inferior to modafinil. We believe the same factors that contributed to this result in HARMONY 1 also apply to HARMONY 1bis. In addition, in this trial, the maximum dose of pitolisant to which patients could be titrated (17.8 mg) was not the maximum labeled dose for pitolisant (which is 35.6 mg), and 24% of patients in this trial were on doses lower than 17.8 mg, which means that a substantial percentage of patients were on study drug at an amount less than the maximum approved dose in the USPI for pitolisant. In addition, modafinil was dosed up to 400 mg/day, while the recommended dose of modafinil in its USPI is 200 mg/day, which means that the respective doses of pitolisant and modafinil were not comparable.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Mean ESS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151765</wp:posOffset>
            </wp:positionV>
            <wp:extent cx="5146675" cy="2734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667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00" w:firstLine="864"/>
        <w:spacing w:after="0" w:line="259" w:lineRule="auto"/>
        <w:rPr>
          <w:sz w:val="20"/>
          <w:szCs w:val="20"/>
          <w:color w:val="auto"/>
        </w:rPr>
      </w:pPr>
      <w:r>
        <w:rPr>
          <w:rFonts w:ascii="Arial" w:cs="Arial" w:eastAsia="Arial" w:hAnsi="Arial"/>
          <w:sz w:val="18"/>
          <w:szCs w:val="18"/>
          <w:color w:val="auto"/>
        </w:rPr>
        <w:t xml:space="preserve">Regarding the secondary endpoints, ESS responder rates (a responder was defined as having a final ESS score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10 or change in ESS score ≥ 3) were significantly greater for those patients treated with pitolisant compared to those on placebo (65% vs. 34%, respectively; p=0.001). The responder rate for patients treated with modafinil</w:t>
      </w:r>
    </w:p>
    <w:p>
      <w:pPr>
        <w:spacing w:after="0" w:line="18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color w:val="auto"/>
        </w:rPr>
        <w:t>was 77% and the difference compared to pitolisant was not statistically significant (p=0.086). On the MWT, pitolisant treatment significantly improved performance when compared to placebo (p=0.022), while improvement was not significantly different compared to modafinil (p=0.294).</w:t>
      </w:r>
    </w:p>
    <w:p>
      <w:pPr>
        <w:spacing w:after="0" w:line="200" w:lineRule="exact"/>
        <w:rPr>
          <w:sz w:val="20"/>
          <w:szCs w:val="20"/>
          <w:color w:val="auto"/>
        </w:rPr>
      </w:pPr>
    </w:p>
    <w:p>
      <w:pPr>
        <w:spacing w:after="0" w:line="384" w:lineRule="exact"/>
        <w:rPr>
          <w:sz w:val="20"/>
          <w:szCs w:val="20"/>
          <w:color w:val="auto"/>
        </w:rPr>
      </w:pPr>
    </w:p>
    <w:p>
      <w:pPr>
        <w:ind w:left="1040"/>
        <w:spacing w:after="0"/>
        <w:tabs>
          <w:tab w:leader="none" w:pos="7860" w:val="left"/>
        </w:tabs>
        <w:rPr>
          <w:sz w:val="20"/>
          <w:szCs w:val="20"/>
          <w:color w:val="auto"/>
        </w:rPr>
      </w:pPr>
      <w:r>
        <w:rPr>
          <w:rFonts w:ascii="Arial" w:cs="Arial" w:eastAsia="Arial" w:hAnsi="Arial"/>
          <w:sz w:val="16"/>
          <w:szCs w:val="16"/>
          <w:b w:val="1"/>
          <w:bCs w:val="1"/>
          <w:color w:val="auto"/>
        </w:rPr>
        <w:t xml:space="preserve">Responders (Final ESS </w:t>
      </w:r>
      <w:r>
        <w:rPr>
          <w:rFonts w:ascii="Arial" w:cs="Arial" w:eastAsia="Arial" w:hAnsi="Arial"/>
          <w:sz w:val="16"/>
          <w:szCs w:val="16"/>
          <w:color w:val="auto"/>
        </w:rPr>
        <w:t>≤</w:t>
      </w:r>
      <w:r>
        <w:rPr>
          <w:rFonts w:ascii="Arial" w:cs="Arial" w:eastAsia="Arial" w:hAnsi="Arial"/>
          <w:sz w:val="16"/>
          <w:szCs w:val="16"/>
          <w:b w:val="1"/>
          <w:bCs w:val="1"/>
          <w:color w:val="auto"/>
        </w:rPr>
        <w:t xml:space="preserve"> 10 or Change in ESS </w:t>
      </w:r>
      <w:r>
        <w:rPr>
          <w:rFonts w:ascii="Arial" w:cs="Arial" w:eastAsia="Arial" w:hAnsi="Arial"/>
          <w:sz w:val="16"/>
          <w:szCs w:val="16"/>
          <w:color w:val="auto"/>
        </w:rPr>
        <w:t>≥</w:t>
      </w:r>
      <w:r>
        <w:rPr>
          <w:rFonts w:ascii="Arial" w:cs="Arial" w:eastAsia="Arial" w:hAnsi="Arial"/>
          <w:sz w:val="16"/>
          <w:szCs w:val="16"/>
          <w:b w:val="1"/>
          <w:bCs w:val="1"/>
          <w:color w:val="auto"/>
        </w:rPr>
        <w:t xml:space="preserve"> 3)</w:t>
      </w:r>
      <w:r>
        <w:rPr>
          <w:sz w:val="20"/>
          <w:szCs w:val="20"/>
          <w:color w:val="auto"/>
        </w:rPr>
        <w:tab/>
      </w:r>
      <w:r>
        <w:rPr>
          <w:rFonts w:ascii="Arial" w:cs="Arial" w:eastAsia="Arial" w:hAnsi="Arial"/>
          <w:sz w:val="15"/>
          <w:szCs w:val="15"/>
          <w:b w:val="1"/>
          <w:bCs w:val="1"/>
          <w:color w:val="auto"/>
        </w:rPr>
        <w:t>Change in MWT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046470" cy="1537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46470"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With regard to other secondary endpoints, the overall pattern of response was that the findings for patients on both pitolisant and modafinil were superior to those on placebo while the responses were not significantly different for pitolisant and modafinil. The pitolisant group’s SART Total Score was significantly improved compared to placebo (p=0.043), while not significantly different compared to modafinil (p=0.407). The CGI-C for EDS showed improvement in 37% of patients on placebo, 72% of patients on pitolisant, and 78% of patients on modafinil. Responses on the CGI-C for cataplexy showed improvement for 60% of patients treated with pitolisant compared to 54% of patients on modafinil and 36% of patients on placebo. However, the difference in the reduction in the daily rate of cataplexy between pitolisant (0.32) and placebo (0.31) was not statistically significant (p=0.873). Lastly, the findings on both the EQ-5D and the Patient’s Global Opinion on the Effect of Treatment Questionnaire did not show any meaningful differences between the pitolisant and placebo treatment groups in the HARMONY 1bis trial.</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Safety Results</w:t>
      </w:r>
    </w:p>
    <w:p>
      <w:pPr>
        <w:spacing w:after="0" w:line="118" w:lineRule="exact"/>
        <w:rPr>
          <w:sz w:val="20"/>
          <w:szCs w:val="20"/>
          <w:color w:val="auto"/>
        </w:rPr>
      </w:pPr>
    </w:p>
    <w:p>
      <w:pPr>
        <w:ind w:right="100" w:firstLine="864"/>
        <w:spacing w:after="0" w:line="293" w:lineRule="auto"/>
        <w:rPr>
          <w:sz w:val="20"/>
          <w:szCs w:val="20"/>
          <w:color w:val="auto"/>
        </w:rPr>
      </w:pPr>
      <w:r>
        <w:rPr>
          <w:rFonts w:ascii="Arial" w:cs="Arial" w:eastAsia="Arial" w:hAnsi="Arial"/>
          <w:sz w:val="16"/>
          <w:szCs w:val="16"/>
          <w:color w:val="auto"/>
        </w:rPr>
        <w:t>Pitolisant was generally well tolerated in HARMONY 1bis. Seventy-seven patients experienced a TEAE during the trial: 49% in the pitolisant group, 36% in the placebo group, and 49% in the modafinil group. The most commonly reported TEAEs in the pitolisant treatment group were headache (13%), dizziness (6%), vomiting (4.5%), insomnia (4.5%), and decreased appetite (4.5%). There were no serious adverse events in the pitolisant group and there was one serious adverse event during HARMONY 1bis in the modafinil treatment group, which was not treatment-related. There were no deaths during the trial and no significant changes in laboratory values or hemodynamic parameters (heart rate and blood pressure) from baseline to final visit.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HARMONY CTP</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Design</w:t>
      </w:r>
    </w:p>
    <w:p>
      <w:pPr>
        <w:spacing w:after="0" w:line="118" w:lineRule="exact"/>
        <w:rPr>
          <w:sz w:val="20"/>
          <w:szCs w:val="20"/>
          <w:color w:val="auto"/>
        </w:rPr>
      </w:pPr>
    </w:p>
    <w:p>
      <w:pPr>
        <w:ind w:firstLine="864"/>
        <w:spacing w:after="0" w:line="253" w:lineRule="auto"/>
        <w:rPr>
          <w:sz w:val="20"/>
          <w:szCs w:val="20"/>
          <w:color w:val="auto"/>
        </w:rPr>
      </w:pPr>
      <w:r>
        <w:rPr>
          <w:rFonts w:ascii="Arial" w:cs="Arial" w:eastAsia="Arial" w:hAnsi="Arial"/>
          <w:sz w:val="18"/>
          <w:szCs w:val="18"/>
          <w:color w:val="auto"/>
        </w:rPr>
        <w:t>HARMONY CTP was a randomized, double-blind, placebo-controlled trial to evaluate the safety and efficacy of pitolisant on the reduction in cataplexy in adult patients with narcolepsy with frequent attacks of cataplexy over a seven-week period. HARMONY CTP consisted of 106 patients. The maximum dose of pitolisant in this dose-to-effect trial was 35.6 mg and only 65% of patients reached this dose during the stable dosing period. Both stimulants and wake-promoting agents were prohibited during the trial; only 11% of subjects were on stable doses of anti-cataplectic medications (7% in the pitolisant treatment group and 16% in patients on placebo).</w:t>
      </w:r>
    </w:p>
    <w:p>
      <w:pPr>
        <w:spacing w:after="0" w:line="193" w:lineRule="exact"/>
        <w:rPr>
          <w:sz w:val="20"/>
          <w:szCs w:val="20"/>
          <w:color w:val="auto"/>
        </w:rPr>
      </w:pPr>
    </w:p>
    <w:p>
      <w:pPr>
        <w:jc w:val="both"/>
        <w:ind w:right="180" w:firstLine="864"/>
        <w:spacing w:after="0" w:line="259" w:lineRule="auto"/>
        <w:rPr>
          <w:sz w:val="20"/>
          <w:szCs w:val="20"/>
          <w:color w:val="auto"/>
        </w:rPr>
      </w:pPr>
      <w:r>
        <w:rPr>
          <w:rFonts w:ascii="Arial" w:cs="Arial" w:eastAsia="Arial" w:hAnsi="Arial"/>
          <w:sz w:val="18"/>
          <w:szCs w:val="18"/>
          <w:color w:val="auto"/>
        </w:rPr>
        <w:t>The primary endpoint in HARMONY CTP was the change in the weekly rate of cataplexy (“WRC”) from baseline to the stable dosing period (Weeks 4–7) expressed as the rate ratio (change in the pitolisant group/change in the placebo group). Secondary endpoints included proportion of patients with high cataplexy rate (WRC &gt;15), CGI-</w:t>
      </w:r>
    </w:p>
    <w:p>
      <w:pPr>
        <w:spacing w:after="0" w:line="18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 for cataplexy and EDS, mean change in ESS score and percentage of ESS responders, MWT, the EQ-5D, number of days with hallucinations (as recorded in the patient diaries), and Patient’s Global Opinion on the Effect of Treatment Questionnaire. It should be noted that there was no prospective plan to control for Type 1 error in this trial.</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Efficacy Results</w:t>
      </w:r>
    </w:p>
    <w:p>
      <w:pPr>
        <w:spacing w:after="0" w:line="118" w:lineRule="exact"/>
        <w:rPr>
          <w:sz w:val="20"/>
          <w:szCs w:val="20"/>
          <w:color w:val="auto"/>
        </w:rPr>
      </w:pPr>
    </w:p>
    <w:p>
      <w:pPr>
        <w:ind w:firstLine="864"/>
        <w:spacing w:after="0" w:line="252" w:lineRule="auto"/>
        <w:rPr>
          <w:sz w:val="20"/>
          <w:szCs w:val="20"/>
          <w:color w:val="auto"/>
        </w:rPr>
      </w:pPr>
      <w:r>
        <w:rPr>
          <w:rFonts w:ascii="Arial" w:cs="Arial" w:eastAsia="Arial" w:hAnsi="Arial"/>
          <w:sz w:val="18"/>
          <w:szCs w:val="18"/>
          <w:color w:val="auto"/>
        </w:rPr>
        <w:t>In HARMONY CTP, pitolisant resulted in a significantly greater reduction than placebo in the WRC from baseline to the stable dosing period (Weeks 4–7), with a 75% reduction in the pitolisant group compared to a 38% reduction in the placebo group (rate ratio 0.51; 95% CI (0.44, 0.60; p&lt;0.0001). Further, significantly fewer patients had WRC &gt;15 at endpoint with pitolisant (6%) versus placebo (24%) (p=0.005). The clinical relevance of these findings was captured by the CGI-C related to cataplexy. Mean CGI-C score was 3.5±1.1 with placebo versus 2.6±1.1 with pitolisant. The mean reduction of the CGI-C score for pitolisant compared with placebo was -0.95 (95% CI (-1.36, -0.54); p&lt;0.0001). Overall positive response rates on the CGI-C related to cataplexy were 67% on pitolisant and 33% on placebo.</w:t>
      </w:r>
    </w:p>
    <w:p>
      <w:pPr>
        <w:spacing w:after="0" w:line="324" w:lineRule="exact"/>
        <w:rPr>
          <w:sz w:val="20"/>
          <w:szCs w:val="20"/>
          <w:color w:val="auto"/>
        </w:rPr>
      </w:pPr>
    </w:p>
    <w:p>
      <w:pPr>
        <w:ind w:left="1740"/>
        <w:spacing w:after="0"/>
        <w:tabs>
          <w:tab w:leader="none" w:pos="7280" w:val="left"/>
        </w:tabs>
        <w:rPr>
          <w:sz w:val="20"/>
          <w:szCs w:val="20"/>
          <w:color w:val="auto"/>
        </w:rPr>
      </w:pPr>
      <w:r>
        <w:rPr>
          <w:rFonts w:ascii="Arial" w:cs="Arial" w:eastAsia="Arial" w:hAnsi="Arial"/>
          <w:sz w:val="18"/>
          <w:szCs w:val="18"/>
          <w:b w:val="1"/>
          <w:bCs w:val="1"/>
          <w:color w:val="auto"/>
        </w:rPr>
        <w:t>Percent Reduction in WRC</w:t>
      </w:r>
      <w:r>
        <w:rPr>
          <w:sz w:val="20"/>
          <w:szCs w:val="20"/>
          <w:color w:val="auto"/>
        </w:rPr>
        <w:tab/>
      </w:r>
      <w:r>
        <w:rPr>
          <w:rFonts w:ascii="Arial" w:cs="Arial" w:eastAsia="Arial" w:hAnsi="Arial"/>
          <w:sz w:val="16"/>
          <w:szCs w:val="16"/>
          <w:b w:val="1"/>
          <w:bCs w:val="1"/>
          <w:color w:val="auto"/>
        </w:rPr>
        <w:t>Reduction in WRC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186055</wp:posOffset>
            </wp:positionV>
            <wp:extent cx="6012815" cy="3014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12815" cy="301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firstLine="864"/>
        <w:spacing w:after="0" w:line="253" w:lineRule="auto"/>
        <w:rPr>
          <w:sz w:val="20"/>
          <w:szCs w:val="20"/>
          <w:color w:val="auto"/>
        </w:rPr>
      </w:pPr>
      <w:r>
        <w:rPr>
          <w:rFonts w:ascii="Arial" w:cs="Arial" w:eastAsia="Arial" w:hAnsi="Arial"/>
          <w:sz w:val="18"/>
          <w:szCs w:val="18"/>
          <w:color w:val="auto"/>
        </w:rPr>
        <w:t>With regard to other secondary endpoints, pitolisant demonstrated a statistically significant reduction in mean ESS score from baseline to final visit at week seven as compared to placebo (-5.4 vs. -1.9; p=0.0001) and significantly higher ESS responder rates compared to placebo (p=0.035 for Type 1 ESS responders rate and p=0.002 for Type 2 ESS responders rate; see graph below). On the CGI-C related to EDS, the mean score was 3.7 with placebo versus 2.6 with pitolisant, with a mean reduction of -0.99 (p&lt;0.0001). Overall positive response rates on the CGI-C related to EDS were 69% on pitolisant and 24% on placebo.</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1540"/>
        <w:spacing w:after="0"/>
        <w:tabs>
          <w:tab w:leader="none" w:pos="7640" w:val="left"/>
        </w:tabs>
        <w:rPr>
          <w:sz w:val="20"/>
          <w:szCs w:val="20"/>
          <w:color w:val="auto"/>
        </w:rPr>
      </w:pPr>
      <w:r>
        <w:rPr>
          <w:rFonts w:ascii="Arial" w:cs="Arial" w:eastAsia="Arial" w:hAnsi="Arial"/>
          <w:sz w:val="18"/>
          <w:szCs w:val="18"/>
          <w:b w:val="1"/>
          <w:bCs w:val="1"/>
          <w:color w:val="auto"/>
        </w:rPr>
        <w:t>Change in ESS Score Over Time</w:t>
      </w:r>
      <w:r>
        <w:rPr>
          <w:sz w:val="20"/>
          <w:szCs w:val="20"/>
          <w:color w:val="auto"/>
        </w:rPr>
        <w:tab/>
      </w:r>
      <w:r>
        <w:rPr>
          <w:rFonts w:ascii="Arial" w:cs="Arial" w:eastAsia="Arial" w:hAnsi="Arial"/>
          <w:sz w:val="14"/>
          <w:szCs w:val="14"/>
          <w:b w:val="1"/>
          <w:bCs w:val="1"/>
          <w:color w:val="auto"/>
        </w:rPr>
        <w:t>ESS Responder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151765</wp:posOffset>
            </wp:positionV>
            <wp:extent cx="6071870" cy="2921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292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864"/>
        <w:spacing w:after="0" w:line="253" w:lineRule="auto"/>
        <w:rPr>
          <w:sz w:val="20"/>
          <w:szCs w:val="20"/>
          <w:color w:val="auto"/>
        </w:rPr>
      </w:pPr>
      <w:r>
        <w:rPr>
          <w:rFonts w:ascii="Arial" w:cs="Arial" w:eastAsia="Arial" w:hAnsi="Arial"/>
          <w:sz w:val="18"/>
          <w:szCs w:val="18"/>
          <w:color w:val="auto"/>
        </w:rPr>
        <w:t>On the remainder of the secondary endpoints, pitolisant showed a statistically significant improvement on the MWT from baseline to end of trial compared to placebo. Baseline geometric means on the MWT were 4.3 minutes and 3.7 minutes for placebo and pitolisant, respectively, with final MWT values of 4.6 minutes and 7.1 minutes for placebo and pitolisant, respectively; the improvement in MWT was 78% higher with pitolisant compared to placebo (p=0.003). On the Patient’s Global Opinion on the Effect of Treatment Questionnaire, overall improvement was reported in 54% of patients on pitolisant and 26% of patients on placebo (p=0.001).</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Safety Results</w:t>
      </w:r>
    </w:p>
    <w:p>
      <w:pPr>
        <w:spacing w:after="0" w:line="118"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Pitolisant was generally well tolerated in HARMONY CTP. Thirty-five patients experienced a TEAE during the trial: 35% in the pitolisant group and 31% in the placebo group. The most commonly reported AE in the pitolisant group in HARMONY CTP was headache, which 9% of the group reported, compared to 10% in the placebo group. Other frequently reported AEs in the pitolisant group were irritability, anxiety and nausea (each reported by 3 patients, or 6%). There were no deaths or serious adverse events during HARMONY CTP and no significant changes in laboratory values or hemodynamic parameters (heart rate and blood pressure) from baseline to final trial visit in either group.</w:t>
      </w:r>
    </w:p>
    <w:p>
      <w:pPr>
        <w:spacing w:after="0" w:line="149" w:lineRule="exact"/>
        <w:rPr>
          <w:sz w:val="20"/>
          <w:szCs w:val="20"/>
          <w:color w:val="auto"/>
        </w:rPr>
      </w:pPr>
    </w:p>
    <w:p>
      <w:pPr>
        <w:jc w:val="right"/>
        <w:ind w:right="10260"/>
        <w:spacing w:after="0"/>
        <w:rPr>
          <w:sz w:val="20"/>
          <w:szCs w:val="20"/>
          <w:color w:val="auto"/>
        </w:rPr>
      </w:pPr>
      <w:r>
        <w:rPr>
          <w:rFonts w:ascii="Arial" w:cs="Arial" w:eastAsia="Arial" w:hAnsi="Arial"/>
          <w:sz w:val="16"/>
          <w:szCs w:val="16"/>
          <w:i w:val="1"/>
          <w:iCs w:val="1"/>
          <w:color w:val="auto"/>
        </w:rPr>
        <w:t>HARMONY 3</w:t>
      </w:r>
    </w:p>
    <w:p>
      <w:pPr>
        <w:spacing w:after="0" w:line="200" w:lineRule="exact"/>
        <w:rPr>
          <w:sz w:val="20"/>
          <w:szCs w:val="20"/>
          <w:color w:val="auto"/>
        </w:rPr>
      </w:pPr>
    </w:p>
    <w:p>
      <w:pPr>
        <w:jc w:val="right"/>
        <w:ind w:right="10280"/>
        <w:spacing w:after="0"/>
        <w:rPr>
          <w:sz w:val="20"/>
          <w:szCs w:val="20"/>
          <w:color w:val="auto"/>
        </w:rPr>
      </w:pPr>
      <w:r>
        <w:rPr>
          <w:rFonts w:ascii="Arial" w:cs="Arial" w:eastAsia="Arial" w:hAnsi="Arial"/>
          <w:sz w:val="18"/>
          <w:szCs w:val="18"/>
          <w:b w:val="1"/>
          <w:bCs w:val="1"/>
          <w:color w:val="auto"/>
        </w:rPr>
        <w:t>Design</w:t>
      </w:r>
    </w:p>
    <w:p>
      <w:pPr>
        <w:spacing w:after="0" w:line="118" w:lineRule="exact"/>
        <w:rPr>
          <w:sz w:val="20"/>
          <w:szCs w:val="20"/>
          <w:color w:val="auto"/>
        </w:rPr>
      </w:pPr>
    </w:p>
    <w:p>
      <w:pPr>
        <w:ind w:right="100" w:firstLine="864"/>
        <w:spacing w:after="0" w:line="293" w:lineRule="auto"/>
        <w:rPr>
          <w:sz w:val="20"/>
          <w:szCs w:val="20"/>
          <w:color w:val="auto"/>
        </w:rPr>
      </w:pPr>
      <w:r>
        <w:rPr>
          <w:rFonts w:ascii="Arial" w:cs="Arial" w:eastAsia="Arial" w:hAnsi="Arial"/>
          <w:sz w:val="16"/>
          <w:szCs w:val="16"/>
          <w:color w:val="auto"/>
        </w:rPr>
        <w:t>HARMONY 3 was an open-label, real-world trial to assess the long-term safety and tolerability of pitolisant in the treatment of EDS in adult patients with narcolepsy, with or without cataplexy, over a one-year period (with a 5-year extension at the trial sites in France). HARMONY 3 enrolled 104 patients, 102 of whom were treated with pitolisant, and 68 completed out to one year. In HARMONY 3, 75% of patients had a history of cataplexy and 76% of patients who completed out to one year were on the maximum dose of pitolisant of 35.6 mg. For the 5-year extension phase at the trial sites in France, 50 patients were eligible to continue, of which 48 patients elected to do so and 32 of them were maintained on pitolisant out to 5 years or until the study ended.</w:t>
      </w:r>
    </w:p>
    <w:p>
      <w:pPr>
        <w:spacing w:after="0" w:line="3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Efficacy Results</w:t>
      </w:r>
    </w:p>
    <w:p>
      <w:pPr>
        <w:spacing w:after="0" w:line="118" w:lineRule="exact"/>
        <w:rPr>
          <w:sz w:val="20"/>
          <w:szCs w:val="20"/>
          <w:color w:val="auto"/>
        </w:rPr>
      </w:pPr>
    </w:p>
    <w:p>
      <w:pPr>
        <w:ind w:right="60" w:firstLine="864"/>
        <w:spacing w:after="0" w:line="281" w:lineRule="auto"/>
        <w:rPr>
          <w:sz w:val="20"/>
          <w:szCs w:val="20"/>
          <w:color w:val="auto"/>
        </w:rPr>
      </w:pPr>
      <w:r>
        <w:rPr>
          <w:rFonts w:ascii="Arial" w:cs="Arial" w:eastAsia="Arial" w:hAnsi="Arial"/>
          <w:sz w:val="17"/>
          <w:szCs w:val="17"/>
          <w:color w:val="auto"/>
        </w:rPr>
        <w:t>In the 68 patients with data at baseline and at 12 months in HARMONY 3, pitolisant reduced the mean ESS score by -4.63 over this period. The magnitude of the decrease in ESS score was larger in the subgroup of patients (n=86) who were not on pitolisant at trial entry (-5.25) as compared to the subgroup of patients (n=16) who came into the trial on pitolisant from the French Compassionate Use Program (-2.63).</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 Score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151765</wp:posOffset>
            </wp:positionV>
            <wp:extent cx="5146675" cy="3269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6675" cy="326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In HARMONY 3, pitolisant also demonstrated a reduction in cataplexy and other symptoms of REM intrusion into wakefulness from baseline to month 12, showing a reduction of 65% to 76% in partial or total cataplexy attacks, respectively, out to one year. Reductions of more than 50% were also seen for other symptoms of REM dysfunction, such as hallucinations and sleep paralysis.</w:t>
      </w: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Reduction in Cataplexy and Other Symptoms of REM Dysfunction with Pitolisant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151765</wp:posOffset>
            </wp:positionV>
            <wp:extent cx="5129530" cy="3269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29530" cy="326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Safety Results</w:t>
      </w:r>
    </w:p>
    <w:p>
      <w:pPr>
        <w:spacing w:after="0" w:line="118" w:lineRule="exact"/>
        <w:rPr>
          <w:sz w:val="20"/>
          <w:szCs w:val="20"/>
          <w:color w:val="auto"/>
        </w:rPr>
      </w:pPr>
    </w:p>
    <w:p>
      <w:pPr>
        <w:ind w:right="140" w:firstLine="864"/>
        <w:spacing w:after="0" w:line="252" w:lineRule="auto"/>
        <w:rPr>
          <w:sz w:val="20"/>
          <w:szCs w:val="20"/>
          <w:color w:val="auto"/>
        </w:rPr>
      </w:pPr>
      <w:r>
        <w:rPr>
          <w:rFonts w:ascii="Arial" w:cs="Arial" w:eastAsia="Arial" w:hAnsi="Arial"/>
          <w:sz w:val="18"/>
          <w:szCs w:val="18"/>
          <w:color w:val="auto"/>
        </w:rPr>
        <w:t>Pitolisant was generally well tolerated in HARMONY 3. AEs observed with long-term pitolisant treatment were consistent with those observed in short-term randomized, controlled trials such as HARMONY 1, HARMONY 1bis, and HARMONY CTP. Fifty-eight of the 102 treated patients (57%) reported an aggregate of 168 TEAEs in HARMONY 3, the most common of which are shown in the table below. During the one-year trial, there were no deaths and seven patients reported 10 serious adverse events, nine of which were deemed by the investigator to be unrelated to pitolisant, and one miscarriage which was considered possibly related. No clinically significant changes in laboratory parameters, vital signs or electrocardiogram parameters were recorded over the course of the one year trial.</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80" w:type="dxa"/>
            <w:vAlign w:val="bottom"/>
          </w:tcPr>
          <w:p>
            <w:pPr>
              <w:spacing w:after="0"/>
              <w:rPr>
                <w:sz w:val="20"/>
                <w:szCs w:val="20"/>
                <w:color w:val="auto"/>
              </w:rPr>
            </w:pPr>
            <w:r>
              <w:rPr>
                <w:rFonts w:ascii="Arial" w:cs="Arial" w:eastAsia="Arial" w:hAnsi="Arial"/>
                <w:sz w:val="18"/>
                <w:szCs w:val="18"/>
                <w:b w:val="1"/>
                <w:bCs w:val="1"/>
                <w:color w:val="auto"/>
              </w:rPr>
              <w:t>Adverse Events</w:t>
            </w:r>
          </w:p>
        </w:tc>
        <w:tc>
          <w:tcPr>
            <w:tcW w:w="5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Total Population</w:t>
            </w:r>
          </w:p>
        </w:tc>
        <w:tc>
          <w:tcPr>
            <w:tcW w:w="20" w:type="dxa"/>
            <w:vAlign w:val="bottom"/>
          </w:tcPr>
          <w:p>
            <w:pPr>
              <w:spacing w:after="0"/>
              <w:rPr>
                <w:sz w:val="19"/>
                <w:szCs w:val="19"/>
                <w:color w:val="auto"/>
              </w:rPr>
            </w:pPr>
          </w:p>
        </w:tc>
      </w:tr>
      <w:tr>
        <w:trPr>
          <w:trHeight w:val="24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(Incidence </w:t>
            </w:r>
            <w:r>
              <w:rPr>
                <w:rFonts w:ascii="Arial" w:cs="Arial" w:eastAsia="Arial" w:hAnsi="Arial"/>
                <w:sz w:val="14"/>
                <w:szCs w:val="14"/>
                <w:color w:val="auto"/>
              </w:rPr>
              <w:t>≥</w:t>
            </w:r>
            <w:r>
              <w:rPr>
                <w:rFonts w:ascii="Arial" w:cs="Arial" w:eastAsia="Arial" w:hAnsi="Arial"/>
                <w:sz w:val="18"/>
                <w:szCs w:val="18"/>
                <w:b w:val="1"/>
                <w:bCs w:val="1"/>
                <w:color w:val="auto"/>
              </w:rPr>
              <w:t xml:space="preserve"> 3%), n (%)</w:t>
            </w:r>
          </w:p>
        </w:tc>
        <w:tc>
          <w:tcPr>
            <w:tcW w:w="5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(N=102)</w:t>
            </w:r>
          </w:p>
        </w:tc>
        <w:tc>
          <w:tcPr>
            <w:tcW w:w="20" w:type="dxa"/>
            <w:vAlign w:val="bottom"/>
          </w:tcPr>
          <w:p>
            <w:pPr>
              <w:spacing w:after="0"/>
              <w:rPr>
                <w:sz w:val="20"/>
                <w:szCs w:val="20"/>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Any adverse event</w:t>
            </w:r>
          </w:p>
        </w:tc>
        <w:tc>
          <w:tcPr>
            <w:tcW w:w="6460" w:type="dxa"/>
            <w:vAlign w:val="bottom"/>
            <w:gridSpan w:val="3"/>
            <w:shd w:val="clear" w:color="auto" w:fill="CCEEFF"/>
          </w:tcPr>
          <w:p>
            <w:pPr>
              <w:jc w:val="right"/>
              <w:spacing w:after="0" w:line="195" w:lineRule="exact"/>
              <w:rPr>
                <w:sz w:val="20"/>
                <w:szCs w:val="20"/>
                <w:color w:val="auto"/>
              </w:rPr>
            </w:pPr>
            <w:r>
              <w:rPr>
                <w:rFonts w:ascii="Arial" w:cs="Arial" w:eastAsia="Arial" w:hAnsi="Arial"/>
                <w:sz w:val="18"/>
                <w:szCs w:val="18"/>
                <w:color w:val="auto"/>
              </w:rPr>
              <w:t>58</w:t>
            </w:r>
          </w:p>
        </w:tc>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(56.9)</w:t>
            </w:r>
          </w:p>
        </w:tc>
        <w:tc>
          <w:tcPr>
            <w:tcW w:w="20" w:type="dxa"/>
            <w:vAlign w:val="bottom"/>
          </w:tcPr>
          <w:p>
            <w:pPr>
              <w:spacing w:after="0"/>
              <w:rPr>
                <w:sz w:val="16"/>
                <w:szCs w:val="16"/>
                <w:color w:val="auto"/>
              </w:rPr>
            </w:pPr>
          </w:p>
        </w:tc>
      </w:tr>
      <w:tr>
        <w:trPr>
          <w:trHeight w:val="214"/>
        </w:trPr>
        <w:tc>
          <w:tcPr>
            <w:tcW w:w="3780" w:type="dxa"/>
            <w:vAlign w:val="bottom"/>
          </w:tcPr>
          <w:p>
            <w:pPr>
              <w:spacing w:after="0"/>
              <w:rPr>
                <w:sz w:val="20"/>
                <w:szCs w:val="20"/>
                <w:color w:val="auto"/>
              </w:rPr>
            </w:pPr>
            <w:r>
              <w:rPr>
                <w:rFonts w:ascii="Arial" w:cs="Arial" w:eastAsia="Arial" w:hAnsi="Arial"/>
                <w:sz w:val="18"/>
                <w:szCs w:val="18"/>
                <w:color w:val="auto"/>
              </w:rPr>
              <w:t>Headache</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00" w:type="dxa"/>
            <w:vAlign w:val="bottom"/>
          </w:tcPr>
          <w:p>
            <w:pPr>
              <w:ind w:left="4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Insomnia</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14"/>
        </w:trPr>
        <w:tc>
          <w:tcPr>
            <w:tcW w:w="3780" w:type="dxa"/>
            <w:vAlign w:val="bottom"/>
          </w:tcPr>
          <w:p>
            <w:pPr>
              <w:spacing w:after="0"/>
              <w:rPr>
                <w:sz w:val="20"/>
                <w:szCs w:val="20"/>
                <w:color w:val="auto"/>
              </w:rPr>
            </w:pPr>
            <w:r>
              <w:rPr>
                <w:rFonts w:ascii="Arial" w:cs="Arial" w:eastAsia="Arial" w:hAnsi="Arial"/>
                <w:sz w:val="18"/>
                <w:szCs w:val="18"/>
                <w:color w:val="auto"/>
              </w:rPr>
              <w:t>Weight increased</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0" w:type="dxa"/>
            <w:vAlign w:val="bottom"/>
          </w:tcPr>
          <w:p>
            <w:pPr>
              <w:ind w:lef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Anxiety</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4"/>
        </w:trPr>
        <w:tc>
          <w:tcPr>
            <w:tcW w:w="3780" w:type="dxa"/>
            <w:vAlign w:val="bottom"/>
          </w:tcPr>
          <w:p>
            <w:pPr>
              <w:spacing w:after="0"/>
              <w:rPr>
                <w:sz w:val="20"/>
                <w:szCs w:val="20"/>
                <w:color w:val="auto"/>
              </w:rPr>
            </w:pPr>
            <w:r>
              <w:rPr>
                <w:rFonts w:ascii="Arial" w:cs="Arial" w:eastAsia="Arial" w:hAnsi="Arial"/>
                <w:sz w:val="18"/>
                <w:szCs w:val="18"/>
                <w:color w:val="auto"/>
              </w:rPr>
              <w:t>Depression</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0" w:type="dxa"/>
            <w:vAlign w:val="bottom"/>
          </w:tcPr>
          <w:p>
            <w:pPr>
              <w:ind w:lef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Nausea</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4"/>
        </w:trPr>
        <w:tc>
          <w:tcPr>
            <w:tcW w:w="3780" w:type="dxa"/>
            <w:vAlign w:val="bottom"/>
          </w:tcPr>
          <w:p>
            <w:pPr>
              <w:spacing w:after="0"/>
              <w:rPr>
                <w:sz w:val="20"/>
                <w:szCs w:val="20"/>
                <w:color w:val="auto"/>
              </w:rPr>
            </w:pPr>
            <w:r>
              <w:rPr>
                <w:rFonts w:ascii="Arial" w:cs="Arial" w:eastAsia="Arial" w:hAnsi="Arial"/>
                <w:sz w:val="18"/>
                <w:szCs w:val="18"/>
                <w:color w:val="auto"/>
              </w:rPr>
              <w:t>Irritability</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ind w:lef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Vomiting</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27"/>
        </w:trPr>
        <w:tc>
          <w:tcPr>
            <w:tcW w:w="3780" w:type="dxa"/>
            <w:vAlign w:val="bottom"/>
          </w:tcPr>
          <w:p>
            <w:pPr>
              <w:spacing w:after="0"/>
              <w:rPr>
                <w:sz w:val="20"/>
                <w:szCs w:val="20"/>
                <w:color w:val="auto"/>
              </w:rPr>
            </w:pPr>
            <w:r>
              <w:rPr>
                <w:rFonts w:ascii="Arial" w:cs="Arial" w:eastAsia="Arial" w:hAnsi="Arial"/>
                <w:sz w:val="18"/>
                <w:szCs w:val="18"/>
                <w:color w:val="auto"/>
              </w:rPr>
              <w:t>Vertigo</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ind w:lef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628"/>
        </w:trPr>
        <w:tc>
          <w:tcPr>
            <w:tcW w:w="3780" w:type="dxa"/>
            <w:vAlign w:val="bottom"/>
          </w:tcPr>
          <w:p>
            <w:pPr>
              <w:spacing w:after="0"/>
              <w:rPr>
                <w:sz w:val="24"/>
                <w:szCs w:val="24"/>
                <w:color w:val="auto"/>
              </w:rPr>
            </w:pPr>
          </w:p>
        </w:tc>
        <w:tc>
          <w:tcPr>
            <w:tcW w:w="5580" w:type="dxa"/>
            <w:vAlign w:val="bottom"/>
          </w:tcPr>
          <w:p>
            <w:pPr>
              <w:jc w:val="right"/>
              <w:ind w:right="3351"/>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-1850390</wp:posOffset>
            </wp:positionV>
            <wp:extent cx="7023100" cy="135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3100" cy="135890"/>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9860"/>
        <w:spacing w:after="0"/>
        <w:rPr>
          <w:sz w:val="20"/>
          <w:szCs w:val="20"/>
          <w:color w:val="auto"/>
        </w:rPr>
      </w:pPr>
      <w:r>
        <w:rPr>
          <w:rFonts w:ascii="Arial" w:cs="Arial" w:eastAsia="Arial" w:hAnsi="Arial"/>
          <w:sz w:val="17"/>
          <w:szCs w:val="17"/>
          <w:i w:val="1"/>
          <w:iCs w:val="1"/>
          <w:color w:val="auto"/>
        </w:rPr>
        <w:t>Clinical HAP Trial</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Design</w:t>
      </w:r>
    </w:p>
    <w:p>
      <w:pPr>
        <w:spacing w:after="0" w:line="118" w:lineRule="exact"/>
        <w:rPr>
          <w:sz w:val="20"/>
          <w:szCs w:val="20"/>
          <w:color w:val="auto"/>
        </w:rPr>
      </w:pPr>
    </w:p>
    <w:p>
      <w:pPr>
        <w:ind w:right="180" w:firstLine="864"/>
        <w:spacing w:after="0" w:line="297" w:lineRule="auto"/>
        <w:rPr>
          <w:sz w:val="20"/>
          <w:szCs w:val="20"/>
          <w:color w:val="auto"/>
        </w:rPr>
      </w:pPr>
      <w:r>
        <w:rPr>
          <w:rFonts w:ascii="Arial" w:cs="Arial" w:eastAsia="Arial" w:hAnsi="Arial"/>
          <w:sz w:val="16"/>
          <w:szCs w:val="16"/>
          <w:color w:val="auto"/>
        </w:rPr>
        <w:t>A clinical HAP trial was conducted to evaluate the human abuse potential of pitolisant. In this trial, nondependent, recreational stimulant users able to distinguish phentermine hydrochloride (HCl; 60 mg), a CIV stimulant, from placebo in a drug discrimination test were randomized in a 4-period, double-blind, crossover design to receive single doses of pitolisant 35.6 mg (therapeutic dose), pitolisant 213.6 mg (supra-therapeutic dose), phentermine HCl 60 mg, and placebo. The primary endpoint was maximum effect (Emax) on the 100-point Drug Liking (at the moment) visual analog scale.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w:t>
      </w:r>
    </w:p>
    <w:p>
      <w:pPr>
        <w:spacing w:after="0" w:line="118" w:lineRule="exact"/>
        <w:rPr>
          <w:sz w:val="20"/>
          <w:szCs w:val="20"/>
          <w:color w:val="auto"/>
        </w:rPr>
      </w:pPr>
    </w:p>
    <w:p>
      <w:pPr>
        <w:jc w:val="both"/>
        <w:ind w:right="60" w:firstLine="864"/>
        <w:spacing w:after="0" w:line="259" w:lineRule="auto"/>
        <w:rPr>
          <w:sz w:val="20"/>
          <w:szCs w:val="20"/>
          <w:color w:val="auto"/>
        </w:rPr>
      </w:pPr>
      <w:r>
        <w:rPr>
          <w:rFonts w:ascii="Arial" w:cs="Arial" w:eastAsia="Arial" w:hAnsi="Arial"/>
          <w:sz w:val="18"/>
          <w:szCs w:val="18"/>
          <w:color w:val="auto"/>
        </w:rPr>
        <w:t>A total of 43 subjects were enrolled and 38 completed the trial. Mean Drug Liking Emax was significantly greater for phentermine (78.7) versus pitolisant 35.6 mg (57.3; p&lt;0.0001) and pitolisant 213.6 mg (59.0; p&lt;0.0001). Drug Liking Emax was similar for pitolisant (both doses) and placebo (56.1) (p&lt;0.001 for 35.6 mg versus placebo, and p=0.003 for 213.6 mg versus placebo).</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Maximum Drug Liking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160655</wp:posOffset>
            </wp:positionV>
            <wp:extent cx="5129530" cy="2683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29530"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 xml:space="preserve">Similarly, for key secondary measures of Overall Drug Liking and willingness to Take Drug Again, mean Emax scores were significantly greater for phentermine (77.4 for Overall Drug Liking and 78.7 for Take Drug Again) versus pitolisant 213.6 mg (49.3 and 44.5) and 35.6 mg (52.7 and 49.4) ( </w:t>
      </w:r>
      <w:r>
        <w:rPr>
          <w:rFonts w:ascii="Arial" w:cs="Arial" w:eastAsia="Arial" w:hAnsi="Arial"/>
          <w:sz w:val="18"/>
          <w:szCs w:val="18"/>
          <w:i w:val="1"/>
          <w:iCs w:val="1"/>
          <w:color w:val="auto"/>
        </w:rPr>
        <w:t>p</w:t>
      </w:r>
      <w:r>
        <w:rPr>
          <w:rFonts w:ascii="Arial" w:cs="Arial" w:eastAsia="Arial" w:hAnsi="Arial"/>
          <w:sz w:val="18"/>
          <w:szCs w:val="18"/>
          <w:color w:val="auto"/>
        </w:rPr>
        <w:t xml:space="preserve"> &lt; 0.0001 for each comparison for both doses of pitolisant compared to phentermine).</w:t>
      </w: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Overall Drug Liking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151765</wp:posOffset>
            </wp:positionV>
            <wp:extent cx="5129530" cy="2759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29530" cy="275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Take Drug Again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151765</wp:posOffset>
            </wp:positionV>
            <wp:extent cx="5129530" cy="287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29530"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In summary, in the clinical HAP trial, pitolisant demonstrated a statistically significant and clinically relevant reduction in drug liking compared to phentermine as well as an overall response profile similar to placebo. Based on these clinical data, along with data from preclinical abuse liability studies, the evidence pointed to a low risk of abuse for pitolisant, which supported the approval of WAKIX without being scheduled as a controlled substance by the DEA.</w:t>
      </w:r>
    </w:p>
    <w:p>
      <w:pPr>
        <w:spacing w:after="0" w:line="200" w:lineRule="exact"/>
        <w:rPr>
          <w:sz w:val="20"/>
          <w:szCs w:val="20"/>
          <w:color w:val="auto"/>
        </w:rPr>
      </w:pPr>
    </w:p>
    <w:p>
      <w:pPr>
        <w:spacing w:after="0" w:line="20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Post-Hoc Analyses for Pitolisant</w:t>
      </w:r>
    </w:p>
    <w:p>
      <w:pPr>
        <w:spacing w:after="0" w:line="221" w:lineRule="exact"/>
        <w:rPr>
          <w:sz w:val="20"/>
          <w:szCs w:val="20"/>
          <w:color w:val="auto"/>
        </w:rPr>
      </w:pPr>
    </w:p>
    <w:p>
      <w:pPr>
        <w:ind w:firstLine="864"/>
        <w:spacing w:after="0" w:line="282" w:lineRule="auto"/>
        <w:rPr>
          <w:sz w:val="20"/>
          <w:szCs w:val="20"/>
          <w:color w:val="auto"/>
        </w:rPr>
      </w:pPr>
      <w:r>
        <w:rPr>
          <w:rFonts w:ascii="Arial" w:cs="Arial" w:eastAsia="Arial" w:hAnsi="Arial"/>
          <w:sz w:val="16"/>
          <w:szCs w:val="16"/>
          <w:color w:val="auto"/>
        </w:rPr>
        <w:t>We conducted three post-hoc analyses from the database of the narcolepsy clinical trials for pitolisant, which focused on clinically relevant aspects of the product profile. The first analysis examined the time-to-onset of clinical response for pitolisant for improvement in both EDS and reduction in cataplexy based on data from 61 patients in the HARMONY 1 (pitolisant, n=31; placebo, n=30) and 105 patients in the HARMONY CTP (pitolisant, n=54; placebo, n=51) randomized, controlled clinical trials. Study medication was individually titrated to a potential maximum dose of pitolisant 35.6 mg/d and then remained stable; 61% of patients in HARMONY 1 and 65% in HARMONY CTP were titrated to the 35.6 mg dose. Efficacy assessments included the ESS and WRC or daily rate of cataplexy. Onset of clinical response was defined as the first timepoint at which there was a statistically significant difference between pitolisant and placebo. For time-to-response for EDS using the ESS, least-squares (“LS”) mean change from baseline was significantly greater for pitolisant compared with placebo beginning at Week 2 in HARMONY 1 and Week 3 in HARMONY CTP (when patients were first able to receive the 17.8 mg dose in each study) and continued through the end of treatment. More pitolisant-treated patients were classified as treatment responders (ESS reduction of ≥ 3 points) at each post-baseline assessment than were patients in the placebo group. Pitolisant treatment resulted in a significantly greater proportion of responders versus placebo beginning at Week 3 in both studies. In HARMONY CTP, the frequency of cataplexy attacks was significantly reduced for pitolisant compared with placebo beginning at Week 2 and continued through the end of treatment. The percentage of cataplexy responders in HARMONY CTP was significantly greater with pitolisant versus placebo beginning at Week 1 for response defined as ≥ 25% reduction in WRC and at Week 2 for response defined as ≥ 50% reduction in WRC. There was no evidence of rebound cataplexy after a one-week placebo washout phase. In summary, the onset of clinical response was observed beginning at Week 2 (HARMONY 1) or Week 3 (HARMONY CTP) for mean change in ESS score and at Week 2 (HARMONY CTP) for mean change in WRC, with further improvements observed in pitolisant-treated patients through the end of treatment. The percentage of treatment responders was significantly greater with pitolisant versus placebo beginning at Week 3 for EDS (defined as ESS score reduction ≥ 3) and at Week 2 for cataplexy (defined as ≥ 50% reduction in WRC).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Time-to-Onset of Response for EDS Based on ESS Scores in HARMONY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149225</wp:posOffset>
            </wp:positionV>
            <wp:extent cx="3668395" cy="2768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6839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Time-to-Onset of Response for EDS Based on ESS Responder Rate (ESS reduction of ≥3 points) in HARMONY 1</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296545</wp:posOffset>
            </wp:positionV>
            <wp:extent cx="3575050" cy="2505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75050"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Time-to-Onset of Response for Cataplexy Based on WRC in HARMONY CTP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149225</wp:posOffset>
            </wp:positionV>
            <wp:extent cx="4067810" cy="28873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67810" cy="288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right="3179" w:hanging="5743"/>
        <w:spacing w:after="0" w:line="563" w:lineRule="auto"/>
        <w:rPr>
          <w:sz w:val="20"/>
          <w:szCs w:val="20"/>
          <w:color w:val="auto"/>
        </w:rPr>
      </w:pPr>
      <w:r>
        <w:rPr>
          <w:rFonts w:ascii="Arial" w:cs="Arial" w:eastAsia="Arial" w:hAnsi="Arial"/>
          <w:sz w:val="17"/>
          <w:szCs w:val="17"/>
          <w:color w:val="auto"/>
        </w:rPr>
        <w:t>Time-to-Onset of Response for Cataplexy Based on WRC Reduction ≥ 50% in HARMONY CTP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-109855</wp:posOffset>
            </wp:positionV>
            <wp:extent cx="71761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296545</wp:posOffset>
            </wp:positionV>
            <wp:extent cx="4050665" cy="18935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50665" cy="189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864"/>
        <w:spacing w:after="0" w:line="283" w:lineRule="auto"/>
        <w:rPr>
          <w:sz w:val="20"/>
          <w:szCs w:val="20"/>
          <w:color w:val="auto"/>
        </w:rPr>
      </w:pPr>
      <w:r>
        <w:rPr>
          <w:rFonts w:ascii="Arial" w:cs="Arial" w:eastAsia="Arial" w:hAnsi="Arial"/>
          <w:sz w:val="16"/>
          <w:szCs w:val="16"/>
          <w:color w:val="auto"/>
        </w:rPr>
        <w:t xml:space="preserve">A second post-hoc analysis evaluated the efficacy of pitolisant in patients with narcolepsy who had a high symptom burden (both EDS and cataplexy) at baseline; this analysis was based on pooled data from both the HARMONY 1 and HARMONY CTP clinical trials, in which patients could be titrated up to a maximum dose of 35.6 mg/day. The analyses included three independent patient subgroups: baseline score of </w:t>
      </w:r>
      <w:r>
        <w:rPr>
          <w:rFonts w:ascii="Arial" w:cs="Arial" w:eastAsia="Arial" w:hAnsi="Arial"/>
          <w:sz w:val="16"/>
          <w:szCs w:val="16"/>
          <w:u w:val="single" w:color="auto"/>
          <w:color w:val="auto"/>
        </w:rPr>
        <w:t>≥</w:t>
      </w:r>
      <w:r>
        <w:rPr>
          <w:rFonts w:ascii="Arial" w:cs="Arial" w:eastAsia="Arial" w:hAnsi="Arial"/>
          <w:sz w:val="16"/>
          <w:szCs w:val="16"/>
          <w:color w:val="auto"/>
        </w:rPr>
        <w:t xml:space="preserve">16 on the ESS, sleep latency of </w:t>
      </w:r>
      <w:r>
        <w:rPr>
          <w:rFonts w:ascii="Arial" w:cs="Arial" w:eastAsia="Arial" w:hAnsi="Arial"/>
          <w:sz w:val="16"/>
          <w:szCs w:val="16"/>
          <w:u w:val="single" w:color="auto"/>
          <w:color w:val="auto"/>
        </w:rPr>
        <w:t>&lt;</w:t>
      </w:r>
      <w:r>
        <w:rPr>
          <w:rFonts w:ascii="Arial" w:cs="Arial" w:eastAsia="Arial" w:hAnsi="Arial"/>
          <w:sz w:val="16"/>
          <w:szCs w:val="16"/>
          <w:color w:val="auto"/>
        </w:rPr>
        <w:t xml:space="preserve">8 minutes on MWT, and </w:t>
      </w:r>
      <w:r>
        <w:rPr>
          <w:rFonts w:ascii="Arial" w:cs="Arial" w:eastAsia="Arial" w:hAnsi="Arial"/>
          <w:sz w:val="16"/>
          <w:szCs w:val="16"/>
          <w:u w:val="single" w:color="auto"/>
          <w:color w:val="auto"/>
        </w:rPr>
        <w:t>≥</w:t>
      </w:r>
      <w:r>
        <w:rPr>
          <w:rFonts w:ascii="Arial" w:cs="Arial" w:eastAsia="Arial" w:hAnsi="Arial"/>
          <w:sz w:val="16"/>
          <w:szCs w:val="16"/>
          <w:color w:val="auto"/>
        </w:rPr>
        <w:t xml:space="preserve">15 cataplexy attacks per week. The analysis populations included 118 patients for the ESS (pitolisant, n=60; placebo, n=58), 105 for the MWT (pitolisant, n=59; placebo, n=46), and 31 for cataplexy (pitolisant, n=20; placebo, n=11). LS mean change in ESS from baseline was significantly greater for pitolisant (-6.1) compared with placebo (-2.3; p&lt;0.001). A significantly greater percentage of pitolisant-treated patients were classified as treatment responders: for ESS score reduction </w:t>
      </w:r>
      <w:r>
        <w:rPr>
          <w:rFonts w:ascii="Arial" w:cs="Arial" w:eastAsia="Arial" w:hAnsi="Arial"/>
          <w:sz w:val="16"/>
          <w:szCs w:val="16"/>
          <w:u w:val="single" w:color="auto"/>
          <w:color w:val="auto"/>
        </w:rPr>
        <w:t>&gt;</w:t>
      </w:r>
      <w:r>
        <w:rPr>
          <w:rFonts w:ascii="Arial" w:cs="Arial" w:eastAsia="Arial" w:hAnsi="Arial"/>
          <w:sz w:val="16"/>
          <w:szCs w:val="16"/>
          <w:color w:val="auto"/>
        </w:rPr>
        <w:t xml:space="preserve">3, 69.0% in the pitolisant group versus 35.1% in the placebo group (p=0.001); for final ESS score </w:t>
      </w:r>
      <w:r>
        <w:rPr>
          <w:rFonts w:ascii="Arial" w:cs="Arial" w:eastAsia="Arial" w:hAnsi="Arial"/>
          <w:sz w:val="16"/>
          <w:szCs w:val="16"/>
          <w:u w:val="single" w:color="auto"/>
          <w:color w:val="auto"/>
        </w:rPr>
        <w:t>&lt;</w:t>
      </w:r>
      <w:r>
        <w:rPr>
          <w:rFonts w:ascii="Arial" w:cs="Arial" w:eastAsia="Arial" w:hAnsi="Arial"/>
          <w:sz w:val="16"/>
          <w:szCs w:val="16"/>
          <w:color w:val="auto"/>
        </w:rPr>
        <w:t>10, 36.2% versus 10.5%, respectively (p=0.005). Mean increase in sleep latency on the MWT was significantly greater for pitolisant (6.9 minutes) compared with placebo (3.4 minutes; p=0.017). In patients with a high burden of cataplexy, LS mean change in the WRC was significantly greater for pitolisant (–14.5) compared with placebo (–0.1; P = 0.004). On average, the frequency of cataplexy attacks was reduced by 60.6% in the pitolisant group and &lt;1% in the placebo group. Adverse events in the analysis populations were consistent with the known safety profile of pitolisant; headache was the most common adverse event in pitolisant-treated patients (10.0%–20.0%). These analyses demonstrated pitolisant resulted in significant improvement in patients who experience a high burden of the two most common symptoms in narcolepsy, EDS and cataplexy.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High Burden of EDS: Reduction in ESS Scores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302260</wp:posOffset>
            </wp:positionV>
            <wp:extent cx="3549650" cy="2190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9650"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High Burden of EDS: Treatment Responders Based on ESS Scores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302260</wp:posOffset>
            </wp:positionV>
            <wp:extent cx="4034155" cy="27343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3415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High Burden of Cataplexy: Reduction in WRC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149225</wp:posOffset>
            </wp:positionV>
            <wp:extent cx="4271645" cy="28873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71645" cy="288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In the third post-hoc analysis, we evaluated the cardiac safety events associated with pitolisant because cardiovascular diseases are comorbid conditions in patients with narcolepsy. Cardiovascular adverse effects are of concern with narcolepsy medications because of this comorbidity and most patients require lifelong pharmacotherapy for both narcolepsy and cardiovascular disorders. Data were obtained from a pooled analysis of the HARMONY 1 (8-week) and HARMONY CTP (7-week) clinical trials and from the 12-month, open-label</w:t>
      </w:r>
    </w:p>
    <w:p>
      <w:pPr>
        <w:spacing w:after="0" w:line="19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HARMONY 3 trial. The pooled analysis included 166 patients (pitolisant, n=85; placebo, n=81). Mean change in heart rate from baseline to end-of-treatment was -0.5 beats/min with pitolisant and -0.2 beats/min with placebo (LS mean difference, -0.4; p=0.744). Mean change was also similar for pitolisant versus placebo in systolic (LS mean difference, 0.0; p=0.983) and diastolic (LS mean difference, -0.6; p=0.552) blood pressure, as was mean change in QTc interval (LS mean difference, 0.4; p=0.911). Cardiac adverse events with pitolisant included heart rate increase (n=4), right bundle branch block (n=1), sinus tachycardia (n=1), and palpitations (n=1), and with placebo included blood pressure increase (n=1). In the long-term study, mean change from baseline in QTc interval was 3.1 msec at Month 6 (n=70) and 6.1 msec at Month 12 (n=67); three patients had a post-baseline increase &gt;60 msec but none had QTc &gt;500 msec. Based on this analysis, no cardiac safety signals were observed during treatment with pitolisant administered up to the maximum dose of 35.6 mg and for up to one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New Indications for Pitolisant</w:t>
      </w:r>
    </w:p>
    <w:p>
      <w:pPr>
        <w:spacing w:after="0" w:line="221" w:lineRule="exact"/>
        <w:rPr>
          <w:sz w:val="20"/>
          <w:szCs w:val="20"/>
          <w:color w:val="auto"/>
        </w:rPr>
      </w:pPr>
    </w:p>
    <w:p>
      <w:pPr>
        <w:ind w:right="40" w:firstLine="864"/>
        <w:spacing w:after="0" w:line="286" w:lineRule="auto"/>
        <w:rPr>
          <w:sz w:val="20"/>
          <w:szCs w:val="20"/>
          <w:color w:val="auto"/>
        </w:rPr>
      </w:pPr>
      <w:r>
        <w:rPr>
          <w:rFonts w:ascii="Arial" w:cs="Arial" w:eastAsia="Arial" w:hAnsi="Arial"/>
          <w:sz w:val="16"/>
          <w:szCs w:val="16"/>
          <w:color w:val="auto"/>
        </w:rPr>
        <w:t>We are actively working on label expansion for WAKIX in narcolepsy, including indications for both EDS and cataplexy in pediatric patients. We also intend to work with the FDA toward gaining pediatric exclusivity for WAKIX. We believe that pitolisant’s ability to regulate histamine and histaminergic signaling gives it the potential to provide therapeutic benefit in other disorders that are mediated through the H</w:t>
      </w:r>
      <w:r>
        <w:rPr>
          <w:rFonts w:ascii="Arial" w:cs="Arial" w:eastAsia="Arial" w:hAnsi="Arial"/>
          <w:sz w:val="13"/>
          <w:szCs w:val="13"/>
          <w:color w:val="auto"/>
        </w:rPr>
        <w:t>3</w:t>
      </w:r>
      <w:r>
        <w:rPr>
          <w:rFonts w:ascii="Arial" w:cs="Arial" w:eastAsia="Arial" w:hAnsi="Arial"/>
          <w:sz w:val="16"/>
          <w:szCs w:val="16"/>
          <w:color w:val="auto"/>
        </w:rPr>
        <w:t xml:space="preserve"> receptor and histamine signaling and offers a </w:t>
      </w:r>
      <w:r>
        <w:rPr>
          <w:rFonts w:ascii="Arial" w:cs="Arial" w:eastAsia="Arial" w:hAnsi="Arial"/>
          <w:sz w:val="16"/>
          <w:szCs w:val="16"/>
          <w:i w:val="1"/>
          <w:iCs w:val="1"/>
          <w:color w:val="auto"/>
        </w:rPr>
        <w:t>portfolio in a product</w:t>
      </w:r>
      <w:r>
        <w:rPr>
          <w:rFonts w:ascii="Arial" w:cs="Arial" w:eastAsia="Arial" w:hAnsi="Arial"/>
          <w:sz w:val="16"/>
          <w:szCs w:val="16"/>
          <w:color w:val="auto"/>
        </w:rPr>
        <w:t xml:space="preserve"> opportunity with pitolisant. Histamine plays an important role in normal physiologic functioning beyond wakefulness in the areas of attention, vigilance, behavior and cognition. The presence of H</w:t>
      </w:r>
      <w:r>
        <w:rPr>
          <w:rFonts w:ascii="Arial" w:cs="Arial" w:eastAsia="Arial" w:hAnsi="Arial"/>
          <w:sz w:val="13"/>
          <w:szCs w:val="13"/>
          <w:color w:val="auto"/>
        </w:rPr>
        <w:t>3</w:t>
      </w:r>
      <w:r>
        <w:rPr>
          <w:rFonts w:ascii="Arial" w:cs="Arial" w:eastAsia="Arial" w:hAnsi="Arial"/>
          <w:sz w:val="16"/>
          <w:szCs w:val="16"/>
          <w:color w:val="auto"/>
        </w:rPr>
        <w:t xml:space="preserve"> receptors in the hypothalamus, brainstem and cerebral cortex account for different functions, which could provide an opportunity for pitolisant to treat symptoms other than EDS in different disorders. In addition, H</w:t>
      </w:r>
      <w:r>
        <w:rPr>
          <w:rFonts w:ascii="Arial" w:cs="Arial" w:eastAsia="Arial" w:hAnsi="Arial"/>
          <w:sz w:val="13"/>
          <w:szCs w:val="13"/>
          <w:color w:val="auto"/>
        </w:rPr>
        <w:t>3</w:t>
      </w:r>
      <w:r>
        <w:rPr>
          <w:rFonts w:ascii="Arial" w:cs="Arial" w:eastAsia="Arial" w:hAnsi="Arial"/>
          <w:sz w:val="16"/>
          <w:szCs w:val="16"/>
          <w:color w:val="auto"/>
        </w:rPr>
        <w:t xml:space="preserve"> receptors are located mainly in the CNS as opposed to other parts of the body outside the CNS. This fact, along with pitolisant being highly selective for the H</w:t>
      </w:r>
      <w:r>
        <w:rPr>
          <w:rFonts w:ascii="Arial" w:cs="Arial" w:eastAsia="Arial" w:hAnsi="Arial"/>
          <w:sz w:val="13"/>
          <w:szCs w:val="13"/>
          <w:color w:val="auto"/>
        </w:rPr>
        <w:t>3</w:t>
      </w:r>
      <w:r>
        <w:rPr>
          <w:rFonts w:ascii="Arial" w:cs="Arial" w:eastAsia="Arial" w:hAnsi="Arial"/>
          <w:sz w:val="16"/>
          <w:szCs w:val="16"/>
          <w:color w:val="auto"/>
        </w:rPr>
        <w:t xml:space="preserve"> receptor (as opposed to H</w:t>
      </w:r>
      <w:r>
        <w:rPr>
          <w:rFonts w:ascii="Arial" w:cs="Arial" w:eastAsia="Arial" w:hAnsi="Arial"/>
          <w:sz w:val="13"/>
          <w:szCs w:val="13"/>
          <w:color w:val="auto"/>
        </w:rPr>
        <w:t>1</w:t>
      </w:r>
      <w:r>
        <w:rPr>
          <w:rFonts w:ascii="Arial" w:cs="Arial" w:eastAsia="Arial" w:hAnsi="Arial"/>
          <w:sz w:val="16"/>
          <w:szCs w:val="16"/>
          <w:color w:val="auto"/>
        </w:rPr>
        <w:t xml:space="preserve"> receptors, H</w:t>
      </w:r>
      <w:r>
        <w:rPr>
          <w:rFonts w:ascii="Arial" w:cs="Arial" w:eastAsia="Arial" w:hAnsi="Arial"/>
          <w:sz w:val="13"/>
          <w:szCs w:val="13"/>
          <w:color w:val="auto"/>
        </w:rPr>
        <w:t>2</w:t>
      </w:r>
      <w:r>
        <w:rPr>
          <w:rFonts w:ascii="Arial" w:cs="Arial" w:eastAsia="Arial" w:hAnsi="Arial"/>
          <w:sz w:val="16"/>
          <w:szCs w:val="16"/>
          <w:color w:val="auto"/>
        </w:rPr>
        <w:t xml:space="preserve"> receptors and H</w:t>
      </w:r>
      <w:r>
        <w:rPr>
          <w:rFonts w:ascii="Arial" w:cs="Arial" w:eastAsia="Arial" w:hAnsi="Arial"/>
          <w:sz w:val="13"/>
          <w:szCs w:val="13"/>
          <w:color w:val="auto"/>
        </w:rPr>
        <w:t>4</w:t>
      </w:r>
      <w:r>
        <w:rPr>
          <w:rFonts w:ascii="Arial" w:cs="Arial" w:eastAsia="Arial" w:hAnsi="Arial"/>
          <w:sz w:val="16"/>
          <w:szCs w:val="16"/>
          <w:color w:val="auto"/>
        </w:rPr>
        <w:t xml:space="preserve"> receptors), is the reason we believe in pitolisant’s unique MOA and its potential to improve symptoms in patients living with rare neurological disorders, in which impaired histamine signaling is part of the underlying pathophysiology.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267970</wp:posOffset>
            </wp:positionV>
            <wp:extent cx="3533140" cy="2446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33140" cy="244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60" w:right="7960" w:hanging="224"/>
        <w:spacing w:after="0" w:line="297" w:lineRule="auto"/>
        <w:tabs>
          <w:tab w:leader="none" w:pos="10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Role of histamine in normal physiologic functioning beyond wake promotion (e.g. attention, vigilance, behavior, cognition)</w:t>
      </w:r>
    </w:p>
    <w:p>
      <w:pPr>
        <w:spacing w:after="0" w:line="159" w:lineRule="exact"/>
        <w:rPr>
          <w:rFonts w:ascii="Arial" w:cs="Arial" w:eastAsia="Arial" w:hAnsi="Arial"/>
          <w:sz w:val="16"/>
          <w:szCs w:val="16"/>
          <w:color w:val="auto"/>
        </w:rPr>
      </w:pPr>
    </w:p>
    <w:p>
      <w:pPr>
        <w:ind w:left="1020" w:right="8020" w:hanging="263"/>
        <w:spacing w:after="0" w:line="325" w:lineRule="auto"/>
        <w:tabs>
          <w:tab w:leader="none" w:pos="1103" w:val="left"/>
        </w:tabs>
        <w:numPr>
          <w:ilvl w:val="1"/>
          <w:numId w:val="13"/>
        </w:numPr>
        <w:rPr>
          <w:rFonts w:ascii="Arial" w:cs="Arial" w:eastAsia="Arial" w:hAnsi="Arial"/>
          <w:sz w:val="14"/>
          <w:szCs w:val="14"/>
          <w:color w:val="auto"/>
        </w:rPr>
      </w:pPr>
      <w:r>
        <w:rPr>
          <w:rFonts w:ascii="Arial" w:cs="Arial" w:eastAsia="Arial" w:hAnsi="Arial"/>
          <w:sz w:val="14"/>
          <w:szCs w:val="14"/>
          <w:color w:val="auto"/>
        </w:rPr>
        <w:t>Location of H</w:t>
      </w:r>
      <w:r>
        <w:rPr>
          <w:rFonts w:ascii="Arial" w:cs="Arial" w:eastAsia="Arial" w:hAnsi="Arial"/>
          <w:sz w:val="12"/>
          <w:szCs w:val="12"/>
          <w:color w:val="auto"/>
        </w:rPr>
        <w:t>3</w:t>
      </w:r>
      <w:r>
        <w:rPr>
          <w:rFonts w:ascii="Arial" w:cs="Arial" w:eastAsia="Arial" w:hAnsi="Arial"/>
          <w:sz w:val="14"/>
          <w:szCs w:val="14"/>
          <w:color w:val="auto"/>
        </w:rPr>
        <w:t xml:space="preserve"> receptors in hypothalamus, brainstem, and cerebral cortex account for</w:t>
      </w:r>
    </w:p>
    <w:p>
      <w:pPr>
        <w:spacing w:after="0" w:line="1" w:lineRule="exact"/>
        <w:rPr>
          <w:sz w:val="20"/>
          <w:szCs w:val="20"/>
          <w:color w:val="auto"/>
        </w:rPr>
      </w:pPr>
    </w:p>
    <w:p>
      <w:pPr>
        <w:jc w:val="both"/>
        <w:ind w:left="920" w:right="7920" w:hanging="9"/>
        <w:spacing w:after="0" w:line="318" w:lineRule="auto"/>
        <w:rPr>
          <w:sz w:val="20"/>
          <w:szCs w:val="20"/>
          <w:color w:val="auto"/>
        </w:rPr>
      </w:pPr>
      <w:r>
        <w:rPr>
          <w:rFonts w:ascii="Arial" w:cs="Arial" w:eastAsia="Arial" w:hAnsi="Arial"/>
          <w:sz w:val="16"/>
          <w:szCs w:val="16"/>
          <w:color w:val="auto"/>
        </w:rPr>
        <w:t>different functions (and potential symptoms in different disorders)</w:t>
      </w:r>
    </w:p>
    <w:p>
      <w:pPr>
        <w:spacing w:after="0" w:line="142" w:lineRule="exact"/>
        <w:rPr>
          <w:sz w:val="20"/>
          <w:szCs w:val="20"/>
          <w:color w:val="auto"/>
        </w:rPr>
      </w:pPr>
    </w:p>
    <w:p>
      <w:pPr>
        <w:ind w:left="920" w:hanging="34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H</w:t>
      </w:r>
      <w:r>
        <w:rPr>
          <w:rFonts w:ascii="Arial" w:cs="Arial" w:eastAsia="Arial" w:hAnsi="Arial"/>
          <w:sz w:val="15"/>
          <w:szCs w:val="15"/>
          <w:color w:val="auto"/>
        </w:rPr>
        <w:t>3</w:t>
      </w:r>
      <w:r>
        <w:rPr>
          <w:rFonts w:ascii="Arial" w:cs="Arial" w:eastAsia="Arial" w:hAnsi="Arial"/>
          <w:sz w:val="18"/>
          <w:szCs w:val="18"/>
          <w:color w:val="auto"/>
        </w:rPr>
        <w:t xml:space="preserve"> receptor populations</w:t>
      </w:r>
    </w:p>
    <w:p>
      <w:pPr>
        <w:spacing w:after="0" w:line="2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outside the CNS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864"/>
        <w:spacing w:after="0" w:line="253" w:lineRule="auto"/>
        <w:rPr>
          <w:sz w:val="20"/>
          <w:szCs w:val="20"/>
          <w:color w:val="auto"/>
        </w:rPr>
      </w:pPr>
      <w:r>
        <w:rPr>
          <w:rFonts w:ascii="Arial" w:cs="Arial" w:eastAsia="Arial" w:hAnsi="Arial"/>
          <w:sz w:val="18"/>
          <w:szCs w:val="18"/>
          <w:color w:val="auto"/>
        </w:rPr>
        <w:t>Our initial plan is to seek new indications in patient populations that have symptom overlap with narcolepsy, such as EDS, while potentially pursuing opportunities in other CNS disorders of hypersomnolence. The initial clinical targets will focus on rare neurological disorders consistent with our overall strategy. We submitted an IND for PWS in October 2019 and received acknowledgement from the FDA that the proposed clinical investigation may proceed. We subsequently completed a Phase 1 PK clinical trial in pediatric patients with PWS in the fourth quarter of 2019, and initiated a long-term, open-label safety trial in these patients. In December 2020, we initiated a</w:t>
      </w:r>
    </w:p>
    <w:p>
      <w:pPr>
        <w:spacing w:after="0" w:line="19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Phase 2 clinical trial to evaluate pitolisant for the treatment of EDS and other key symptoms in patients with PWS and anticipate topline results from this trial in the first half of 2022. We submitted an IND for DM at the end of 2020 and the IND opened in January 2021, after which we received a “Study May Proceed” letter from the FDA in February 2021. We plan to initiate a Phase 2 clinical trial in patients with DM1 during the first half of 2021, and anticipate topline results in the second half of 2022. While conducting clinical programs to evaluate these indications, other clinical endpoints beyond EDS will be evaluated as secondary or exploratory endpoints, such as behavioral symptoms, vigilance, fatigue and cognition, to broaden the investigation of pitolisant with the hope of generating pilot data to help inform the next phase of our clinical development strategy.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Label Expansion in Narcolepsy</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Cataplexy Indication</w:t>
      </w:r>
    </w:p>
    <w:p>
      <w:pPr>
        <w:spacing w:after="0" w:line="118" w:lineRule="exact"/>
        <w:rPr>
          <w:sz w:val="20"/>
          <w:szCs w:val="20"/>
          <w:color w:val="auto"/>
        </w:rPr>
      </w:pPr>
    </w:p>
    <w:p>
      <w:pPr>
        <w:ind w:firstLine="864"/>
        <w:spacing w:after="0" w:line="252" w:lineRule="auto"/>
        <w:rPr>
          <w:sz w:val="20"/>
          <w:szCs w:val="20"/>
          <w:color w:val="auto"/>
        </w:rPr>
      </w:pPr>
      <w:r>
        <w:rPr>
          <w:rFonts w:ascii="Arial" w:cs="Arial" w:eastAsia="Arial" w:hAnsi="Arial"/>
          <w:sz w:val="18"/>
          <w:szCs w:val="18"/>
          <w:color w:val="auto"/>
        </w:rPr>
        <w:t>The NDA submission for WAKIX initially sought approval for the treatment of both EDS and cataplexy in adult patients with narcolepsy. Our application requesting approval for a cataplexy indication was based on the cataplexy results from HARMONY CTP and HARMONY 1. The FDA approved WAKIX for the treatment of EDS in adult patients with narcolepsy but issued a CRL for the cataplexy indication, . The FDA determined that, although we had submitted one positive clinical trial for cataplexy (HARMONY CTP), the NDA submission did not provide substantial evidence of effectiveness regarding cataplexy. The FDA therefore recommended that we conduct a second trial substantiating the results of HARMONY CTP in order to obtain approval for the cataplexy indication.</w:t>
      </w:r>
    </w:p>
    <w:p>
      <w:pPr>
        <w:spacing w:after="0" w:line="194"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We attended a Type A post-CRL meeting with the FDA on December 12, 2019 to discuss the cataplexy indication, during which we pointed the FDA to additional analyses that were conducted in support of the HARMONY 1 cataplexy data and which were included in the NDA submission. Following additional interactions with the FDA, we received a general advice letter in June 2020 stating that the FDA had re-analyzed data from the HARMONY 1 clinical trial and confirmed that the cataplexy data from the HARMONY 1 clinical trial supported a statistically significant reduction in the daily rate of cataplexy in the pitolisant group when compared with the placebo group. As a result, the FDA recommended we submit a complete response resubmission in pursuit of the adult cataplexy indication for WAKIX, which we sent to the FDA in August 2020. On October 13, 2020 we received regulatory approval for WAKIX for the treatment of cataplexy in adult patients with narcolepsy.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Pediatric Narcolepsy</w:t>
      </w:r>
    </w:p>
    <w:p>
      <w:pPr>
        <w:spacing w:after="0" w:line="118"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Approximately 5% of diagnosed narcolepsy patients (approximately 3,600 patients) are 19 years of age or under. Symptoms often have a more profound effect in children, resulting in reduced function and greater psychological impact. Until the fourth quarter of 2018, no treatments were approved for pediatric patients with narcolepsy, at which time Xyrem received an expanded indication for the treatment of cataplexy or EDS in patients seven years of age or older with narcolepsy. Xywav (low sodium formulation of Xyrem) received the same indication in July 2020. We intend to engage with the FDA in pursuit of pediatric exclusivity and commence a Phase 3 trial in pediatric patients in the second half of 2021 in pursuit of pediatric indications for both EDS and cataplexy. Our current plan is to evaluate approximately 90 to 100 pediatric patients, ages six to up to 18, to assess the safety and efficacy of pitolisant in pediatric narcolepsy patients on improvement in both EDS and reduction in cataplexy.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Pitolisant in New Patient Populations in Pursuit of Additional Indications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Prader-Willi Syndrome</w:t>
      </w:r>
    </w:p>
    <w:p>
      <w:pPr>
        <w:spacing w:after="0" w:line="118" w:lineRule="exact"/>
        <w:rPr>
          <w:sz w:val="20"/>
          <w:szCs w:val="20"/>
          <w:color w:val="auto"/>
        </w:rPr>
      </w:pPr>
    </w:p>
    <w:p>
      <w:pPr>
        <w:ind w:right="80" w:firstLine="864"/>
        <w:spacing w:after="0" w:line="287" w:lineRule="auto"/>
        <w:rPr>
          <w:sz w:val="20"/>
          <w:szCs w:val="20"/>
          <w:color w:val="auto"/>
        </w:rPr>
      </w:pPr>
      <w:r>
        <w:rPr>
          <w:rFonts w:ascii="Arial" w:cs="Arial" w:eastAsia="Arial" w:hAnsi="Arial"/>
          <w:sz w:val="16"/>
          <w:szCs w:val="16"/>
          <w:color w:val="auto"/>
        </w:rPr>
        <w:t>PWS is a rare genetic disorder caused by a loss of function of specific genes on chromosome 15 resulting in hypothalamic dysfunction and decreased levels of hypocretin in some patients with PWS. The hypothalamus controls both sleep-wake states and hunger-satiety; therefore, two of the main symptoms in patients with PWS are EDS and hyperphagia. Other features include low muscle tone, short stature, behavioral problems and cognitive impairment. It is estimated that approximately one in 15,000 to 20,000 people in the United States suffer from PWS, and over half of those suffering from PWS also have reported or experienced EDS. We submitted an IND for PWS in October 2019 and received acknowledgement from the FDA that the proposed clinical investigation may proceed. We subsequently completed a Phase 1 PK clinical trial in pediatric patients with PWS in the fourth quarter of 2019, and initiated a long-term, open-label safety trial in these patients. In December 2020, we initiated a Phase 2 clinical trial to evaluate pitolisant for the treatment of EDS and other key symptoms in patients with PWS and anticipate topline results from this trial in the first half of 2022.</w:t>
      </w:r>
    </w:p>
    <w:p>
      <w:pPr>
        <w:spacing w:after="0" w:line="16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40" w:firstLine="864"/>
        <w:spacing w:after="0" w:line="252" w:lineRule="auto"/>
        <w:rPr>
          <w:sz w:val="20"/>
          <w:szCs w:val="20"/>
          <w:color w:val="auto"/>
        </w:rPr>
      </w:pPr>
      <w:r>
        <w:rPr>
          <w:rFonts w:ascii="Arial" w:cs="Arial" w:eastAsia="Arial" w:hAnsi="Arial"/>
          <w:sz w:val="18"/>
          <w:szCs w:val="18"/>
          <w:color w:val="auto"/>
        </w:rPr>
        <w:t>PWS poses a heavy burden for both patients and caregivers and there are few therapeutic options available and no FDA-approved treatments for EDS in patients with PWS. Clinical development programs in PWS have focused on hyperphagia, with no other programs focusing on EDS or cognitive function. EDS is thought to have a negative effect on behavior and cognitive function and could exacerbate these symptoms in patients with PWS. In addition, impaired histamine signaling in the brain can contribute to behavioral symptoms and impaired cognition. We believe there is a compelling opportunity for the mechanism of action of pitolisant to impact the EDS component of this disorder as well as other symptoms, such as behavioral issues and cognitive impairment.</w:t>
      </w:r>
    </w:p>
    <w:p>
      <w:pPr>
        <w:spacing w:after="0" w:line="194" w:lineRule="exact"/>
        <w:rPr>
          <w:sz w:val="20"/>
          <w:szCs w:val="20"/>
          <w:color w:val="auto"/>
        </w:rPr>
      </w:pPr>
    </w:p>
    <w:p>
      <w:pPr>
        <w:ind w:right="180" w:firstLine="864"/>
        <w:spacing w:after="0" w:line="293" w:lineRule="auto"/>
        <w:rPr>
          <w:sz w:val="20"/>
          <w:szCs w:val="20"/>
          <w:color w:val="auto"/>
        </w:rPr>
      </w:pPr>
      <w:r>
        <w:rPr>
          <w:rFonts w:ascii="Arial" w:cs="Arial" w:eastAsia="Arial" w:hAnsi="Arial"/>
          <w:sz w:val="16"/>
          <w:szCs w:val="16"/>
          <w:color w:val="auto"/>
        </w:rPr>
        <w:t>We have collaborated with the Foundation for Prader-Willi Research (the “FPWR”) to advance our clinical program and underscore our commitment to this patient population. We are members of the FPWR Clinical Trials Consortium and are working with members of its Scientific Advisory Board to gain their insights for our development program. Progress to date includes (i) opening an IND for PWS in October 2019, (ii) the completion of a Phase 1 PK trial in patients with PWS in the fourth quarter of 2019, with patients actively rolling over into an open-label, long-term safety trial, (iii) the submission of a Phase 2 clinical protocol to the FDA for review and comment, and (iv) initiation of a Phase 2 trial in December 2020.</w:t>
      </w:r>
    </w:p>
    <w:p>
      <w:pPr>
        <w:spacing w:after="0" w:line="161" w:lineRule="exact"/>
        <w:rPr>
          <w:sz w:val="20"/>
          <w:szCs w:val="20"/>
          <w:color w:val="auto"/>
        </w:rPr>
      </w:pPr>
    </w:p>
    <w:p>
      <w:pPr>
        <w:ind w:firstLine="864"/>
        <w:spacing w:after="0" w:line="267" w:lineRule="auto"/>
        <w:rPr>
          <w:sz w:val="20"/>
          <w:szCs w:val="20"/>
          <w:color w:val="auto"/>
        </w:rPr>
      </w:pPr>
      <w:r>
        <w:rPr>
          <w:rFonts w:ascii="Arial" w:cs="Arial" w:eastAsia="Arial" w:hAnsi="Arial"/>
          <w:sz w:val="17"/>
          <w:szCs w:val="17"/>
          <w:color w:val="auto"/>
        </w:rPr>
        <w:t>The Phase 2 clinical trial is a randomized, double-blind, placebo-controlled trial to assess the safety and efficacy of pitolisant in patients with PWS ages 6 to 65. An estimated 60 to 70 patients will be enrolled at approximately 10 sites across the United States. Patients will be randomized to low-dose pitolisant, high-dose pitolisant or placebo in a 1:1:1 treatment ratio and titrated over three weeks up to their randomized dose, followed by eight weeks of stable dosing. The primary trial objective is to assess for improvement in EDS as measured by the Multiple Sleep Latency Test. Secondary endpoints include several behavioral symptom scales as well as specific measures of cognitive function using validated computer-based assessments. Clinician global impression of disease severity, caregiver global impression of EDS severity, and overall caregiver burden will be measured. Exploratory endpoints include the effect of pitolisant on hyperphagia and measurements of ghrelin levels. Patients who complete the trial will be eligible to participate in an open-label extension phase to assess the long-term safety and effectiveness of pitolisant in patients with PWS, which will run throughout the duration of the PWS development program.</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Myotonic Dystrophy</w:t>
      </w:r>
    </w:p>
    <w:p>
      <w:pPr>
        <w:spacing w:after="0" w:line="118" w:lineRule="exact"/>
        <w:rPr>
          <w:sz w:val="20"/>
          <w:szCs w:val="20"/>
          <w:color w:val="auto"/>
        </w:rPr>
      </w:pPr>
    </w:p>
    <w:p>
      <w:pPr>
        <w:ind w:right="80" w:firstLine="864"/>
        <w:spacing w:after="0" w:line="266" w:lineRule="auto"/>
        <w:rPr>
          <w:sz w:val="20"/>
          <w:szCs w:val="20"/>
          <w:color w:val="auto"/>
        </w:rPr>
      </w:pPr>
      <w:r>
        <w:rPr>
          <w:rFonts w:ascii="Arial" w:cs="Arial" w:eastAsia="Arial" w:hAnsi="Arial"/>
          <w:sz w:val="17"/>
          <w:szCs w:val="17"/>
          <w:color w:val="auto"/>
        </w:rPr>
        <w:t>DM is a rare, multi-system genetic disease that affects the neuromuscular system as well as several other systems. The primary symptom in patients with DM is myotonia, which is an impairment in the ability of muscles to relax; progressive muscle weakness is another prominent symptom of the disorder. It is inherited in an autosomal dominant pattern and there are two main types: DM1 and DM2. The underlying cause of DM1 is a mutation in the DMPK gene on chromosome 19. DM1 is the most common form of adult-onset muscular dystrophy and affects as many as 140,000 patients in the United States. EDS and fatigue are hallmark clinical characteristics in the majority of patients with DM1 and are referred to as the most frequent non-muscular symptoms in patients with DM1. EDS and fatigue occur in approximately 80% to 90% of patients with DM1. Cognitive impairment is also a prominent symptom in patients with DM1 and all of these symptoms are thought to be mediated through H</w:t>
      </w:r>
      <w:r>
        <w:rPr>
          <w:rFonts w:ascii="Arial" w:cs="Arial" w:eastAsia="Arial" w:hAnsi="Arial"/>
          <w:sz w:val="14"/>
          <w:szCs w:val="14"/>
          <w:color w:val="auto"/>
        </w:rPr>
        <w:t>3</w:t>
      </w:r>
      <w:r>
        <w:rPr>
          <w:rFonts w:ascii="Arial" w:cs="Arial" w:eastAsia="Arial" w:hAnsi="Arial"/>
          <w:sz w:val="17"/>
          <w:szCs w:val="17"/>
          <w:color w:val="auto"/>
        </w:rPr>
        <w:t xml:space="preserve"> receptors and histaminergic pathways located throughout the CNS. DM2 is not as common as DM1 with an estimated prevalence of between 3,000 and 29,000 patients in the United States. The underlying cause of DM2 is a mutation in the CBNP gene on chromosome 3. Patients with DM1 and DM2 share similar phenotypes but disease onset is later in patients with DM2 and symptoms tend to be milder. There are currently no FDA-approved treatments for patients with DM, which represents a significant unmet medical need.</w:t>
      </w:r>
    </w:p>
    <w:p>
      <w:pPr>
        <w:spacing w:after="0" w:line="185" w:lineRule="exact"/>
        <w:rPr>
          <w:sz w:val="20"/>
          <w:szCs w:val="20"/>
          <w:color w:val="auto"/>
        </w:rPr>
      </w:pPr>
    </w:p>
    <w:p>
      <w:pPr>
        <w:ind w:right="20" w:firstLine="864"/>
        <w:spacing w:after="0" w:line="251" w:lineRule="auto"/>
        <w:rPr>
          <w:sz w:val="20"/>
          <w:szCs w:val="20"/>
          <w:color w:val="auto"/>
        </w:rPr>
      </w:pPr>
      <w:r>
        <w:rPr>
          <w:rFonts w:ascii="Arial" w:cs="Arial" w:eastAsia="Arial" w:hAnsi="Arial"/>
          <w:sz w:val="18"/>
          <w:szCs w:val="18"/>
          <w:color w:val="auto"/>
        </w:rPr>
        <w:t>The therapeutic application of pitolisant may provide benefits across the key symptoms of EDS and fatigue which are often among the chief complaints of patients with DM. In a survey of 451 DM1 patients, daytime sleepiness and fatigue were second only to muscle weakness in symptom prevalence and impact. Our clinical program will be designed to demonstrate effect on measures of EDS and fatigue, as well as assess performance related to cognitive function, such as attention, vigilance and working memory. Progress to date includes working with key opinion leaders to develop the scientific rationale for the investigation of pitolisant in patients with DM, development of a Phase 2 clinical protocol, submission of an IND at the end of 2020, the opening of an IND in January 2021 and receipt of a “Study May Proceed” letter from the FDA in February 2021. We plan to initiate a Phase 2 clinical trial in patients with DM1 in the first half of 2021.</w:t>
      </w:r>
    </w:p>
    <w:p>
      <w:pPr>
        <w:spacing w:after="0" w:line="19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firstLine="864"/>
        <w:spacing w:after="0" w:line="267" w:lineRule="auto"/>
        <w:rPr>
          <w:sz w:val="20"/>
          <w:szCs w:val="20"/>
          <w:color w:val="auto"/>
        </w:rPr>
      </w:pPr>
      <w:r>
        <w:rPr>
          <w:rFonts w:ascii="Arial" w:cs="Arial" w:eastAsia="Arial" w:hAnsi="Arial"/>
          <w:sz w:val="17"/>
          <w:szCs w:val="17"/>
          <w:color w:val="auto"/>
        </w:rPr>
        <w:t>The proposed Phase 2 clinical trial is a randomized, double-blind, placebo-controlled trial to assess the safety and efficacy of pitolisant in adult patients with DM ages 18 to 65. An estimated 130 to 140 patients will be enrolled at approximately 14 to 16 sites across the United States. Patients will be randomized to low-dose pitolisant, high-dose pitolisant, or placebo in a 1:1:1 treatment ratio and titrated over three weeks up to their randomized dose, followed by eight weeks of stable dosing. The primary trial objective is to assess for improvement in EDS as measured by the MWT and the ESS. Secondary endpoints include assessments of fatigue as well as specific measures of cognitive function using validated computer-based assessments. Clinician and patient global impression of disease severity using the CGI-S and PGI-S, respectively, will be measured as well as disease-specific patient assessments of overall disease burden. Plasma samples will be collected to generate pharmacokinetic data and a PK/PD analysis will be performed. Patients who complete the trial will be eligible to participate in an open-label extension phase to assess the long-term safety and effectiveness of pitolisant in patients with DM, which will run throughout the duration of the DM development program.</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Other Potential Indications</w:t>
      </w:r>
    </w:p>
    <w:p>
      <w:pPr>
        <w:spacing w:after="0" w:line="118"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The next phase of clinical development for pitolisant will be guided by the signals generated from the clinical trials described above and other potential trials in patients with PWS and DM. If we observe favorable results in these trials on the symptoms of fatigue and cognitive dysfunction, we plan to investigate pitolisant in other rare neurological patient populations in which these symptoms are a prominent part of the disease process and result in significant impact on daily functioning. Furthermore, we believe opportunities exist in adjacent disorders to narcolepsy, including other CNS disorders of hypersomnolence, which could lead to additional potential new indications.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Supply and Distribution</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sell WAKIX to our customers, a limited number of specialty distributors, that, in turn, distribute WAKIX to patients.</w:t>
      </w:r>
    </w:p>
    <w:p>
      <w:pPr>
        <w:spacing w:after="0" w:line="221" w:lineRule="exact"/>
        <w:rPr>
          <w:sz w:val="20"/>
          <w:szCs w:val="20"/>
          <w:color w:val="auto"/>
        </w:rPr>
      </w:pPr>
    </w:p>
    <w:p>
      <w:pPr>
        <w:ind w:right="120" w:firstLine="864"/>
        <w:spacing w:after="0" w:line="335" w:lineRule="auto"/>
        <w:rPr>
          <w:sz w:val="20"/>
          <w:szCs w:val="20"/>
          <w:color w:val="auto"/>
        </w:rPr>
      </w:pPr>
      <w:r>
        <w:rPr>
          <w:rFonts w:ascii="Arial" w:cs="Arial" w:eastAsia="Arial" w:hAnsi="Arial"/>
          <w:sz w:val="16"/>
          <w:szCs w:val="16"/>
          <w:color w:val="auto"/>
        </w:rPr>
        <w:t>We have secured a commercial drug supply to support the launch of WAKIX in the United States. Although we do not currently own or operate facilities for product manufacturing, storage and distribution, or testing, we have contracted directly with third parties for each of these functions.</w:t>
      </w:r>
    </w:p>
    <w:p>
      <w:pPr>
        <w:spacing w:after="0" w:line="128" w:lineRule="exact"/>
        <w:rPr>
          <w:sz w:val="20"/>
          <w:szCs w:val="20"/>
          <w:color w:val="auto"/>
        </w:rPr>
      </w:pPr>
    </w:p>
    <w:p>
      <w:pPr>
        <w:ind w:right="200" w:firstLine="864"/>
        <w:spacing w:after="0" w:line="307" w:lineRule="auto"/>
        <w:rPr>
          <w:sz w:val="20"/>
          <w:szCs w:val="20"/>
          <w:color w:val="auto"/>
        </w:rPr>
      </w:pPr>
      <w:r>
        <w:rPr>
          <w:rFonts w:ascii="Arial" w:cs="Arial" w:eastAsia="Arial" w:hAnsi="Arial"/>
          <w:sz w:val="16"/>
          <w:szCs w:val="16"/>
          <w:color w:val="auto"/>
        </w:rPr>
        <w:t>Manufacturing is subject to extensive regulation that imposes various procedural and documentation requirements that govern record keeping, manufacturing processes and controls, personnel, quality control and quality assurance, and more. Our systems and our contractors are required to be in compliance with these regulations, and compliance is assessed regularly through monitoring of performance and a formal audit program.</w:t>
      </w:r>
    </w:p>
    <w:p>
      <w:pPr>
        <w:spacing w:after="0" w:line="150" w:lineRule="exact"/>
        <w:rPr>
          <w:sz w:val="20"/>
          <w:szCs w:val="20"/>
          <w:color w:val="auto"/>
        </w:rPr>
      </w:pPr>
    </w:p>
    <w:p>
      <w:pPr>
        <w:ind w:right="460" w:firstLine="864"/>
        <w:spacing w:after="0" w:line="259" w:lineRule="auto"/>
        <w:rPr>
          <w:sz w:val="20"/>
          <w:szCs w:val="20"/>
          <w:color w:val="auto"/>
        </w:rPr>
      </w:pPr>
      <w:r>
        <w:rPr>
          <w:rFonts w:ascii="Arial" w:cs="Arial" w:eastAsia="Arial" w:hAnsi="Arial"/>
          <w:sz w:val="18"/>
          <w:szCs w:val="18"/>
          <w:color w:val="auto"/>
        </w:rPr>
        <w:t>Our current supply chain for WAKIX involve several manufacturers that specialize in specific operations of the manufacturing process, specifically, intermediate and starting material manufacturing, drug substance manufacturing, and drug product manufacturing, labeling and secondary packaging, and distribution services:</w:t>
      </w:r>
    </w:p>
    <w:p>
      <w:pPr>
        <w:spacing w:after="0" w:line="186" w:lineRule="exact"/>
        <w:rPr>
          <w:sz w:val="20"/>
          <w:szCs w:val="20"/>
          <w:color w:val="auto"/>
        </w:rPr>
      </w:pPr>
    </w:p>
    <w:p>
      <w:pPr>
        <w:ind w:left="860" w:hanging="425"/>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Interor S.A. manufactures our BF4 and BF6 intermediate and starting material used in the active pharmaceutical ingredient (“API”).</w:t>
      </w:r>
    </w:p>
    <w:p>
      <w:pPr>
        <w:spacing w:after="0" w:line="232" w:lineRule="exact"/>
        <w:rPr>
          <w:rFonts w:ascii="Arial" w:cs="Arial" w:eastAsia="Arial" w:hAnsi="Arial"/>
          <w:sz w:val="17"/>
          <w:szCs w:val="17"/>
          <w:color w:val="auto"/>
        </w:rPr>
      </w:pPr>
    </w:p>
    <w:p>
      <w:pPr>
        <w:ind w:left="860" w:hanging="425"/>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Corden Pharma Chenôve SAS, a full-service contract development and manufacturing organization (“CDMO”) manufactures our API.</w:t>
      </w:r>
    </w:p>
    <w:p>
      <w:pPr>
        <w:spacing w:after="0" w:line="232" w:lineRule="exact"/>
        <w:rPr>
          <w:rFonts w:ascii="Arial" w:cs="Arial" w:eastAsia="Arial" w:hAnsi="Arial"/>
          <w:sz w:val="17"/>
          <w:szCs w:val="17"/>
          <w:color w:val="auto"/>
        </w:rPr>
      </w:pPr>
    </w:p>
    <w:p>
      <w:pPr>
        <w:ind w:left="860" w:right="100" w:hanging="425"/>
        <w:spacing w:after="0" w:line="271"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Patheon UK Limited, a CDMO owned by Thermo Fisher Scientific Inc., manufactures our finished product tablets and fills them into unlabeled bottles.</w:t>
      </w:r>
    </w:p>
    <w:p>
      <w:pPr>
        <w:spacing w:after="0" w:line="174" w:lineRule="exact"/>
        <w:rPr>
          <w:rFonts w:ascii="Arial" w:cs="Arial" w:eastAsia="Arial" w:hAnsi="Arial"/>
          <w:sz w:val="18"/>
          <w:szCs w:val="18"/>
          <w:color w:val="auto"/>
        </w:rPr>
      </w:pPr>
    </w:p>
    <w:p>
      <w:pPr>
        <w:ind w:left="860" w:hanging="425"/>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Carton Service, Inc., d/b/a Pharma Packaging Solutions, handles our labeling and secondary packaging.</w:t>
      </w:r>
    </w:p>
    <w:p>
      <w:pPr>
        <w:spacing w:after="0" w:line="220" w:lineRule="exact"/>
        <w:rPr>
          <w:rFonts w:ascii="Arial" w:cs="Arial" w:eastAsia="Arial" w:hAnsi="Arial"/>
          <w:sz w:val="18"/>
          <w:szCs w:val="18"/>
          <w:color w:val="auto"/>
        </w:rPr>
      </w:pPr>
    </w:p>
    <w:p>
      <w:pPr>
        <w:ind w:left="860" w:hanging="425"/>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Integrated Commercialization Solutions, LLC (ICS), a division of AmerisourceBergen Corporation, is our third-party logistics provider.</w:t>
      </w:r>
    </w:p>
    <w:p>
      <w:pPr>
        <w:spacing w:after="0" w:line="23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860" w:hanging="425"/>
        <w:spacing w:after="0" w:line="271"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Inmar Rx Solutions, Inc., an advanced technology and data analytics company, specializes in reverse distribution of our product and manages our pharmaceutical returns and product recall, if needed.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1" w:lineRule="exact"/>
        <w:rPr>
          <w:sz w:val="20"/>
          <w:szCs w:val="20"/>
          <w:color w:val="auto"/>
        </w:rPr>
      </w:pPr>
    </w:p>
    <w:p>
      <w:pPr>
        <w:ind w:right="80" w:firstLine="864"/>
        <w:spacing w:after="0" w:line="253" w:lineRule="auto"/>
        <w:rPr>
          <w:sz w:val="20"/>
          <w:szCs w:val="20"/>
          <w:color w:val="auto"/>
        </w:rPr>
      </w:pPr>
      <w:r>
        <w:rPr>
          <w:rFonts w:ascii="Arial" w:cs="Arial" w:eastAsia="Arial" w:hAnsi="Arial"/>
          <w:sz w:val="18"/>
          <w:szCs w:val="18"/>
          <w:color w:val="auto"/>
        </w:rPr>
        <w:t>Our industry is highly competitive and subject to rapid and significant change as research provides a deeper understanding of rare neurological disorders, including narcolepsy, and as new therapies are developed. We face potential competition from multiple sources, including large pharmaceutical, biotechnology and specialty pharmaceutical companies. The key competitive factors affecting the success of WAKIX, and any other product candidates that we develop, if approved, are likely to be efficacy, safety, convenience, price, the level of generic competition and the availability of reimbursement from government and other third-party payors.</w:t>
      </w:r>
    </w:p>
    <w:p>
      <w:pPr>
        <w:spacing w:after="0" w:line="193" w:lineRule="exact"/>
        <w:rPr>
          <w:sz w:val="20"/>
          <w:szCs w:val="20"/>
          <w:color w:val="auto"/>
        </w:rPr>
      </w:pPr>
    </w:p>
    <w:p>
      <w:pPr>
        <w:ind w:right="80" w:firstLine="864"/>
        <w:spacing w:after="0" w:line="284" w:lineRule="auto"/>
        <w:rPr>
          <w:sz w:val="20"/>
          <w:szCs w:val="20"/>
          <w:color w:val="auto"/>
        </w:rPr>
      </w:pPr>
      <w:r>
        <w:rPr>
          <w:rFonts w:ascii="Arial" w:cs="Arial" w:eastAsia="Arial" w:hAnsi="Arial"/>
          <w:sz w:val="16"/>
          <w:szCs w:val="16"/>
          <w:color w:val="auto"/>
        </w:rPr>
        <w:t>WAKIX competes with currently FDA-approved products for the treatment of EDS or cataplexy in adult patients with narcolepsy, all of which are controlled substances. Jazz Pharmaceuticals’ Xyrem (sodium oxybate) is an FDA-approved product for the treatment of cataplexy or EDS in patients 7 years of age and older with narcolepsy Xyrem is a Schedule III controlled substance available only through a restricted access REMS program. Xywav, a lower sodium formulation of Xyrem, was approved in July 2020, (became commercially available in November 2020), and is also a Schedule III controlled substance subject to the same restricted access REMS program as Xyrem. Provigil and Nuvigil, which are Schedule IV WPAs, and stimulants such as methylphenidate and amphetamine (both Schedule II controlled substances), are approved for the treatment of EDS in narcolepsy. Anti-depressants and certain other agents are sometimes used off-label for the treatment of cataplexy in narcolepsy. Jazz Pharmaceuticals’ Sunosi (solriamfetol) was approved by the FDA in March 2019 and launched in July 2019. Sunosi (solriamfetol) is a Schedule IV controlled substance and is indicated to improve wakefulness in adult patients with EDS associated with narcolepsy or obstructive sleep apnea. It is not indicated for cataplexy in patients with narcolepsy. Additionally, Avadel Pharmaceuticals is working on a once nightly formulation version of sodium oxybate, with approval expected in 2021 or beyond, and Xyrem is expected to go generic in 2023. Beyond 2023, there are other potential future competitive products in development, including Axsome Therapeutics’s AXS-12 (reboxetine) product candidate and Takeda’s TAK-925/994 (orexin 2 receptor agonist) product candidates.</w:t>
      </w:r>
    </w:p>
    <w:p>
      <w:pPr>
        <w:spacing w:after="0" w:line="169" w:lineRule="exact"/>
        <w:rPr>
          <w:sz w:val="20"/>
          <w:szCs w:val="20"/>
          <w:color w:val="auto"/>
        </w:rPr>
      </w:pPr>
    </w:p>
    <w:p>
      <w:pPr>
        <w:ind w:right="60" w:firstLine="864"/>
        <w:spacing w:after="0" w:line="269" w:lineRule="auto"/>
        <w:rPr>
          <w:sz w:val="20"/>
          <w:szCs w:val="20"/>
          <w:color w:val="auto"/>
        </w:rPr>
      </w:pPr>
      <w:r>
        <w:rPr>
          <w:rFonts w:ascii="Arial" w:cs="Arial" w:eastAsia="Arial" w:hAnsi="Arial"/>
          <w:sz w:val="17"/>
          <w:szCs w:val="17"/>
          <w:color w:val="auto"/>
        </w:rPr>
        <w:t>We believe WAKIX offers a differentiated product profile that is competitive with each of the products listed above, some of which are only approved for EDS while others (Xyrem and Xywav) are approved for the treatment of both EDS or cataplexy in patients with narcolepsy. It should be noted that WAKIX has not been compared with these products in head-to-head clinical trials, but its non-scheduled status represents a distinct competitive advantage relative to those same products. Additionally, WAKIX is priced lower than Xyrem and Xywav, which we believe is a competitive advantage for WAKIX and may contribute to third-party payor preferences for WAKIX relative to Xyrem and Xywav. Conversely, WAKIX is priced higher than other competitors such as Provigil, Nuvigil, Sunosi and certain generic competitors, such as methylphenidate and amphetamine, which may contribute to third-party payor preferences for those lower-priced treatment options relative to WAKIX.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Suppliers</w:t>
      </w:r>
    </w:p>
    <w:p>
      <w:pPr>
        <w:spacing w:after="0" w:line="221" w:lineRule="exact"/>
        <w:rPr>
          <w:sz w:val="20"/>
          <w:szCs w:val="20"/>
          <w:color w:val="auto"/>
        </w:rPr>
      </w:pPr>
    </w:p>
    <w:p>
      <w:pPr>
        <w:ind w:right="180" w:firstLine="864"/>
        <w:spacing w:after="0" w:line="255" w:lineRule="auto"/>
        <w:rPr>
          <w:sz w:val="20"/>
          <w:szCs w:val="20"/>
          <w:color w:val="auto"/>
        </w:rPr>
      </w:pPr>
      <w:r>
        <w:rPr>
          <w:rFonts w:ascii="Arial" w:cs="Arial" w:eastAsia="Arial" w:hAnsi="Arial"/>
          <w:sz w:val="18"/>
          <w:szCs w:val="18"/>
          <w:color w:val="auto"/>
        </w:rPr>
        <w:t>We depend on a few major customers. For the year ended December 31, 2020, three customers accounted for 100% of gross product revenues; Caremark LLC accounted for 40% of gross product revenues; PANTHERx Specialty Pharmacy LLC accounted for 33% of gross product revenues; and Accredo Health Group, Inc. accounted for 27% of gross product revenues. We also depend on a single source supplier for our product, product candidates and active pharmaceutical ingredient.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Commercialization Agreement with Bioprojet</w:t>
      </w:r>
    </w:p>
    <w:p>
      <w:pPr>
        <w:spacing w:after="0" w:line="114" w:lineRule="exact"/>
        <w:rPr>
          <w:sz w:val="20"/>
          <w:szCs w:val="20"/>
          <w:color w:val="auto"/>
        </w:rPr>
      </w:pPr>
    </w:p>
    <w:p>
      <w:pPr>
        <w:ind w:right="60" w:firstLine="864"/>
        <w:spacing w:after="0" w:line="253" w:lineRule="auto"/>
        <w:rPr>
          <w:sz w:val="20"/>
          <w:szCs w:val="20"/>
          <w:color w:val="auto"/>
        </w:rPr>
      </w:pPr>
      <w:r>
        <w:rPr>
          <w:rFonts w:ascii="Arial" w:cs="Arial" w:eastAsia="Arial" w:hAnsi="Arial"/>
          <w:sz w:val="18"/>
          <w:szCs w:val="18"/>
          <w:color w:val="auto"/>
        </w:rPr>
        <w:t>On July 28, 2017, we and Bioprojet entered into the Bioprojet License Agreement. Bioprojet granted to us an exclusive, sublicensable license to commercialize, in the United States and its territories, commonwealths, and protectorates, including Puerto Rico, a product containing pitolisant currently known as WAKIX for narcolepsy, obstructive sleep apnea, idiopathic hypersomnia, Parkinson’s disease, and any other indication agreed upon by the parties (which currently include PWS and DM), or the field, as well as rights to related patent rights, know-how, trademarks, trade dress, regulatory filings and approvals (the “Bioprojet Assets”). Bioprojet also granted us a co-</w:t>
      </w:r>
    </w:p>
    <w:p>
      <w:pPr>
        <w:spacing w:after="0" w:line="19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exclusive (with Bioprojet), sublicensable license to Bioprojet Assets to clinically develop and register the pitolisant product in the field in the United States. Bioprojet retains the right to manufacture the product in the United States, and to develop outside the United States and commercialize other products that contain pitolisant as an active ingredient anywhere in the world. Bioprojet also granted us an exclusive license to use certain trademarks and trade names in connection with the commercialization of the product under the Bioprojet License Agreement.</w:t>
      </w:r>
    </w:p>
    <w:p>
      <w:pPr>
        <w:spacing w:after="0" w:line="174" w:lineRule="exact"/>
        <w:rPr>
          <w:sz w:val="20"/>
          <w:szCs w:val="20"/>
          <w:color w:val="auto"/>
        </w:rPr>
      </w:pPr>
    </w:p>
    <w:p>
      <w:pPr>
        <w:ind w:right="60" w:firstLine="864"/>
        <w:spacing w:after="0" w:line="272" w:lineRule="auto"/>
        <w:rPr>
          <w:sz w:val="20"/>
          <w:szCs w:val="20"/>
          <w:color w:val="auto"/>
        </w:rPr>
      </w:pPr>
      <w:r>
        <w:rPr>
          <w:rFonts w:ascii="Arial" w:cs="Arial" w:eastAsia="Arial" w:hAnsi="Arial"/>
          <w:sz w:val="17"/>
          <w:szCs w:val="17"/>
          <w:color w:val="auto"/>
        </w:rPr>
        <w:t>Under the Bioprojet License Agreement,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Bioprojet was responsible for filing, with our participation, the initial new drug application for the product with the FDA and Bioprojet did transfer such application to us upon approval by the FDA in accordance with the terms of the Bioprojet License Agreement.</w:t>
      </w:r>
    </w:p>
    <w:p>
      <w:pPr>
        <w:spacing w:after="0" w:line="176" w:lineRule="exact"/>
        <w:rPr>
          <w:sz w:val="20"/>
          <w:szCs w:val="20"/>
          <w:color w:val="auto"/>
        </w:rPr>
      </w:pPr>
    </w:p>
    <w:p>
      <w:pPr>
        <w:ind w:right="340" w:firstLine="864"/>
        <w:spacing w:after="0" w:line="307" w:lineRule="auto"/>
        <w:rPr>
          <w:sz w:val="20"/>
          <w:szCs w:val="20"/>
          <w:color w:val="auto"/>
        </w:rPr>
      </w:pPr>
      <w:r>
        <w:rPr>
          <w:rFonts w:ascii="Arial" w:cs="Arial" w:eastAsia="Arial" w:hAnsi="Arial"/>
          <w:sz w:val="16"/>
          <w:szCs w:val="16"/>
          <w:color w:val="auto"/>
        </w:rPr>
        <w:t>Upon approval by the FDA, we were required under the Bioprojet License Agreement to promptly launch the product and use commercially reasonable efforts to commercialize the approved products in the United States in the field for each approved indication. In addition, we are required to deploy a number of sales representatives and spend an amount of expenditure, each as agreed upon in a commercialization plan.</w:t>
      </w:r>
    </w:p>
    <w:p>
      <w:pPr>
        <w:spacing w:after="0" w:line="150" w:lineRule="exact"/>
        <w:rPr>
          <w:sz w:val="20"/>
          <w:szCs w:val="20"/>
          <w:color w:val="auto"/>
        </w:rPr>
      </w:pPr>
    </w:p>
    <w:p>
      <w:pPr>
        <w:ind w:right="140" w:firstLine="864"/>
        <w:spacing w:after="0" w:line="275" w:lineRule="auto"/>
        <w:rPr>
          <w:sz w:val="20"/>
          <w:szCs w:val="20"/>
          <w:color w:val="auto"/>
        </w:rPr>
      </w:pPr>
      <w:r>
        <w:rPr>
          <w:rFonts w:ascii="Arial" w:cs="Arial" w:eastAsia="Arial" w:hAnsi="Arial"/>
          <w:sz w:val="17"/>
          <w:szCs w:val="17"/>
          <w:color w:val="auto"/>
        </w:rPr>
        <w:t>Under the Bioprojet License Agreement, Bioprojet has the right and authority to prepare, file, prosecute and maintain all Bioprojet patents on a worldwide basis at its own cost. Bioprojet shall keep us informed of the course of prosecution and other proceedings in the United States. We have the first right to enforce the licensed patent rights with respect to any infringing products in the United States. If we do not bring an action to enforce such patents against infringing activities that involve such infringing products, Bioprojet has the right to bring such action.</w:t>
      </w:r>
    </w:p>
    <w:p>
      <w:pPr>
        <w:spacing w:after="0" w:line="134" w:lineRule="exact"/>
        <w:rPr>
          <w:sz w:val="20"/>
          <w:szCs w:val="20"/>
          <w:color w:val="auto"/>
        </w:rPr>
      </w:pPr>
    </w:p>
    <w:p>
      <w:pPr>
        <w:ind w:firstLine="864"/>
        <w:spacing w:after="0" w:line="265" w:lineRule="auto"/>
        <w:rPr>
          <w:sz w:val="20"/>
          <w:szCs w:val="20"/>
          <w:color w:val="auto"/>
        </w:rPr>
      </w:pPr>
      <w:r>
        <w:rPr>
          <w:rFonts w:ascii="Arial" w:cs="Arial" w:eastAsia="Arial" w:hAnsi="Arial"/>
          <w:sz w:val="17"/>
          <w:szCs w:val="17"/>
          <w:color w:val="auto"/>
        </w:rPr>
        <w:t>We paid Bioprojet an initial license fee of $150.0 million, a milestone payment of $50.0 million upon FDA acceptance of the NDA in February 2019, and a milestone payment of $75.0 million plus an addition $2.0 million fee for approval of the NDA in November 2019. Upon the Cataplexy Milestone Trigger Date, we became obligated to make the Cataplexy Milestone Payment to Bioprojet pursuant to the terms of the Bioprojet License Agreement. Subsequently, in October 2020, we made a payment to Bioprojet of $2.0 million to extend the Cataplexy Milestone Payment due date to within 90 days of the Cataplexy Milestone Trigger Date. On January 6, 2021, we made the $100.0 million Cataplexy Milestone Payment in full to Bioprojet. In addition, we are subject to a milestone payment of $40.0 million upon the attainment of aggregate net sales of WAKIX in the United States of $500.0 million subsequent to the date of NDA approval by the FDA pursuant to the Bioprojet License Agreement. We agreed to pay royalties on the product at tiered royalty rates of 13% to 24% based on annual total net sales during the period commencing on first commercial sale of the product and ending on the latest of 10 years from first commercial sale of the product, expiration of all regulatory exclusivity, or expiration of the last Bioprojet patent covering the product. Such royalty payments are subject to reductions based on royalties paid to any third party in order for us to commercialize the product. We also agreed to pay royalties in consideration for a trademark license at a rate of 3% of net sales for 20 years after first commercial sale of the product. We further agreed to pay minimum royalties during the third through tenth year of the Bioprojet License Agreement if the product is approved for narcolepsy to the extent such minimum royalties exceed the royalties payable as described above, which minimum amounts were calculated based on sales materially below our sales forecast.</w:t>
      </w:r>
    </w:p>
    <w:p>
      <w:pPr>
        <w:spacing w:after="0" w:line="188" w:lineRule="exact"/>
        <w:rPr>
          <w:sz w:val="20"/>
          <w:szCs w:val="20"/>
          <w:color w:val="auto"/>
        </w:rPr>
      </w:pPr>
    </w:p>
    <w:p>
      <w:pPr>
        <w:ind w:right="320" w:firstLine="864"/>
        <w:spacing w:after="0" w:line="255" w:lineRule="auto"/>
        <w:rPr>
          <w:sz w:val="20"/>
          <w:szCs w:val="20"/>
          <w:color w:val="auto"/>
        </w:rPr>
      </w:pPr>
      <w:r>
        <w:rPr>
          <w:rFonts w:ascii="Arial" w:cs="Arial" w:eastAsia="Arial" w:hAnsi="Arial"/>
          <w:sz w:val="18"/>
          <w:szCs w:val="18"/>
          <w:color w:val="auto"/>
        </w:rPr>
        <w:t>The Bioprojet License Agreement will continue until the expiration of the obligation to pay royalties with respect to the product. We and Bioprojet may each terminate the Bioprojet License Agreement for a material breach by the other party that remains uncured for 90 days. Bioprojet may terminate the Bioprojet License Agreement in its entirety if we or our sublicensees challenge the licensed patents. In addition, we and Bioprojet have the right to terminate the Bioprojet License Agreement upon the other party’s insolvency.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1"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Intellectual property, including patents, trade secrets, trademarks and copyrights, is important to our business. Our commercial success depends in part on our ability to obtain and maintain proprietary intellectual property protection for our WAKIX product and potential future pitolisant-based products, as well as for future</w:t>
      </w:r>
    </w:p>
    <w:p>
      <w:pPr>
        <w:spacing w:after="0" w:line="18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174" w:lineRule="exact"/>
        <w:rPr>
          <w:sz w:val="20"/>
          <w:szCs w:val="20"/>
          <w:color w:val="auto"/>
        </w:rPr>
      </w:pPr>
    </w:p>
    <w:p>
      <w:pPr>
        <w:ind w:right="40" w:firstLine="864"/>
        <w:spacing w:after="0" w:line="290" w:lineRule="auto"/>
        <w:rPr>
          <w:sz w:val="20"/>
          <w:szCs w:val="20"/>
          <w:color w:val="auto"/>
        </w:rPr>
      </w:pPr>
      <w:r>
        <w:rPr>
          <w:rFonts w:ascii="Arial" w:cs="Arial" w:eastAsia="Arial" w:hAnsi="Arial"/>
          <w:sz w:val="16"/>
          <w:szCs w:val="16"/>
          <w:color w:val="auto"/>
        </w:rPr>
        <w:t>Our patent portfolio comprises three U.S. patents exclusively licensed to us from Bioprojet. One U.S. patent, No. 8,207,197, has claims directed to a polymorph, i.e. a specific crystalline form, of pitolisant and, methods for preparing that polymorph of pitolisant, which is expected to expire in February 2029 without taking into consideration any possible patent term extension. A second U.S. patent, No. 8,486,947, has claims directed to methods of treating excessive daytime sleepiness by administering pitolisant, which is expected to expire in September 2029 without taking into consideration any possible patent term extension. With all applicable patent term adjustments available and granted to us, the term of the last-to-expire pitolisant-related patent in our portfolio extends to September 2029. We may receive additional patent term based on the patent term extension described below.</w:t>
      </w:r>
    </w:p>
    <w:p>
      <w:pPr>
        <w:spacing w:after="0" w:line="164" w:lineRule="exact"/>
        <w:rPr>
          <w:sz w:val="20"/>
          <w:szCs w:val="20"/>
          <w:color w:val="auto"/>
        </w:rPr>
      </w:pPr>
    </w:p>
    <w:p>
      <w:pPr>
        <w:ind w:right="40" w:firstLine="864"/>
        <w:spacing w:after="0" w:line="266" w:lineRule="auto"/>
        <w:rPr>
          <w:sz w:val="20"/>
          <w:szCs w:val="20"/>
          <w:color w:val="auto"/>
        </w:rPr>
      </w:pPr>
      <w:r>
        <w:rPr>
          <w:rFonts w:ascii="Arial" w:cs="Arial" w:eastAsia="Arial" w:hAnsi="Arial"/>
          <w:sz w:val="17"/>
          <w:szCs w:val="17"/>
          <w:color w:val="auto"/>
        </w:rPr>
        <w:t>The term of individual patents in our portfolio depends upon the legal term of patents in the countries in which they are obtained. In the United States, the patent term is 20 years from the earliest date of filing a non-provisional patent application. The term of a U.S. patent may be eligible for patent term adjustment, which permits patent term restoration as compensation for delays incurred at the U.S. Patent and Trademark Office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We have applied for patent term extension on two patents covering pitolisant, only one of which will receive patent term extension, if at all. While we have received confirmation from the USPTO that the patents are eligible for patent term extension, there is no guarantee that the applicable authorities, including the USPTO and the FDA, will agree with our assessment of whether such extension should be granted. We estimate the length of such extension to be 389 days; however, the USPTO, in conjunction with the FDA, will calculate the length of such extension and there is no guarantee that their calculation will align with our estimate.</w:t>
      </w:r>
    </w:p>
    <w:p>
      <w:pPr>
        <w:spacing w:after="0" w:line="182" w:lineRule="exact"/>
        <w:rPr>
          <w:sz w:val="20"/>
          <w:szCs w:val="20"/>
          <w:color w:val="auto"/>
        </w:rPr>
      </w:pPr>
    </w:p>
    <w:p>
      <w:pPr>
        <w:ind w:firstLine="864"/>
        <w:spacing w:after="0" w:line="268"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Changes in either the patent laws or their interpretation in the United States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enforcing patent claims that cover our technology, inventions and improvements. We cannot guarantee that patents will be granted with respect to any patent applications we may file in the future, nor can we be sure that any patents that may be granted to us in the future will be commercially useful in protecting our products, the methods of use or 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80" w:lineRule="exact"/>
        <w:rPr>
          <w:sz w:val="20"/>
          <w:szCs w:val="20"/>
          <w:color w:val="auto"/>
        </w:rPr>
      </w:pPr>
    </w:p>
    <w:p>
      <w:pPr>
        <w:ind w:right="60" w:firstLine="864"/>
        <w:spacing w:after="0" w:line="268" w:lineRule="auto"/>
        <w:rPr>
          <w:sz w:val="20"/>
          <w:szCs w:val="20"/>
          <w:color w:val="auto"/>
        </w:rPr>
      </w:pPr>
      <w:r>
        <w:rPr>
          <w:rFonts w:ascii="Arial" w:cs="Arial" w:eastAsia="Arial" w:hAnsi="Arial"/>
          <w:sz w:val="17"/>
          <w:szCs w:val="17"/>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w:t>
      </w:r>
    </w:p>
    <w:p>
      <w:pPr>
        <w:spacing w:after="0" w:line="18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75" w:lineRule="exact"/>
        <w:rPr>
          <w:sz w:val="20"/>
          <w:szCs w:val="20"/>
          <w:color w:val="auto"/>
        </w:rPr>
      </w:pPr>
    </w:p>
    <w:p>
      <w:pPr>
        <w:ind w:firstLine="864"/>
        <w:spacing w:after="0" w:line="267" w:lineRule="auto"/>
        <w:rPr>
          <w:sz w:val="20"/>
          <w:szCs w:val="20"/>
          <w:color w:val="auto"/>
        </w:rPr>
      </w:pPr>
      <w:r>
        <w:rPr>
          <w:rFonts w:ascii="Arial" w:cs="Arial" w:eastAsia="Arial" w:hAnsi="Arial"/>
          <w:sz w:val="17"/>
          <w:szCs w:val="17"/>
          <w:color w:val="auto"/>
        </w:rPr>
        <w:t>We and/or our licensor also rely on protections under trade secret laws, and seek to protect and maintain the confidentiality of proprietary information to protect aspects of our business that are not amenable to, or that we do not consider appropriate for, patent protection. Our trade secrets include, for example, certain program specific synthesis, formulations, patient selection strategies and certain aspects of our research.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179" w:lineRule="exact"/>
        <w:rPr>
          <w:sz w:val="20"/>
          <w:szCs w:val="20"/>
          <w:color w:val="auto"/>
        </w:rPr>
      </w:pPr>
    </w:p>
    <w:p>
      <w:pPr>
        <w:ind w:right="320" w:firstLine="864"/>
        <w:spacing w:after="0" w:line="255"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as well as our brand and logo “HB,” “HB HARMONY BIOSCIENCES” and “HARMONY BIOSCIENCES.” We also have trademark applications pending with the U.S. Patent and Trademark Office for “REM AT THE WRONG TIME” and “NON-REM AT THE WRONG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1" w:lineRule="exact"/>
        <w:rPr>
          <w:sz w:val="20"/>
          <w:szCs w:val="20"/>
          <w:color w:val="auto"/>
        </w:rPr>
      </w:pPr>
    </w:p>
    <w:p>
      <w:pPr>
        <w:ind w:right="60" w:firstLine="864"/>
        <w:spacing w:after="0" w:line="253"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Drug Development Process</w:t>
      </w:r>
    </w:p>
    <w:p>
      <w:pPr>
        <w:spacing w:after="0" w:line="114" w:lineRule="exact"/>
        <w:rPr>
          <w:sz w:val="20"/>
          <w:szCs w:val="20"/>
          <w:color w:val="auto"/>
        </w:rPr>
      </w:pPr>
    </w:p>
    <w:p>
      <w:pPr>
        <w:ind w:right="20" w:firstLine="864"/>
        <w:spacing w:after="0" w:line="251" w:lineRule="auto"/>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48" w:lineRule="exact"/>
        <w:rPr>
          <w:sz w:val="20"/>
          <w:szCs w:val="20"/>
          <w:color w:val="auto"/>
        </w:rPr>
      </w:pPr>
    </w:p>
    <w:p>
      <w:pPr>
        <w:ind w:left="860" w:right="560" w:hanging="425"/>
        <w:spacing w:after="0" w:line="271"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(“GLP”) regulations;</w:t>
      </w:r>
    </w:p>
    <w:p>
      <w:pPr>
        <w:spacing w:after="0" w:line="201" w:lineRule="exact"/>
        <w:rPr>
          <w:rFonts w:ascii="Arial" w:cs="Arial" w:eastAsia="Arial" w:hAnsi="Arial"/>
          <w:sz w:val="18"/>
          <w:szCs w:val="18"/>
          <w:color w:val="auto"/>
        </w:rPr>
      </w:pPr>
    </w:p>
    <w:p>
      <w:pPr>
        <w:ind w:left="860" w:hanging="42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47" w:lineRule="exact"/>
        <w:rPr>
          <w:rFonts w:ascii="Arial" w:cs="Arial" w:eastAsia="Arial" w:hAnsi="Arial"/>
          <w:sz w:val="18"/>
          <w:szCs w:val="18"/>
          <w:color w:val="auto"/>
        </w:rPr>
      </w:pPr>
    </w:p>
    <w:p>
      <w:pPr>
        <w:ind w:left="860" w:hanging="42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at each clinical site before each trial may be initiated;</w:t>
      </w: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8" w:lineRule="exact"/>
        <w:rPr>
          <w:sz w:val="20"/>
          <w:szCs w:val="20"/>
          <w:color w:val="auto"/>
        </w:rPr>
      </w:pPr>
    </w:p>
    <w:p>
      <w:pPr>
        <w:ind w:left="860" w:right="200" w:hanging="425"/>
        <w:spacing w:after="0" w:line="271"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(“GCP”) requirements to establish the safety and efficacy of the proposed drug product for each indication;</w:t>
      </w:r>
    </w:p>
    <w:p>
      <w:pPr>
        <w:spacing w:after="0" w:line="201" w:lineRule="exact"/>
        <w:rPr>
          <w:rFonts w:ascii="Arial" w:cs="Arial" w:eastAsia="Arial" w:hAnsi="Arial"/>
          <w:sz w:val="18"/>
          <w:szCs w:val="18"/>
          <w:color w:val="auto"/>
        </w:rPr>
      </w:pPr>
    </w:p>
    <w:p>
      <w:pPr>
        <w:ind w:left="860" w:hanging="425"/>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47" w:lineRule="exact"/>
        <w:rPr>
          <w:rFonts w:ascii="Arial" w:cs="Arial" w:eastAsia="Arial" w:hAnsi="Arial"/>
          <w:sz w:val="18"/>
          <w:szCs w:val="18"/>
          <w:color w:val="auto"/>
        </w:rPr>
      </w:pPr>
    </w:p>
    <w:p>
      <w:pPr>
        <w:ind w:left="860" w:hanging="425"/>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47" w:lineRule="exact"/>
        <w:rPr>
          <w:rFonts w:ascii="Arial" w:cs="Arial" w:eastAsia="Arial" w:hAnsi="Arial"/>
          <w:sz w:val="18"/>
          <w:szCs w:val="18"/>
          <w:color w:val="auto"/>
        </w:rPr>
      </w:pPr>
    </w:p>
    <w:p>
      <w:pPr>
        <w:ind w:left="860" w:right="60" w:hanging="425"/>
        <w:spacing w:after="0" w:line="259"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w:t>
      </w:r>
    </w:p>
    <w:p>
      <w:pPr>
        <w:spacing w:after="0" w:line="212" w:lineRule="exact"/>
        <w:rPr>
          <w:rFonts w:ascii="Arial" w:cs="Arial" w:eastAsia="Arial" w:hAnsi="Arial"/>
          <w:sz w:val="18"/>
          <w:szCs w:val="18"/>
          <w:color w:val="auto"/>
        </w:rPr>
      </w:pPr>
    </w:p>
    <w:p>
      <w:pPr>
        <w:ind w:left="860" w:right="140" w:hanging="425"/>
        <w:spacing w:after="0" w:line="271"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commercial marketing or sale of the drug in the United States; and</w:t>
      </w:r>
    </w:p>
    <w:p>
      <w:pPr>
        <w:spacing w:after="0" w:line="201" w:lineRule="exact"/>
        <w:rPr>
          <w:rFonts w:ascii="Arial" w:cs="Arial" w:eastAsia="Arial" w:hAnsi="Arial"/>
          <w:sz w:val="18"/>
          <w:szCs w:val="18"/>
          <w:color w:val="auto"/>
        </w:rPr>
      </w:pPr>
    </w:p>
    <w:p>
      <w:pPr>
        <w:ind w:left="860" w:right="460" w:hanging="425"/>
        <w:spacing w:after="0" w:line="271"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program or to conduct a post-approval study.</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4"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As a result, submission of an IND may not result in the FDA allowing clinical trials to commence.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4" w:lineRule="exact"/>
        <w:rPr>
          <w:sz w:val="20"/>
          <w:szCs w:val="20"/>
          <w:color w:val="auto"/>
        </w:rPr>
      </w:pPr>
    </w:p>
    <w:p>
      <w:pPr>
        <w:ind w:right="100" w:firstLine="864"/>
        <w:spacing w:after="0" w:line="269"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NIH for public dissemination on their www.clinicaltrials.gov website.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48" w:lineRule="exact"/>
        <w:rPr>
          <w:sz w:val="20"/>
          <w:szCs w:val="20"/>
          <w:color w:val="auto"/>
        </w:rPr>
      </w:pPr>
    </w:p>
    <w:p>
      <w:pPr>
        <w:ind w:left="860" w:right="80" w:hanging="425"/>
        <w:spacing w:after="0" w:line="301"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78" w:lineRule="exact"/>
        <w:rPr>
          <w:rFonts w:ascii="Arial" w:cs="Arial" w:eastAsia="Arial" w:hAnsi="Arial"/>
          <w:sz w:val="17"/>
          <w:szCs w:val="17"/>
          <w:color w:val="auto"/>
        </w:rPr>
      </w:pPr>
    </w:p>
    <w:p>
      <w:pPr>
        <w:ind w:left="860" w:right="260" w:hanging="425"/>
        <w:spacing w:after="0" w:line="301"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8" w:lineRule="exact"/>
        <w:rPr>
          <w:sz w:val="20"/>
          <w:szCs w:val="20"/>
          <w:color w:val="auto"/>
        </w:rPr>
      </w:pPr>
    </w:p>
    <w:p>
      <w:pPr>
        <w:ind w:left="860" w:right="100" w:hanging="425"/>
        <w:spacing w:after="0" w:line="259"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6" w:lineRule="exact"/>
        <w:rPr>
          <w:sz w:val="20"/>
          <w:szCs w:val="20"/>
          <w:color w:val="auto"/>
        </w:rPr>
      </w:pPr>
    </w:p>
    <w:p>
      <w:pPr>
        <w:ind w:right="40" w:firstLine="864"/>
        <w:spacing w:after="0" w:line="252"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94" w:lineRule="exact"/>
        <w:rPr>
          <w:sz w:val="20"/>
          <w:szCs w:val="20"/>
          <w:color w:val="auto"/>
        </w:rPr>
      </w:pPr>
    </w:p>
    <w:p>
      <w:pPr>
        <w:ind w:right="20" w:firstLine="864"/>
        <w:spacing w:after="0" w:line="290"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 There are also requirements governing the reporting of ongoing clinical trials and completed trial results to public registries.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114" w:lineRule="exact"/>
        <w:rPr>
          <w:sz w:val="20"/>
          <w:szCs w:val="20"/>
          <w:color w:val="auto"/>
        </w:rPr>
      </w:pPr>
    </w:p>
    <w:p>
      <w:pPr>
        <w:ind w:right="20" w:firstLine="864"/>
        <w:spacing w:after="0" w:line="266" w:lineRule="auto"/>
        <w:rPr>
          <w:sz w:val="20"/>
          <w:szCs w:val="20"/>
          <w:color w:val="auto"/>
        </w:rPr>
      </w:pPr>
      <w:r>
        <w:rPr>
          <w:rFonts w:ascii="Arial" w:cs="Arial" w:eastAsia="Arial" w:hAnsi="Arial"/>
          <w:sz w:val="17"/>
          <w:szCs w:val="17"/>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Specifically,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and quality.</w:t>
      </w:r>
    </w:p>
    <w:p>
      <w:pPr>
        <w:spacing w:after="0" w:line="182"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The FDA also may require submission of a REMS to ensure that the benefits of the drug outweigh its risks. The REMS could include medication guides, physician communication plans, assessment plans, and/or elements to assure safe use, such as restricted distribution methods, patient registries, or other risk minimization tools.</w:t>
      </w:r>
    </w:p>
    <w:p>
      <w:pPr>
        <w:spacing w:after="0" w:line="186"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0"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9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firstLine="864"/>
        <w:spacing w:after="0" w:line="251"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97"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8" w:lineRule="exact"/>
        <w:rPr>
          <w:sz w:val="20"/>
          <w:szCs w:val="20"/>
          <w:color w:val="auto"/>
        </w:rPr>
      </w:pPr>
    </w:p>
    <w:p>
      <w:pPr>
        <w:ind w:right="20" w:firstLine="864"/>
        <w:spacing w:after="0" w:line="287" w:lineRule="auto"/>
        <w:rPr>
          <w:sz w:val="20"/>
          <w:szCs w:val="20"/>
          <w:color w:val="auto"/>
        </w:rPr>
      </w:pPr>
      <w:r>
        <w:rPr>
          <w:rFonts w:ascii="Arial" w:cs="Arial" w:eastAsia="Arial" w:hAnsi="Arial"/>
          <w:sz w:val="16"/>
          <w:szCs w:val="16"/>
          <w:color w:val="auto"/>
        </w:rPr>
        <w:t>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Expedited Development and Review Programs</w:t>
      </w:r>
    </w:p>
    <w:p>
      <w:pPr>
        <w:spacing w:after="0" w:line="114"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The FDA has various programs, including fast track designation, accelerated approval priority review, and breakthrough therapy designation,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90" w:lineRule="exact"/>
        <w:rPr>
          <w:sz w:val="20"/>
          <w:szCs w:val="20"/>
          <w:color w:val="auto"/>
        </w:rPr>
      </w:pPr>
    </w:p>
    <w:p>
      <w:pPr>
        <w:ind w:right="20" w:firstLine="864"/>
        <w:spacing w:after="0" w:line="270"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The FDA may review sections of the NDA for a fast track product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8"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Under the new PDUFA agreement, these six and ten month review periods are measured from the “filing” date rather than the receipt date for NDAs for new molecular entities, which typically adds approximately two months to the timeline for</w:t>
      </w:r>
    </w:p>
    <w:p>
      <w:pPr>
        <w:spacing w:after="0" w:line="17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review and decision from the date of submission. Products that are eligible for fast track designation may also be considered appropriate to receive a priority review.</w:t>
      </w:r>
    </w:p>
    <w:p>
      <w:pPr>
        <w:spacing w:after="0" w:line="175" w:lineRule="exact"/>
        <w:rPr>
          <w:sz w:val="20"/>
          <w:szCs w:val="20"/>
          <w:color w:val="auto"/>
        </w:rPr>
      </w:pPr>
    </w:p>
    <w:p>
      <w:pPr>
        <w:ind w:right="20" w:firstLine="864"/>
        <w:spacing w:after="0" w:line="288" w:lineRule="auto"/>
        <w:rPr>
          <w:sz w:val="20"/>
          <w:szCs w:val="20"/>
          <w:color w:val="auto"/>
        </w:rPr>
      </w:pPr>
      <w:r>
        <w:rPr>
          <w:rFonts w:ascii="Arial" w:cs="Arial" w:eastAsia="Arial" w:hAnsi="Arial"/>
          <w:sz w:val="16"/>
          <w:szCs w:val="16"/>
          <w:color w:val="auto"/>
        </w:rPr>
        <w:t>In addition, 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166"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Moreover, under the provisions of the Food and Drug Administration Safety and Innovation Act (“FDASIA”) passed in July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 The designation includes all of the benefits of a fast track designation. The breakthrough therapy designation is a distinct status from both accelerated approval and priority review, which can also be granted to the same drug if relevant criteria are met.</w:t>
      </w:r>
    </w:p>
    <w:p>
      <w:pPr>
        <w:spacing w:after="0" w:line="166" w:lineRule="exact"/>
        <w:rPr>
          <w:sz w:val="20"/>
          <w:szCs w:val="20"/>
          <w:color w:val="auto"/>
        </w:rPr>
      </w:pPr>
    </w:p>
    <w:p>
      <w:pPr>
        <w:ind w:right="400" w:firstLine="864"/>
        <w:spacing w:after="0" w:line="307"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and breakthrough therapy designation do not change the standards for approval, but may expedite the development or approval process.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4" w:lineRule="exact"/>
        <w:rPr>
          <w:sz w:val="20"/>
          <w:szCs w:val="20"/>
          <w:color w:val="auto"/>
        </w:rPr>
      </w:pPr>
    </w:p>
    <w:p>
      <w:pPr>
        <w:ind w:right="80" w:firstLine="864"/>
        <w:spacing w:after="0" w:line="272"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86"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20" w:firstLine="864"/>
        <w:spacing w:after="0" w:line="271"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90" w:lineRule="exact"/>
        <w:rPr>
          <w:sz w:val="20"/>
          <w:szCs w:val="20"/>
          <w:color w:val="auto"/>
        </w:rPr>
      </w:pPr>
    </w:p>
    <w:p>
      <w:pPr>
        <w:ind w:left="860" w:hanging="425"/>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32" w:lineRule="exact"/>
        <w:rPr>
          <w:rFonts w:ascii="Arial" w:cs="Arial" w:eastAsia="Arial" w:hAnsi="Arial"/>
          <w:sz w:val="17"/>
          <w:szCs w:val="17"/>
          <w:color w:val="auto"/>
        </w:rPr>
      </w:pPr>
    </w:p>
    <w:p>
      <w:pPr>
        <w:ind w:left="860" w:right="160" w:hanging="425"/>
        <w:spacing w:after="0" w:line="271"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 or other safety information about the product;</w:t>
      </w:r>
    </w:p>
    <w:p>
      <w:pPr>
        <w:spacing w:after="0" w:line="174" w:lineRule="exact"/>
        <w:rPr>
          <w:rFonts w:ascii="Arial" w:cs="Arial" w:eastAsia="Arial" w:hAnsi="Arial"/>
          <w:sz w:val="18"/>
          <w:szCs w:val="18"/>
          <w:color w:val="auto"/>
        </w:rPr>
      </w:pPr>
    </w:p>
    <w:p>
      <w:pPr>
        <w:ind w:left="860" w:hanging="42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0" w:lineRule="exact"/>
        <w:rPr>
          <w:rFonts w:ascii="Arial" w:cs="Arial" w:eastAsia="Arial" w:hAnsi="Arial"/>
          <w:sz w:val="18"/>
          <w:szCs w:val="18"/>
          <w:color w:val="auto"/>
        </w:rPr>
      </w:pPr>
    </w:p>
    <w:p>
      <w:pPr>
        <w:ind w:left="860" w:hanging="425"/>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232" w:lineRule="exact"/>
        <w:rPr>
          <w:rFonts w:ascii="Arial" w:cs="Arial" w:eastAsia="Arial" w:hAnsi="Arial"/>
          <w:sz w:val="17"/>
          <w:szCs w:val="17"/>
          <w:color w:val="auto"/>
        </w:rPr>
      </w:pPr>
    </w:p>
    <w:p>
      <w:pPr>
        <w:ind w:left="860" w:hanging="42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0" w:lineRule="exact"/>
        <w:rPr>
          <w:rFonts w:ascii="Arial" w:cs="Arial" w:eastAsia="Arial" w:hAnsi="Arial"/>
          <w:sz w:val="18"/>
          <w:szCs w:val="18"/>
          <w:color w:val="auto"/>
        </w:rPr>
      </w:pPr>
    </w:p>
    <w:p>
      <w:pPr>
        <w:ind w:left="860" w:hanging="42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1"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90" w:lineRule="exact"/>
        <w:rPr>
          <w:sz w:val="20"/>
          <w:szCs w:val="20"/>
          <w:color w:val="auto"/>
        </w:rPr>
      </w:pPr>
    </w:p>
    <w:p>
      <w:pPr>
        <w:ind w:right="200" w:firstLine="864"/>
        <w:spacing w:after="0" w:line="255"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Exclusivity</w:t>
      </w:r>
    </w:p>
    <w:p>
      <w:pPr>
        <w:spacing w:after="0" w:line="11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6" w:lineRule="exact"/>
        <w:rPr>
          <w:sz w:val="20"/>
          <w:szCs w:val="20"/>
          <w:color w:val="auto"/>
        </w:rPr>
      </w:pPr>
    </w:p>
    <w:p>
      <w:pPr>
        <w:ind w:right="40" w:firstLine="864"/>
        <w:spacing w:after="0" w:line="251"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firstLine="864"/>
        <w:spacing w:after="0" w:line="281"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4" w:lineRule="exact"/>
        <w:rPr>
          <w:sz w:val="20"/>
          <w:szCs w:val="20"/>
          <w:color w:val="auto"/>
        </w:rPr>
      </w:pPr>
    </w:p>
    <w:p>
      <w:pPr>
        <w:ind w:right="140" w:firstLine="864"/>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(i) affects fewer than 200,000 individuals in the United States, or (ii)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After the FDA grants an orphan drug designation, the generic identity of the therapeutic agent and its potential orphan use are disclosed publicly by the FDA. Orphan designation does not convey any advantage in, or shorten the duration of, the regulatory review and approval process.</w:t>
      </w:r>
    </w:p>
    <w:p>
      <w:pPr>
        <w:spacing w:after="0" w:line="178" w:lineRule="exact"/>
        <w:rPr>
          <w:sz w:val="20"/>
          <w:szCs w:val="20"/>
          <w:color w:val="auto"/>
        </w:rPr>
      </w:pPr>
    </w:p>
    <w:p>
      <w:pPr>
        <w:ind w:right="20" w:firstLine="864"/>
        <w:spacing w:after="0" w:line="251"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Among other benefits of an orphan drug designation are tax credits for certain research and a waiver of the user fee for the NDA.</w:t>
      </w:r>
    </w:p>
    <w:p>
      <w:pPr>
        <w:spacing w:after="0" w:line="197" w:lineRule="exact"/>
        <w:rPr>
          <w:sz w:val="20"/>
          <w:szCs w:val="20"/>
          <w:color w:val="auto"/>
        </w:rPr>
      </w:pPr>
    </w:p>
    <w:p>
      <w:pPr>
        <w:ind w:right="140" w:firstLine="864"/>
        <w:spacing w:after="0" w:line="293" w:lineRule="auto"/>
        <w:rPr>
          <w:sz w:val="20"/>
          <w:szCs w:val="20"/>
          <w:color w:val="auto"/>
        </w:rPr>
      </w:pPr>
      <w:r>
        <w:rPr>
          <w:rFonts w:ascii="Arial" w:cs="Arial" w:eastAsia="Arial" w:hAnsi="Arial"/>
          <w:sz w:val="16"/>
          <w:szCs w:val="16"/>
          <w:color w:val="auto"/>
        </w:rPr>
        <w:t>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We received an orphan designation for pitolisant for the treatment of narcolepsy and, upon approval of WAKIX, we received orphan exclusivity until 2026.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 Regulation</w:t>
      </w:r>
    </w:p>
    <w:p>
      <w:pPr>
        <w:spacing w:after="0" w:line="114" w:lineRule="exact"/>
        <w:rPr>
          <w:sz w:val="20"/>
          <w:szCs w:val="20"/>
          <w:color w:val="auto"/>
        </w:rPr>
      </w:pPr>
    </w:p>
    <w:p>
      <w:pPr>
        <w:jc w:val="both"/>
        <w:ind w:right="500" w:firstLine="864"/>
        <w:spacing w:after="0" w:line="281" w:lineRule="auto"/>
        <w:rPr>
          <w:sz w:val="20"/>
          <w:szCs w:val="20"/>
          <w:color w:val="auto"/>
        </w:rPr>
      </w:pPr>
      <w:r>
        <w:rPr>
          <w:rFonts w:ascii="Arial" w:cs="Arial" w:eastAsia="Arial" w:hAnsi="Arial"/>
          <w:sz w:val="17"/>
          <w:szCs w:val="17"/>
          <w:color w:val="auto"/>
        </w:rPr>
        <w:t>The Controlled Substances Act of 1970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w:t>
      </w:r>
    </w:p>
    <w:p>
      <w:pPr>
        <w:spacing w:after="0" w:line="169" w:lineRule="exact"/>
        <w:rPr>
          <w:sz w:val="20"/>
          <w:szCs w:val="20"/>
          <w:color w:val="auto"/>
        </w:rPr>
      </w:pPr>
    </w:p>
    <w:p>
      <w:pPr>
        <w:ind w:right="100" w:firstLine="864"/>
        <w:spacing w:after="0" w:line="297" w:lineRule="auto"/>
        <w:rPr>
          <w:sz w:val="20"/>
          <w:szCs w:val="20"/>
          <w:color w:val="auto"/>
        </w:rPr>
      </w:pPr>
      <w:r>
        <w:rPr>
          <w:rFonts w:ascii="Arial" w:cs="Arial" w:eastAsia="Arial" w:hAnsi="Arial"/>
          <w:sz w:val="16"/>
          <w:szCs w:val="16"/>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FDA did not recommend that the DEA schedule WAKIX as a controlled substance, and WAKIX is therefore not scheduled as a controlled substance by the DEA.</w:t>
      </w:r>
    </w:p>
    <w:p>
      <w:pPr>
        <w:spacing w:after="0" w:line="159" w:lineRule="exact"/>
        <w:rPr>
          <w:sz w:val="20"/>
          <w:szCs w:val="20"/>
          <w:color w:val="auto"/>
        </w:rPr>
      </w:pPr>
    </w:p>
    <w:p>
      <w:pPr>
        <w:ind w:right="300" w:firstLine="864"/>
        <w:spacing w:after="0" w:line="281" w:lineRule="auto"/>
        <w:rPr>
          <w:sz w:val="20"/>
          <w:szCs w:val="20"/>
          <w:color w:val="auto"/>
        </w:rPr>
      </w:pPr>
      <w:r>
        <w:rPr>
          <w:rFonts w:ascii="Arial" w:cs="Arial" w:eastAsia="Arial" w:hAnsi="Arial"/>
          <w:sz w:val="17"/>
          <w:szCs w:val="17"/>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16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firstLine="864"/>
        <w:spacing w:after="0" w:line="251"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authorization and notification requirements apply to imports and exports.</w:t>
      </w:r>
    </w:p>
    <w:p>
      <w:pPr>
        <w:spacing w:after="0" w:line="197" w:lineRule="exact"/>
        <w:rPr>
          <w:sz w:val="20"/>
          <w:szCs w:val="20"/>
          <w:color w:val="auto"/>
        </w:rPr>
      </w:pPr>
    </w:p>
    <w:p>
      <w:pPr>
        <w:ind w:right="120" w:firstLine="864"/>
        <w:spacing w:after="0" w:line="272" w:lineRule="auto"/>
        <w:rPr>
          <w:sz w:val="20"/>
          <w:szCs w:val="20"/>
          <w:color w:val="auto"/>
        </w:rPr>
      </w:pPr>
      <w:r>
        <w:rPr>
          <w:rFonts w:ascii="Arial" w:cs="Arial" w:eastAsia="Arial" w:hAnsi="Arial"/>
          <w:sz w:val="17"/>
          <w:szCs w:val="17"/>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The DEA may adjust aggregate production quotas and individual production and procurement quotas from time to time during the year, although the DEA has substantial discretion in whether or not to make such adjustments. To meet its responsibilities, the DEA conducts periodic inspections of registered establishments that handle controlled substances. Individual states also regulate controlled substances.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114"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auto"/>
        </w:rPr>
        <w:t>In addition to FDA regulation of pharmaceutical products, pharmaceutical companies are subject to federal healthcare laws and regulations as well as regulation by the states and foreign jurisdictions in which they conduct their business that restrict business practices in the pharmaceutical industry. These laws may impact, among other things, our current and future business operations, including our clinical research activities, and proposed sales, marketing and education programs and constrain the business or financial arrangements and relationships with healthcare providers and other parties through which we market, sell and distribute our products for which we obtain marketing approval. These laws include U.S. federal and state anti-kickback and false claims laws, civil monetary penalties laws, consumer protection and transparency laws as well as similar foreign laws in the jurisdictions outside the U.S., including, without limitation, those laws described below.</w:t>
      </w:r>
    </w:p>
    <w:p>
      <w:pPr>
        <w:spacing w:after="0" w:line="178" w:lineRule="exact"/>
        <w:rPr>
          <w:sz w:val="20"/>
          <w:szCs w:val="20"/>
          <w:color w:val="auto"/>
        </w:rPr>
      </w:pPr>
    </w:p>
    <w:p>
      <w:pPr>
        <w:jc w:val="both"/>
        <w:ind w:right="20" w:firstLine="864"/>
        <w:spacing w:after="0" w:line="297" w:lineRule="auto"/>
        <w:rPr>
          <w:sz w:val="20"/>
          <w:szCs w:val="20"/>
          <w:color w:val="auto"/>
        </w:rPr>
      </w:pPr>
      <w:r>
        <w:rPr>
          <w:rFonts w:ascii="Arial" w:cs="Arial" w:eastAsia="Arial" w:hAnsi="Arial"/>
          <w:sz w:val="16"/>
          <w:szCs w:val="16"/>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59" w:lineRule="exact"/>
        <w:rPr>
          <w:sz w:val="20"/>
          <w:szCs w:val="20"/>
          <w:color w:val="auto"/>
        </w:rPr>
      </w:pPr>
    </w:p>
    <w:p>
      <w:pPr>
        <w:ind w:right="40" w:firstLine="864"/>
        <w:spacing w:after="0" w:line="287" w:lineRule="auto"/>
        <w:rPr>
          <w:sz w:val="20"/>
          <w:szCs w:val="20"/>
          <w:color w:val="auto"/>
        </w:rPr>
      </w:pPr>
      <w:r>
        <w:rPr>
          <w:rFonts w:ascii="Arial" w:cs="Arial" w:eastAsia="Arial" w:hAnsi="Arial"/>
          <w:sz w:val="16"/>
          <w:szCs w:val="16"/>
          <w:color w:val="auto"/>
        </w:rPr>
        <w:t>The federal civil and criminal false claims laws, including the civil False Claims Act,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civil False Claims Act and the civil monetary penalties statute. The False Claims Act also permits a private individual acting as a “whistleblower” to bring actions on behalf of the federal government alleging violations of the False Claims Act and to share in any monetary recovery.</w:t>
      </w:r>
    </w:p>
    <w:p>
      <w:pPr>
        <w:spacing w:after="0" w:line="166" w:lineRule="exact"/>
        <w:rPr>
          <w:sz w:val="20"/>
          <w:szCs w:val="20"/>
          <w:color w:val="auto"/>
        </w:rPr>
      </w:pPr>
    </w:p>
    <w:p>
      <w:pPr>
        <w:jc w:val="both"/>
        <w:ind w:right="100" w:firstLine="864"/>
        <w:spacing w:after="0" w:line="307" w:lineRule="auto"/>
        <w:rPr>
          <w:sz w:val="20"/>
          <w:szCs w:val="20"/>
          <w:color w:val="auto"/>
        </w:rPr>
      </w:pPr>
      <w:r>
        <w:rPr>
          <w:rFonts w:ascii="Arial" w:cs="Arial" w:eastAsia="Arial" w:hAnsi="Arial"/>
          <w:sz w:val="16"/>
          <w:szCs w:val="16"/>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Federal government price reporting laws require manufacturers to calculate and report complex pricing metrics to government programs.</w:t>
      </w:r>
    </w:p>
    <w:p>
      <w:pPr>
        <w:spacing w:after="0" w:line="15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100" w:firstLine="864"/>
        <w:spacing w:after="0" w:line="293" w:lineRule="auto"/>
        <w:rPr>
          <w:sz w:val="20"/>
          <w:szCs w:val="20"/>
          <w:color w:val="auto"/>
        </w:rPr>
      </w:pPr>
      <w:r>
        <w:rPr>
          <w:rFonts w:ascii="Arial" w:cs="Arial" w:eastAsia="Arial" w:hAnsi="Arial"/>
          <w:sz w:val="16"/>
          <w:szCs w:val="16"/>
          <w:color w:val="auto"/>
        </w:rPr>
        <w:t>The federal Health Insurance Portability and Accountability Act of 1996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61"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these reporting obligations will extend to include payments and transfers of value made during the previous year to physician assistants, nurse practitioners, clinical nurse specialists, certified registered nurse anesthetists and anesthesiologist assistants, and certified nurse midwives.</w:t>
      </w:r>
    </w:p>
    <w:p>
      <w:pPr>
        <w:spacing w:after="0" w:line="178" w:lineRule="exact"/>
        <w:rPr>
          <w:sz w:val="20"/>
          <w:szCs w:val="20"/>
          <w:color w:val="auto"/>
        </w:rPr>
      </w:pPr>
    </w:p>
    <w:p>
      <w:pPr>
        <w:ind w:right="20" w:firstLine="864"/>
        <w:spacing w:after="0" w:line="268" w:lineRule="auto"/>
        <w:rPr>
          <w:sz w:val="20"/>
          <w:szCs w:val="20"/>
          <w:color w:val="auto"/>
        </w:rPr>
      </w:pPr>
      <w:r>
        <w:rPr>
          <w:rFonts w:ascii="Arial" w:cs="Arial" w:eastAsia="Arial" w:hAnsi="Arial"/>
          <w:sz w:val="17"/>
          <w:szCs w:val="17"/>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0" w:lineRule="exact"/>
        <w:rPr>
          <w:sz w:val="20"/>
          <w:szCs w:val="20"/>
          <w:color w:val="auto"/>
        </w:rPr>
      </w:pPr>
    </w:p>
    <w:p>
      <w:pPr>
        <w:ind w:right="460" w:firstLine="864"/>
        <w:spacing w:after="0" w:line="288" w:lineRule="auto"/>
        <w:rPr>
          <w:sz w:val="20"/>
          <w:szCs w:val="20"/>
          <w:color w:val="auto"/>
        </w:rPr>
      </w:pPr>
      <w:r>
        <w:rPr>
          <w:rFonts w:ascii="Arial" w:cs="Arial" w:eastAsia="Arial" w:hAnsi="Arial"/>
          <w:sz w:val="16"/>
          <w:szCs w:val="16"/>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 To the extent that any of our products are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 Laws</w:t>
      </w:r>
    </w:p>
    <w:p>
      <w:pPr>
        <w:spacing w:after="0" w:line="114" w:lineRule="exact"/>
        <w:rPr>
          <w:sz w:val="20"/>
          <w:szCs w:val="20"/>
          <w:color w:val="auto"/>
        </w:rPr>
      </w:pPr>
    </w:p>
    <w:p>
      <w:pPr>
        <w:ind w:right="40" w:firstLine="864"/>
        <w:spacing w:after="0" w:line="284" w:lineRule="auto"/>
        <w:rPr>
          <w:sz w:val="20"/>
          <w:szCs w:val="20"/>
          <w:color w:val="auto"/>
        </w:rPr>
      </w:pPr>
      <w:r>
        <w:rPr>
          <w:rFonts w:ascii="Arial" w:cs="Arial" w:eastAsia="Arial" w:hAnsi="Arial"/>
          <w:sz w:val="16"/>
          <w:szCs w:val="16"/>
          <w:color w:val="auto"/>
        </w:rPr>
        <w:t>Pharmaceutical companies may be subject to U.S. federal and state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Entities that are found to be in violation of HIPAA as the result of a breach of unsecured protected health information (“PHI”), a complaint about privacy practices or an audit by the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(“FTCA”). The FTC expects</w:t>
      </w:r>
    </w:p>
    <w:p>
      <w:pPr>
        <w:spacing w:after="0" w:line="17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6" w:lineRule="exact"/>
        <w:rPr>
          <w:sz w:val="20"/>
          <w:szCs w:val="20"/>
          <w:color w:val="auto"/>
        </w:rPr>
      </w:pPr>
    </w:p>
    <w:p>
      <w:pPr>
        <w:ind w:firstLine="864"/>
        <w:spacing w:after="0" w:line="283"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may be more stringent, broader in scope or offer greater individual rights with respect to PHI than HIPAA, many of which may differ from each other, thus, complicating compliance efforts. Failure to comply with these laws, where applicable, can result in the imposition of significant civil and/or criminal penalties and private litigation.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75" w:lineRule="exact"/>
        <w:rPr>
          <w:sz w:val="20"/>
          <w:szCs w:val="20"/>
          <w:color w:val="auto"/>
        </w:rPr>
      </w:pPr>
    </w:p>
    <w:p>
      <w:pPr>
        <w:ind w:right="20" w:firstLine="864"/>
        <w:spacing w:after="0" w:line="282" w:lineRule="auto"/>
        <w:rPr>
          <w:sz w:val="20"/>
          <w:szCs w:val="20"/>
          <w:color w:val="auto"/>
        </w:rPr>
      </w:pPr>
      <w:r>
        <w:rPr>
          <w:rFonts w:ascii="Arial" w:cs="Arial" w:eastAsia="Arial" w:hAnsi="Arial"/>
          <w:sz w:val="16"/>
          <w:szCs w:val="16"/>
          <w:color w:val="auto"/>
        </w:rPr>
        <w:t>In Europe, the General Data Protection Regulation (“GDPR”), went into effect in May 2018 and imposes stringent data protection requirements for controllers and processors of personal data of persons within the European Economic Area (“EEA”). The GDPR applies to any company established in the EEA as well as to those outside the EEA if they collect and use personal data in connection with the offering of goods or services to individuals in the EEA or the monitoring of their behavior. The GDPR, together with national legislation, regulations and guidelines of the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GDPR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114" w:lineRule="exact"/>
        <w:rPr>
          <w:sz w:val="20"/>
          <w:szCs w:val="20"/>
          <w:color w:val="auto"/>
        </w:rPr>
      </w:pPr>
    </w:p>
    <w:p>
      <w:pPr>
        <w:ind w:right="120" w:firstLine="864"/>
        <w:spacing w:after="0" w:line="271"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182"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Furthermore, there can be no assurance that a product will be considered medically reasonable and necessary for a specific indication, that a product will be considered cost-effective by third-party payors, that an adequate level of reimbursement will be established even if coverage is available or that the third-party payors’ reimbursement policies will not adversely affect the ability to sell a product profitably.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114" w:lineRule="exact"/>
        <w:rPr>
          <w:sz w:val="20"/>
          <w:szCs w:val="20"/>
          <w:color w:val="auto"/>
        </w:rPr>
      </w:pPr>
    </w:p>
    <w:p>
      <w:pPr>
        <w:ind w:right="20" w:firstLine="864"/>
        <w:spacing w:after="0" w:line="283"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and significantly affected the pharmaceutical industry. The ACA contains a number of provisions, including those governing enrollment in federal healthcare programs, reimbursement adjustments and fraud and abuse changes. Additionally, the ACA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pursuant to the Bipartisan Budget Act of 2018,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72" w:lineRule="exact"/>
        <w:rPr>
          <w:sz w:val="20"/>
          <w:szCs w:val="20"/>
          <w:color w:val="auto"/>
        </w:rPr>
      </w:pPr>
    </w:p>
    <w:p>
      <w:pPr>
        <w:ind w:right="200" w:firstLine="864"/>
        <w:spacing w:after="0" w:line="255" w:lineRule="auto"/>
        <w:rPr>
          <w:sz w:val="20"/>
          <w:szCs w:val="20"/>
          <w:color w:val="auto"/>
        </w:rPr>
      </w:pPr>
      <w:r>
        <w:rPr>
          <w:rFonts w:ascii="Arial" w:cs="Arial" w:eastAsia="Arial" w:hAnsi="Arial"/>
          <w:sz w:val="18"/>
          <w:szCs w:val="18"/>
          <w:color w:val="auto"/>
        </w:rPr>
        <w:t>Since its enactment, there have been judicial, executive and Congressional legislative challenges to certain aspects of the ACA. The U.S. Supreme Court is currently reviewing the constitutionality of the ACA in its entirety, although it is unclear how the Supreme Court will rule. Other legislative changes have been proposed and adopted since the ACA was enacted, including aggregate reductions of Medicare payments to providers of 2% per fiscal</w:t>
      </w:r>
    </w:p>
    <w:p>
      <w:pPr>
        <w:spacing w:after="0" w:line="19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year, which was temporarily suspended from May 1, 2020 through March 31, 2021 under the Coronavirus Aid, Relief and Economic Security Act (“CARES Act”), and reduced payments to several types of Medicare providers.</w:t>
      </w:r>
    </w:p>
    <w:p>
      <w:pPr>
        <w:spacing w:after="0" w:line="175" w:lineRule="exact"/>
        <w:rPr>
          <w:sz w:val="20"/>
          <w:szCs w:val="20"/>
          <w:color w:val="auto"/>
        </w:rPr>
      </w:pPr>
    </w:p>
    <w:p>
      <w:pPr>
        <w:ind w:right="20" w:firstLine="864"/>
        <w:spacing w:after="0" w:line="286"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an attempt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67" w:lineRule="exact"/>
        <w:rPr>
          <w:sz w:val="20"/>
          <w:szCs w:val="20"/>
          <w:color w:val="auto"/>
        </w:rPr>
      </w:pPr>
    </w:p>
    <w:p>
      <w:pPr>
        <w:ind w:right="180" w:firstLine="864"/>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1" w:lineRule="exact"/>
        <w:rPr>
          <w:sz w:val="20"/>
          <w:szCs w:val="20"/>
          <w:color w:val="auto"/>
        </w:rPr>
      </w:pPr>
    </w:p>
    <w:p>
      <w:pPr>
        <w:ind w:right="200" w:firstLine="864"/>
        <w:spacing w:after="0" w:line="275" w:lineRule="auto"/>
        <w:rPr>
          <w:sz w:val="20"/>
          <w:szCs w:val="20"/>
          <w:color w:val="auto"/>
        </w:rPr>
      </w:pPr>
      <w:r>
        <w:rPr>
          <w:rFonts w:ascii="Arial" w:cs="Arial" w:eastAsia="Arial" w:hAnsi="Arial"/>
          <w:sz w:val="17"/>
          <w:szCs w:val="17"/>
          <w:color w:val="auto"/>
        </w:rPr>
        <w:t>Our corporate headquarters are located 630 W. Germantown Pike Plymouth Meeting, Pennsylvania. In December 2020, we leased additional office space at this same location, which increased our footprint to approximately 28,638 square feet of office space. As of December 31, 2020, approximately 40 of our employees are located at our corporate headquarters. Pursuant to our Right of Use Agreement with Paragon, we also utilize office space at 330 N. Wabash Ave, Suite 3500, Chicago, Illinois 60611, where approximately 10 of our employees are located.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21" w:lineRule="exact"/>
        <w:rPr>
          <w:sz w:val="20"/>
          <w:szCs w:val="20"/>
          <w:color w:val="auto"/>
        </w:rPr>
      </w:pPr>
    </w:p>
    <w:p>
      <w:pPr>
        <w:jc w:val="both"/>
        <w:ind w:firstLine="864"/>
        <w:spacing w:after="0" w:line="307" w:lineRule="auto"/>
        <w:rPr>
          <w:sz w:val="20"/>
          <w:szCs w:val="20"/>
          <w:color w:val="auto"/>
        </w:rPr>
      </w:pPr>
      <w:r>
        <w:rPr>
          <w:rFonts w:ascii="Arial" w:cs="Arial" w:eastAsia="Arial" w:hAnsi="Arial"/>
          <w:sz w:val="16"/>
          <w:szCs w:val="16"/>
          <w:color w:val="auto"/>
        </w:rPr>
        <w:t>As of December 31, 2020, we have approximately 150 full-time employees, 100 of whom are dedicated to commercial functions, which includes sales, marketing, market access, commercial operations and insights, and 25 of whom are dedicated to research and development. None of our employees are represented by labor unions or covered by collective bargaining agreements. We consider our relationship with our employees to be good.</w:t>
      </w:r>
    </w:p>
    <w:p>
      <w:pPr>
        <w:spacing w:after="0" w:line="150" w:lineRule="exact"/>
        <w:rPr>
          <w:sz w:val="20"/>
          <w:szCs w:val="20"/>
          <w:color w:val="auto"/>
        </w:rPr>
      </w:pPr>
    </w:p>
    <w:p>
      <w:pPr>
        <w:ind w:right="60" w:firstLine="864"/>
        <w:spacing w:after="0" w:line="307" w:lineRule="auto"/>
        <w:rPr>
          <w:sz w:val="20"/>
          <w:szCs w:val="20"/>
          <w:color w:val="auto"/>
        </w:rPr>
      </w:pPr>
      <w:r>
        <w:rPr>
          <w:rFonts w:ascii="Arial" w:cs="Arial" w:eastAsia="Arial" w:hAnsi="Arial"/>
          <w:sz w:val="16"/>
          <w:szCs w:val="16"/>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50" w:lineRule="exact"/>
        <w:rPr>
          <w:sz w:val="20"/>
          <w:szCs w:val="20"/>
          <w:color w:val="auto"/>
        </w:rPr>
      </w:pPr>
    </w:p>
    <w:p>
      <w:pPr>
        <w:ind w:right="60" w:firstLine="864"/>
        <w:spacing w:after="0" w:line="271" w:lineRule="auto"/>
        <w:rPr>
          <w:sz w:val="20"/>
          <w:szCs w:val="20"/>
          <w:color w:val="auto"/>
        </w:rPr>
      </w:pPr>
      <w:r>
        <w:rPr>
          <w:rFonts w:ascii="Arial" w:cs="Arial" w:eastAsia="Arial" w:hAnsi="Arial"/>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Social Responsibility</w:t>
      </w:r>
    </w:p>
    <w:p>
      <w:pPr>
        <w:spacing w:after="0" w:line="221" w:lineRule="exact"/>
        <w:rPr>
          <w:sz w:val="20"/>
          <w:szCs w:val="20"/>
          <w:color w:val="auto"/>
        </w:rPr>
      </w:pPr>
    </w:p>
    <w:p>
      <w:pPr>
        <w:ind w:right="100" w:firstLine="864"/>
        <w:spacing w:after="0" w:line="293" w:lineRule="auto"/>
        <w:rPr>
          <w:sz w:val="20"/>
          <w:szCs w:val="20"/>
          <w:color w:val="auto"/>
        </w:rPr>
      </w:pPr>
      <w:r>
        <w:rPr>
          <w:rFonts w:ascii="Arial" w:cs="Arial" w:eastAsia="Arial" w:hAnsi="Arial"/>
          <w:sz w:val="16"/>
          <w:szCs w:val="16"/>
          <w:color w:val="auto"/>
        </w:rPr>
        <w:t>Social responsibility has always been integral to our core values. We are committed to doing business with integrity and ethics. We focus on providing our employees safe and healthy working conditions, and actively participate in the communities where we are located. In addition, we support philanthropic organizations, patient-focused associations, local and national charitable organizations, and areas of need across the country by providing monetary donations or supplying food, medical supplies and other resources. We collaborate with patient advocacy organizations to understand the needs of patients living with rare, neurological disorders including narcolepsy, and are committed to addressing those needs.</w:t>
      </w:r>
    </w:p>
    <w:p>
      <w:pPr>
        <w:spacing w:after="0" w:line="16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1" w:lineRule="exact"/>
        <w:rPr>
          <w:sz w:val="20"/>
          <w:szCs w:val="20"/>
          <w:color w:val="auto"/>
        </w:rPr>
      </w:pPr>
    </w:p>
    <w:p>
      <w:pPr>
        <w:ind w:firstLine="864"/>
        <w:spacing w:after="0" w:line="267" w:lineRule="auto"/>
        <w:rPr>
          <w:sz w:val="20"/>
          <w:szCs w:val="20"/>
          <w:color w:val="auto"/>
        </w:rPr>
      </w:pPr>
      <w:r>
        <w:rPr>
          <w:rFonts w:ascii="Arial" w:cs="Arial" w:eastAsia="Arial" w:hAnsi="Arial"/>
          <w:sz w:val="17"/>
          <w:szCs w:val="17"/>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principal executive offices are located at 630 W. Germantown Pike, Plymouth Meeting, PA 19462, and our telephone number is (484) 539-9800. Our internet website is www.harmonybiosciences.com. We routinely make available important information free of charge,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Annual Report on Form 10-K, and any website references are not intended to be made through active hyperlinks.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firstLine="896"/>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and the other information included or incorporated by reference in this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“Part I—Cautionary Note Regarding Forward-Looking Statements.” Our actual results could differ materially and adversely from those anticipated in these forward-looking statements as a result of certain factors, including those set forth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expect to incur significant losses for the foreseeable future and may never achieve or maintain profitability.</w:t>
      </w:r>
    </w:p>
    <w:p>
      <w:pPr>
        <w:spacing w:after="0" w:line="148" w:lineRule="exact"/>
        <w:rPr>
          <w:sz w:val="20"/>
          <w:szCs w:val="20"/>
          <w:color w:val="auto"/>
        </w:rPr>
      </w:pPr>
    </w:p>
    <w:p>
      <w:pPr>
        <w:ind w:right="20" w:firstLine="896"/>
        <w:spacing w:after="0" w:line="269" w:lineRule="auto"/>
        <w:rPr>
          <w:sz w:val="20"/>
          <w:szCs w:val="20"/>
          <w:color w:val="auto"/>
        </w:rPr>
      </w:pPr>
      <w:r>
        <w:rPr>
          <w:rFonts w:ascii="Arial" w:cs="Arial" w:eastAsia="Arial" w:hAnsi="Arial"/>
          <w:sz w:val="17"/>
          <w:szCs w:val="17"/>
          <w:color w:val="auto"/>
        </w:rPr>
        <w:t>Investment in pharmaceutical product development is highly speculative because it entails substantial upfront capital expenditures and significant risk that a product candidate will fail to gain regulatory approval or fail to become commercially viable. We have only recently begun to generate revenue from product sales and have incurred losses in each year since our inception for most periods. Our ability to generate revenue and achieve profitability depends on our ability to successfully commercialize WAKIX for the treatment of EDS in adult patients with narcolepsy and cataplexy in adult patients with narcolepsy, and to successfully develop and obtain the regulatory approvals necessary to commercialize pitolisant for other indications. We expect to continue to incur losses for the foreseeable future, and we anticipate these losses will increase as we commercialize WAKIX and as we continue to develop and potentially commercialize pitolisant for other indications.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recently begun generating revenue from product sales and may never be profitable.</w:t>
      </w:r>
    </w:p>
    <w:p>
      <w:pPr>
        <w:spacing w:after="0" w:line="181" w:lineRule="exact"/>
        <w:rPr>
          <w:sz w:val="20"/>
          <w:szCs w:val="20"/>
          <w:color w:val="auto"/>
        </w:rPr>
      </w:pPr>
    </w:p>
    <w:p>
      <w:pPr>
        <w:ind w:firstLine="896"/>
        <w:spacing w:after="0" w:line="284" w:lineRule="auto"/>
        <w:rPr>
          <w:sz w:val="20"/>
          <w:szCs w:val="20"/>
          <w:color w:val="auto"/>
        </w:rPr>
      </w:pPr>
      <w:r>
        <w:rPr>
          <w:rFonts w:ascii="Arial" w:cs="Arial" w:eastAsia="Arial" w:hAnsi="Arial"/>
          <w:sz w:val="16"/>
          <w:szCs w:val="16"/>
          <w:color w:val="auto"/>
        </w:rPr>
        <w:t>Other than WAKIX, we do not currently have any products that are available for commercial sale, and we may never achieve profitability. Our net loss was $36.9 million and $152.0 million for the years ended December 31, 2020 and 2019, respectively. As of December 31, 2020, we had an accumulated deficit of $488.2 million. Our ability to become and remain profitable depends on our ability to generate revenue. We do not expect to generate significant revenue until we further commercialize WAKIX and/or and obtain regulatory approval for potential additional indications for pitolisant. We generated net product revenues of $159.7 million and $6.0 million for the years ended December 31, 2020 and 2019, respectively. Successful commercialization will require achievement of many key milestones, including demonstrating safety and efficacy in clinical trials, obtaining regulatory approval, including marketing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w:t>
      </w:r>
    </w:p>
    <w:p>
      <w:pPr>
        <w:spacing w:after="0" w:line="142" w:lineRule="exact"/>
        <w:rPr>
          <w:sz w:val="20"/>
          <w:szCs w:val="20"/>
          <w:color w:val="auto"/>
        </w:rPr>
      </w:pPr>
    </w:p>
    <w:p>
      <w:pPr>
        <w:jc w:val="both"/>
        <w:ind w:right="260" w:firstLine="896"/>
        <w:spacing w:after="0" w:line="259" w:lineRule="auto"/>
        <w:rPr>
          <w:sz w:val="20"/>
          <w:szCs w:val="20"/>
          <w:color w:val="auto"/>
        </w:rPr>
      </w:pPr>
      <w:r>
        <w:rPr>
          <w:rFonts w:ascii="Arial" w:cs="Arial" w:eastAsia="Arial" w:hAnsi="Arial"/>
          <w:sz w:val="18"/>
          <w:szCs w:val="18"/>
          <w:color w:val="auto"/>
        </w:rPr>
        <w:t>Our failure to become and remain profitable may depress the market price of our common stock and could impair our ability to raise capital, expand our business, diversify our product offerings or continue our operations. If we continue to suffer losses as we have in the past, investors may not receive any return on their investment and may lose their entire investment.</w:t>
      </w:r>
    </w:p>
    <w:p>
      <w:pPr>
        <w:spacing w:after="0" w:line="14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and history of commercializing drugs, which may make it difficult for you to evaluate the success of our business to date and to assess our future viability.</w:t>
      </w:r>
    </w:p>
    <w:p>
      <w:pPr>
        <w:spacing w:after="0" w:line="134" w:lineRule="exact"/>
        <w:rPr>
          <w:sz w:val="20"/>
          <w:szCs w:val="20"/>
          <w:color w:val="auto"/>
        </w:rPr>
      </w:pPr>
    </w:p>
    <w:p>
      <w:pPr>
        <w:ind w:right="160" w:firstLine="896"/>
        <w:spacing w:after="0" w:line="255" w:lineRule="auto"/>
        <w:rPr>
          <w:sz w:val="20"/>
          <w:szCs w:val="20"/>
          <w:color w:val="auto"/>
        </w:rPr>
      </w:pPr>
      <w:r>
        <w:rPr>
          <w:rFonts w:ascii="Arial" w:cs="Arial" w:eastAsia="Arial" w:hAnsi="Arial"/>
          <w:sz w:val="18"/>
          <w:szCs w:val="18"/>
          <w:color w:val="auto"/>
        </w:rPr>
        <w:t>We commenced operations in 2017, and our operations to date have been largely focused on staffing our company, business planning, raising capital, acquiring the rights to pitolisant, seeking registration in the United States for our product WAKIX, which is approved for the treatment of EDS in adult patients with narcolepsy and cataplexy in adult patients with narcolepsy, the commercialization of WAKIX, manufacturing WAKIX on a commercial scale, and preparing to develop pitolisant for other potential indications. This has</w:t>
      </w:r>
    </w:p>
    <w:p>
      <w:pPr>
        <w:spacing w:after="0" w:line="19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included preparing the application for regulatory approval and other activities that were required for us to obtain approval of our NDA, and activities related to commercializing WAKIX. WAKIX is our only drug candidate for which we have obtained regulatory approval. Consequently, any predictions about our future success or viability may not be as accurate as they could be if we had a longer operating history or a longer history of successfully developing and commercializing drugs.</w:t>
      </w:r>
    </w:p>
    <w:p>
      <w:pPr>
        <w:spacing w:after="0" w:line="163" w:lineRule="exact"/>
        <w:rPr>
          <w:sz w:val="20"/>
          <w:szCs w:val="20"/>
          <w:color w:val="auto"/>
        </w:rPr>
      </w:pPr>
    </w:p>
    <w:p>
      <w:pPr>
        <w:ind w:right="320" w:firstLine="896"/>
        <w:spacing w:after="0" w:line="259" w:lineRule="auto"/>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may encounter unforeseen expenses, difficulties, complications, delays and other known or unknown factors.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limited capital and may need to raise additional capital before we become profitable.</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As of December 31, 2020, we had an accumulated deficit of $488.2 million, and available cash and cash equivalents and restricted cash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$229.4 million. We have $194.3 million of debt outstanding under our Credit Agreement with OrbiMed. We believe that our anticipated cash from operating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financing activities and existing cash and cash equivalents will enable us to meet its operational liquidity needs and fund our planned investing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for the next twelve months.</w:t>
      </w:r>
    </w:p>
    <w:p>
      <w:pPr>
        <w:spacing w:after="0" w:line="181" w:lineRule="exact"/>
        <w:rPr>
          <w:sz w:val="20"/>
          <w:szCs w:val="20"/>
          <w:color w:val="auto"/>
        </w:rPr>
      </w:pPr>
    </w:p>
    <w:p>
      <w:pPr>
        <w:ind w:right="120" w:firstLine="896"/>
        <w:spacing w:after="0" w:line="307" w:lineRule="auto"/>
        <w:rPr>
          <w:sz w:val="20"/>
          <w:szCs w:val="20"/>
          <w:color w:val="auto"/>
        </w:rPr>
      </w:pPr>
      <w:r>
        <w:rPr>
          <w:rFonts w:ascii="Arial" w:cs="Arial" w:eastAsia="Arial" w:hAnsi="Arial"/>
          <w:sz w:val="16"/>
          <w:szCs w:val="16"/>
          <w:color w:val="auto"/>
        </w:rPr>
        <w:t>This estimate is based on assumptions that may prove to be wrong, and we could exhaust our available capital resources sooner than we currently expect. Because the length of time and activities associated with the successful development of our product candidates is highly uncertain, we are unable to estimate with certainty the actual funds we will require for development and any approved marketing and commercialization activities.</w:t>
      </w:r>
    </w:p>
    <w:p>
      <w:pPr>
        <w:spacing w:after="0" w:line="110" w:lineRule="exact"/>
        <w:rPr>
          <w:sz w:val="20"/>
          <w:szCs w:val="20"/>
          <w:color w:val="auto"/>
        </w:rPr>
      </w:pPr>
    </w:p>
    <w:p>
      <w:pPr>
        <w:ind w:right="460" w:firstLine="896"/>
        <w:spacing w:after="0" w:line="259" w:lineRule="auto"/>
        <w:rPr>
          <w:sz w:val="20"/>
          <w:szCs w:val="20"/>
          <w:color w:val="auto"/>
        </w:rPr>
      </w:pPr>
      <w:r>
        <w:rPr>
          <w:rFonts w:ascii="Arial" w:cs="Arial" w:eastAsia="Arial" w:hAnsi="Arial"/>
          <w:sz w:val="18"/>
          <w:szCs w:val="18"/>
          <w:color w:val="auto"/>
        </w:rPr>
        <w:t>To fund future operations to the point at which we are able to generate positive cash flow from sales of WAKIX or other potential product candidates, we may need to raise significant additional capital. The amount and timing of future funding requirements will depend on many factors, including, but not limited to:</w:t>
      </w:r>
    </w:p>
    <w:p>
      <w:pPr>
        <w:spacing w:after="0" w:line="333" w:lineRule="exact"/>
        <w:rPr>
          <w:sz w:val="20"/>
          <w:szCs w:val="20"/>
          <w:color w:val="auto"/>
        </w:rPr>
      </w:pPr>
    </w:p>
    <w:p>
      <w:pPr>
        <w:ind w:left="1340" w:hanging="43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our commercialization of WAKIX;</w:t>
      </w:r>
    </w:p>
    <w:p>
      <w:pPr>
        <w:spacing w:after="0" w:line="368" w:lineRule="exact"/>
        <w:rPr>
          <w:rFonts w:ascii="Arial" w:cs="Arial" w:eastAsia="Arial" w:hAnsi="Arial"/>
          <w:sz w:val="18"/>
          <w:szCs w:val="18"/>
          <w:color w:val="auto"/>
        </w:rPr>
      </w:pPr>
    </w:p>
    <w:p>
      <w:pPr>
        <w:ind w:left="1340" w:right="660" w:hanging="437"/>
        <w:spacing w:after="0" w:line="27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sales, marketing and distribution capabilities for our product candidates in regions where those product candidates are approved and where we choose to commercialize our products on our own;</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manufacturing activities;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payment of royalties and milestone payments to Bioprojet;</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regulatory authorities;</w:t>
      </w:r>
    </w:p>
    <w:p>
      <w:pPr>
        <w:spacing w:after="0" w:line="368" w:lineRule="exact"/>
        <w:rPr>
          <w:rFonts w:ascii="Arial" w:cs="Arial" w:eastAsia="Arial" w:hAnsi="Arial"/>
          <w:sz w:val="18"/>
          <w:szCs w:val="18"/>
          <w:color w:val="auto"/>
        </w:rPr>
      </w:pPr>
    </w:p>
    <w:p>
      <w:pPr>
        <w:ind w:left="1340" w:hanging="437"/>
        <w:spacing w:after="0" w:line="259"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FDA and other comparable regulatory authorities to accept our clinical trial designs, as well as data from our completed and planned clinical trials and preclinical studies and other work, as the basis for the review and approval of pitolisant for other potential indications or of any other product candidates;</w:t>
      </w:r>
    </w:p>
    <w:p>
      <w:pPr>
        <w:spacing w:after="0" w:line="332" w:lineRule="exact"/>
        <w:rPr>
          <w:rFonts w:ascii="Arial" w:cs="Arial" w:eastAsia="Arial" w:hAnsi="Arial"/>
          <w:sz w:val="18"/>
          <w:szCs w:val="18"/>
          <w:color w:val="auto"/>
        </w:rPr>
      </w:pPr>
    </w:p>
    <w:p>
      <w:pPr>
        <w:ind w:left="1340" w:right="80" w:hanging="437"/>
        <w:spacing w:after="0" w:line="27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expansion of our current development programs to seek new indications for pitolisant, potential new development programs for additional indications, and related general and administrative support;</w:t>
      </w:r>
    </w:p>
    <w:p>
      <w:pPr>
        <w:spacing w:after="0" w:line="321" w:lineRule="exact"/>
        <w:rPr>
          <w:rFonts w:ascii="Arial" w:cs="Arial" w:eastAsia="Arial" w:hAnsi="Arial"/>
          <w:sz w:val="18"/>
          <w:szCs w:val="18"/>
          <w:color w:val="auto"/>
        </w:rPr>
      </w:pPr>
    </w:p>
    <w:p>
      <w:pPr>
        <w:ind w:left="1340" w:right="240" w:hanging="437"/>
        <w:spacing w:after="0" w:line="27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initiation, progress, timing, and results of our clinical trials through all phases of development for pitolisant as a treatment for other indications and any other product candidates;</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filing, prosecuting, defending and enforcing our patent claims and other intellectual property rights, in-licensed or otherwise;</w:t>
      </w:r>
    </w:p>
    <w:p>
      <w:pPr>
        <w:spacing w:after="0" w:line="391" w:lineRule="exact"/>
        <w:rPr>
          <w:rFonts w:ascii="Arial" w:cs="Arial" w:eastAsia="Arial" w:hAnsi="Arial"/>
          <w:sz w:val="16"/>
          <w:szCs w:val="16"/>
          <w:color w:val="auto"/>
        </w:rPr>
      </w:pPr>
    </w:p>
    <w:p>
      <w:pPr>
        <w:ind w:left="1340" w:right="80" w:hanging="437"/>
        <w:spacing w:after="0" w:line="27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for pitolisant or future product candidates;</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acquiring rights to other pharmaceutical products in the future to further develop and commercialize;</w:t>
      </w:r>
    </w:p>
    <w:p>
      <w:pPr>
        <w:sectPr>
          <w:pgSz w:w="11900" w:h="16838" w:orient="portrait"/>
          <w:cols w:equalWidth="0" w:num="1">
            <w:col w:w="11200"/>
          </w:cols>
          <w:pgMar w:left="320" w:top="121" w:right="379" w:bottom="1440" w:gutter="0" w:footer="0" w:header="0"/>
        </w:sectPr>
      </w:pPr>
    </w:p>
    <w:p>
      <w:pPr>
        <w:spacing w:after="0" w:line="395"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761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hanging="43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general operating expenses; and</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68" w:lineRule="exact"/>
        <w:rPr>
          <w:sz w:val="20"/>
          <w:szCs w:val="20"/>
          <w:color w:val="auto"/>
        </w:rPr>
      </w:pPr>
    </w:p>
    <w:p>
      <w:pPr>
        <w:ind w:right="200" w:firstLine="896"/>
        <w:spacing w:after="0" w:line="269" w:lineRule="auto"/>
        <w:rPr>
          <w:sz w:val="20"/>
          <w:szCs w:val="20"/>
          <w:color w:val="auto"/>
        </w:rPr>
      </w:pPr>
      <w:r>
        <w:rPr>
          <w:rFonts w:ascii="Arial" w:cs="Arial" w:eastAsia="Arial" w:hAnsi="Arial"/>
          <w:sz w:val="17"/>
          <w:szCs w:val="17"/>
          <w:color w:val="auto"/>
        </w:rPr>
        <w:t>We have no committed source of additional capital and we anticipate that we may seek to fund our operations through public or private equity offerings, debt financings, collaborations, licensing arrangements or other sources, or any combination of the foregoing. We cannot assure you that anticipated additional financing will be available to us on favorable terms, or at all. Although we have been successful in obtaining financing through the issuance of our equity securities and debt facilities, we cannot assure you that we will be able to do so in the future. If we are unable to raise additional capital in sufficient amounts or on terms acceptable to us to fund our commercialization of WAKIX and clinical development and commercialization of pitolisant for other indications, if approved, and other business activities, we could be forced to significantly delay, scale back, or discontinue the development or commercialization of our product candidates or curtail or cease our operations.</w:t>
      </w:r>
    </w:p>
    <w:p>
      <w:pPr>
        <w:spacing w:after="0" w:line="15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46" w:lineRule="exact"/>
        <w:rPr>
          <w:sz w:val="20"/>
          <w:szCs w:val="20"/>
          <w:color w:val="auto"/>
        </w:rPr>
      </w:pPr>
    </w:p>
    <w:p>
      <w:pPr>
        <w:ind w:right="60" w:firstLine="896"/>
        <w:spacing w:after="0" w:line="288"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Until such time, if ever, that we can generate sufficient product revenue from the sale of WAKIX, we may need to finance our cash needs through a combination of equity offerings, debt financings, including our Credit Agreement,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adversely affect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which could adversely affect our ability to conduct our business.</w:t>
      </w:r>
    </w:p>
    <w:p>
      <w:pPr>
        <w:spacing w:after="0" w:line="126" w:lineRule="exact"/>
        <w:rPr>
          <w:sz w:val="20"/>
          <w:szCs w:val="20"/>
          <w:color w:val="auto"/>
        </w:rPr>
      </w:pPr>
    </w:p>
    <w:p>
      <w:pPr>
        <w:ind w:right="60" w:firstLine="896"/>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6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Our auditor has previously expressed substantial doubt about our ability to continue as a going concern and we may be unable to remain a going concern.</w:t>
      </w:r>
    </w:p>
    <w:p>
      <w:pPr>
        <w:spacing w:after="0" w:line="134" w:lineRule="exact"/>
        <w:rPr>
          <w:sz w:val="20"/>
          <w:szCs w:val="20"/>
          <w:color w:val="auto"/>
        </w:rPr>
      </w:pPr>
    </w:p>
    <w:p>
      <w:pPr>
        <w:ind w:right="20" w:firstLine="896"/>
        <w:spacing w:after="0" w:line="287" w:lineRule="auto"/>
        <w:rPr>
          <w:sz w:val="20"/>
          <w:szCs w:val="20"/>
          <w:color w:val="auto"/>
        </w:rPr>
      </w:pPr>
      <w:r>
        <w:rPr>
          <w:rFonts w:ascii="Arial" w:cs="Arial" w:eastAsia="Arial" w:hAnsi="Arial"/>
          <w:sz w:val="16"/>
          <w:szCs w:val="16"/>
          <w:color w:val="auto"/>
        </w:rPr>
        <w:t>In light of our recurring losses, accumulated deficit and negative cash flow as described in our notes to our consolidated financial statements, we had previously concluded there was substantial doubt regarding our ability to continue as a going concern and the report of our independent registered public accounting firm on our financial statements for the year ended December 31, 2019 contained an explanatory paragraph communicating this matter. Our financial statements did not include any adjustments that may have been necessary in the event we were unable to continue as a going concern. Had we been unable to establish to the satisfaction of our independent registered public accounting firm that our expected operational performance and liquidity would be sufficient to allow for the removal of this going concern qualification, we would have needed to significantly modify our operational plans for us to continue as a going concern. We believe that our anticipated cash from operating and financing activities and existing cash and cash equivalents, will enable us to meet our operational liquidity needs and fund our planned investing activities for the next twelve months.</w:t>
      </w:r>
    </w:p>
    <w:p>
      <w:pPr>
        <w:spacing w:after="0" w:line="126"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We have made and may be required in the future to make significant payments to Bioprojet under our licensing and collaboration agreements for pitolisant.</w:t>
      </w:r>
    </w:p>
    <w:p>
      <w:pPr>
        <w:spacing w:after="0" w:line="148" w:lineRule="exact"/>
        <w:rPr>
          <w:sz w:val="20"/>
          <w:szCs w:val="20"/>
          <w:color w:val="auto"/>
        </w:rPr>
      </w:pPr>
    </w:p>
    <w:p>
      <w:pPr>
        <w:ind w:firstLine="896"/>
        <w:spacing w:after="0" w:line="259" w:lineRule="auto"/>
        <w:rPr>
          <w:sz w:val="20"/>
          <w:szCs w:val="20"/>
          <w:color w:val="auto"/>
        </w:rPr>
      </w:pPr>
      <w:r>
        <w:rPr>
          <w:rFonts w:ascii="Arial" w:cs="Arial" w:eastAsia="Arial" w:hAnsi="Arial"/>
          <w:sz w:val="18"/>
          <w:szCs w:val="18"/>
          <w:color w:val="auto"/>
        </w:rPr>
        <w:t>Under our agreements with Bioprojet, we are subject to significant obligations, including payment obligations upon the achievement of specified milestones and payments based on product sales, as well as other material obligations. Certain of the milestone payments payable by us under these agreements were paid prior to our commercialization of WAKIX.</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20" w:firstLine="896"/>
        <w:spacing w:after="0" w:line="293" w:lineRule="auto"/>
        <w:rPr>
          <w:sz w:val="20"/>
          <w:szCs w:val="20"/>
          <w:color w:val="auto"/>
        </w:rPr>
      </w:pPr>
      <w:r>
        <w:rPr>
          <w:rFonts w:ascii="Arial" w:cs="Arial" w:eastAsia="Arial" w:hAnsi="Arial"/>
          <w:sz w:val="16"/>
          <w:szCs w:val="16"/>
          <w:color w:val="auto"/>
        </w:rPr>
        <w:t>Upon the Cataplexy Milestone Trigger Date, we became obligated to make the $100.0 million Cataplexy Milestone Payment to Bioprojet pursuant to the terms of the Bioprojet License Agreement. Subsequently, in October 2020, we made a payment to Bioprojet of $2.0 million to extend the Cataplexy Milestone Payment due date to within 90 days of the Cataplexy Milestone Trigger Date. On January 6, 2021, we made the $100.0 million Cataplexy Milestone Payment in full to Bioprojet. In addition, we are subject to a milestone payment of $40.0 million upon the attainment of aggregate net sales of WAKIX in the United States of $500.0 million subsequent to the date of NDA approval by the FDA pursuant to the Bioprojet License Agreement.</w:t>
      </w:r>
    </w:p>
    <w:p>
      <w:pPr>
        <w:spacing w:after="0" w:line="134"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There can be no assurance that we will have the funds necessary to make such payments in the future, or be able to raise such funds when needed, on terms acceptable to us, or at all. If we fail to comply with our payment obligations, Bioprojet has the right to terminate the license agreement, in which event we would not be able to develop, manufacture or market WAKIX or any other pitolisant-based product candidate. Furthermore, if we are forced to raise additional funds to make such payments, we may be required to delay, limit, reduce or terminate our product development or future commercialization efforts.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181" w:lineRule="exact"/>
        <w:rPr>
          <w:sz w:val="20"/>
          <w:szCs w:val="20"/>
          <w:color w:val="auto"/>
        </w:rPr>
      </w:pPr>
    </w:p>
    <w:p>
      <w:pPr>
        <w:ind w:right="60" w:firstLine="896"/>
        <w:spacing w:after="0" w:line="266" w:lineRule="auto"/>
        <w:rPr>
          <w:sz w:val="20"/>
          <w:szCs w:val="20"/>
          <w:color w:val="auto"/>
        </w:rPr>
      </w:pPr>
      <w:r>
        <w:rPr>
          <w:rFonts w:ascii="Arial" w:cs="Arial" w:eastAsia="Arial" w:hAnsi="Arial"/>
          <w:sz w:val="17"/>
          <w:szCs w:val="17"/>
          <w:color w:val="auto"/>
        </w:rPr>
        <w:t>As of December 31, 2020, we had U.S. federal and state net operating loss carryforwards of approximately $159.4 million and $157.7 million, respectively. As of December 31, 2019, we had U.S. federal and state net operating loss carryforwards of approximately $147.8 million and $139.3 million, respectively. Our ability to utilize our federal net operating loss carryforwards may be limited under Section 382 of the Internal Revenue Code of 1986, as amended (the “Code”). The limitations apply if we experience an “ownership change,” which is generally defined as a greater than 50 percentage point change (by value) in the ownership of our equity by certain stockholders over a rolling three-year period. Similar provisions of state tax law may also apply to limit the use of our state net operating loss carryforwards. We have not assessed whether such an ownership change has previously occurred. If we have experienced an ownership change at any time since our incorporation, we may already be subject to limitations on our ability to utilize our existing net operating loss carryforwards to offset taxable income. In addition, future changes in our stock ownership, which may be outside of our control, may trigger an ownership change and, consequently, the limitations under Section 382 of the Code. As a result, if or when we earn net taxable income, our ability to use our pre-change net operating loss carryforwards to offset such taxable income may be subject to limitations, which could adversely affect our future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restrictive and financial covenants that may limit our operating flexibility.</w:t>
      </w:r>
    </w:p>
    <w:p>
      <w:pPr>
        <w:spacing w:after="0" w:line="181" w:lineRule="exact"/>
        <w:rPr>
          <w:sz w:val="20"/>
          <w:szCs w:val="20"/>
          <w:color w:val="auto"/>
        </w:rPr>
      </w:pPr>
    </w:p>
    <w:p>
      <w:pPr>
        <w:ind w:right="20" w:firstLine="896"/>
        <w:spacing w:after="0" w:line="251" w:lineRule="auto"/>
        <w:rPr>
          <w:sz w:val="20"/>
          <w:szCs w:val="20"/>
          <w:color w:val="auto"/>
        </w:rPr>
      </w:pPr>
      <w:r>
        <w:rPr>
          <w:rFonts w:ascii="Arial" w:cs="Arial" w:eastAsia="Arial" w:hAnsi="Arial"/>
          <w:sz w:val="18"/>
          <w:szCs w:val="18"/>
          <w:color w:val="auto"/>
        </w:rPr>
        <w:t>Our Credit Agreement with OrbiMed contains certain restrictive covenants that either limit our ability to, or require a mandatory prepayment in the event that, we engage in new lines of business, incur additional indebtedness or liens, make certain investments, make certain payments, pay cash dividends, merge with other companies or consummate certain changes of control, acquire other companies, transfer or dispose of certain assets, liquidate or dissolve, amend certain material agreements, enter into sale and leaseback transactions, enter into various other specified transactions, or change our name, location, executive office or executive management without notice. We, therefore, may not be able to engage in any of the foregoing transactions unless we obtain the consent of OrbiMed or prepay the outstanding amount under the Credit Agreement. The Credit Agreement also contains certain financial covenants, including minimum revenue and cash balance requirements (which include maintaining minimum liquidity of $12.5 million), and financial reporting requirements.</w:t>
      </w:r>
    </w:p>
    <w:p>
      <w:pPr>
        <w:spacing w:after="0" w:line="154" w:lineRule="exact"/>
        <w:rPr>
          <w:sz w:val="20"/>
          <w:szCs w:val="20"/>
          <w:color w:val="auto"/>
        </w:rPr>
      </w:pPr>
    </w:p>
    <w:p>
      <w:pPr>
        <w:ind w:right="160" w:firstLine="896"/>
        <w:spacing w:after="0" w:line="293" w:lineRule="auto"/>
        <w:rPr>
          <w:sz w:val="20"/>
          <w:szCs w:val="20"/>
          <w:color w:val="auto"/>
        </w:rPr>
      </w:pPr>
      <w:r>
        <w:rPr>
          <w:rFonts w:ascii="Arial" w:cs="Arial" w:eastAsia="Arial" w:hAnsi="Arial"/>
          <w:sz w:val="16"/>
          <w:szCs w:val="16"/>
          <w:color w:val="auto"/>
        </w:rPr>
        <w:t>Our obligations under the Credit Agreement are secured by all of our property, with certain exceptions. We may not be able to generate sufficient cash flow or sales to meet the financial covenants or pay the principal and interest under the Credit Agreement. Furthermore, our future working capital, borrowings or equity financing could be unavailable to repay or refinance the amounts outstanding under the Credit Agreement. In the event of a liquidation, OrbiMed would be repaid all outstanding principal and interest prior to distribution of assets to unsecured creditors, and the holders of our common stock would receive a portion of any liquidation proceeds only if all of our creditors then existing, including OrbiMed, were first repaid in full.</w:t>
      </w:r>
    </w:p>
    <w:p>
      <w:pPr>
        <w:spacing w:after="0" w:line="16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b w:val="1"/>
          <w:bCs w:val="1"/>
          <w:i w:val="1"/>
          <w:iCs w:val="1"/>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112" w:lineRule="exact"/>
        <w:rPr>
          <w:sz w:val="20"/>
          <w:szCs w:val="20"/>
          <w:color w:val="auto"/>
        </w:rPr>
      </w:pPr>
    </w:p>
    <w:p>
      <w:pPr>
        <w:ind w:right="140" w:firstLine="896"/>
        <w:spacing w:after="0" w:line="281" w:lineRule="auto"/>
        <w:rPr>
          <w:sz w:val="20"/>
          <w:szCs w:val="20"/>
          <w:color w:val="auto"/>
        </w:rPr>
      </w:pPr>
      <w:r>
        <w:rPr>
          <w:rFonts w:ascii="Arial" w:cs="Arial" w:eastAsia="Arial" w:hAnsi="Arial"/>
          <w:sz w:val="17"/>
          <w:szCs w:val="17"/>
          <w:color w:val="auto"/>
        </w:rPr>
        <w:t>Since our inception, we have invested substantially all of our capital resources on the development, registration and commercialization of WAKIX, which was approved for the treatment of EDS in adult patients with narcolepsy in August 2019 and for the treatment of cataplexy in adult patients with narcolepsy in October 2020. We cannot be certain that WAKIX will be successfully commercialized.</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ability to generate revenue from product sales depends heavily on our success in many areas, including but not limited to:</w:t>
      </w:r>
    </w:p>
    <w:p>
      <w:pPr>
        <w:spacing w:after="0" w:line="368" w:lineRule="exact"/>
        <w:rPr>
          <w:sz w:val="20"/>
          <w:szCs w:val="20"/>
          <w:color w:val="auto"/>
        </w:rPr>
      </w:pPr>
    </w:p>
    <w:p>
      <w:pPr>
        <w:ind w:left="1340" w:hanging="43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commercializing WAKIX, either independently or with marketing service providers;</w:t>
      </w:r>
    </w:p>
    <w:p>
      <w:pPr>
        <w:spacing w:after="0" w:line="368" w:lineRule="exact"/>
        <w:rPr>
          <w:rFonts w:ascii="Arial" w:cs="Arial" w:eastAsia="Arial" w:hAnsi="Arial"/>
          <w:sz w:val="18"/>
          <w:szCs w:val="18"/>
          <w:color w:val="auto"/>
        </w:rPr>
      </w:pPr>
    </w:p>
    <w:p>
      <w:pPr>
        <w:ind w:left="1340" w:right="320" w:hanging="437"/>
        <w:spacing w:after="0" w:line="27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strategy and operations, and obtaining market acceptance of WAKIX, including garnering market share from existing and future treatment alternatives;</w:t>
      </w:r>
    </w:p>
    <w:p>
      <w:pPr>
        <w:spacing w:after="0" w:line="321" w:lineRule="exact"/>
        <w:rPr>
          <w:rFonts w:ascii="Arial" w:cs="Arial" w:eastAsia="Arial" w:hAnsi="Arial"/>
          <w:sz w:val="18"/>
          <w:szCs w:val="18"/>
          <w:color w:val="auto"/>
        </w:rPr>
      </w:pPr>
    </w:p>
    <w:p>
      <w:pPr>
        <w:ind w:left="1340" w:right="660" w:hanging="437"/>
        <w:spacing w:after="0" w:line="27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compliance with all regulatory requirements applicable to WAKIX and our commercial activities, including the post-marketing requirements and post-marketing commitments required by the FDA;</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coverage and adequate reimbursement from third-party payors for each of our product candidates;</w:t>
      </w:r>
    </w:p>
    <w:p>
      <w:pPr>
        <w:spacing w:after="0" w:line="368" w:lineRule="exact"/>
        <w:rPr>
          <w:rFonts w:ascii="Arial" w:cs="Arial" w:eastAsia="Arial" w:hAnsi="Arial"/>
          <w:sz w:val="18"/>
          <w:szCs w:val="18"/>
          <w:color w:val="auto"/>
        </w:rPr>
      </w:pPr>
    </w:p>
    <w:p>
      <w:pPr>
        <w:ind w:left="1340" w:right="20" w:hanging="437"/>
        <w:spacing w:after="0" w:line="255"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continued acceptability of the safety profile of WAKIX and the occurrence of any unexpected side effects, adverse reactions or misuse, including potential business impact such as the need to withdraw the product (either voluntarily or as mandated by the FDA), loss of support by the advocacy communities or loss of positive corporate reputation resulting in related unfavorable media coverage in these areas;</w:t>
      </w:r>
    </w:p>
    <w:p>
      <w:pPr>
        <w:spacing w:after="0" w:line="337" w:lineRule="exact"/>
        <w:rPr>
          <w:rFonts w:ascii="Arial" w:cs="Arial" w:eastAsia="Arial" w:hAnsi="Arial"/>
          <w:sz w:val="18"/>
          <w:szCs w:val="18"/>
          <w:color w:val="auto"/>
        </w:rPr>
      </w:pPr>
    </w:p>
    <w:p>
      <w:pPr>
        <w:ind w:left="1340" w:hanging="43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managing third-party service providers involved in the manufacturing and development of pitolisant;</w:t>
      </w:r>
    </w:p>
    <w:p>
      <w:pPr>
        <w:spacing w:after="0" w:line="368" w:lineRule="exact"/>
        <w:rPr>
          <w:rFonts w:ascii="Arial" w:cs="Arial" w:eastAsia="Arial" w:hAnsi="Arial"/>
          <w:sz w:val="18"/>
          <w:szCs w:val="18"/>
          <w:color w:val="auto"/>
        </w:rPr>
      </w:pPr>
    </w:p>
    <w:p>
      <w:pPr>
        <w:ind w:left="1340" w:right="200" w:hanging="437"/>
        <w:spacing w:after="0" w:line="27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completing the development of pitolisant in other indications by demonstrating safety, tolerability and efficacy profiles that are satisfactory to the FDA;</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approvals to market pitolisant for other indications;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the terms of the license agreement with Bioprojet;</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protecting and expanding the portfolio of intellectual property rights, including patents, trade secrets and knowhow; and</w:t>
      </w:r>
    </w:p>
    <w:p>
      <w:pPr>
        <w:spacing w:after="0" w:line="379" w:lineRule="exact"/>
        <w:rPr>
          <w:rFonts w:ascii="Arial" w:cs="Arial" w:eastAsia="Arial" w:hAnsi="Arial"/>
          <w:sz w:val="17"/>
          <w:szCs w:val="17"/>
          <w:color w:val="auto"/>
        </w:rPr>
      </w:pPr>
    </w:p>
    <w:p>
      <w:pPr>
        <w:ind w:left="1340" w:hanging="43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68" w:lineRule="exact"/>
        <w:rPr>
          <w:sz w:val="20"/>
          <w:szCs w:val="20"/>
          <w:color w:val="auto"/>
        </w:rPr>
      </w:pPr>
    </w:p>
    <w:p>
      <w:pPr>
        <w:ind w:firstLine="896"/>
        <w:spacing w:after="0" w:line="270" w:lineRule="auto"/>
        <w:rPr>
          <w:sz w:val="20"/>
          <w:szCs w:val="20"/>
          <w:color w:val="auto"/>
        </w:rPr>
      </w:pPr>
      <w:r>
        <w:rPr>
          <w:rFonts w:ascii="Arial" w:cs="Arial" w:eastAsia="Arial" w:hAnsi="Arial"/>
          <w:sz w:val="17"/>
          <w:szCs w:val="17"/>
          <w:color w:val="auto"/>
        </w:rPr>
        <w:t>In our efforts to market WAKIX for the treatment of EDS in adult patients with narcolepsy and cataplexy in adult patients with narcolepsy, our revenue will be dependent, in part, on the size of the markets in the United States, or in other territories where we may seek and obtain regulatory approval, the number of competitors in such markets, the acceptance of the price of the product in those markets and the ability to obtain reimbursement at any price. If the number of our addressable patients is not as large as we estimate or the reasonably accepted population for treatment is narrowed by competition, physician choice or treatment guidelines, we may not generate significant revenue from sales of such products. If we are not able to generate substantial revenue from the sale of approved products, we may never become profitable.</w:t>
      </w:r>
    </w:p>
    <w:p>
      <w:pPr>
        <w:spacing w:after="0" w:line="17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commercial adoption of WAKIX and any other product candidates we develop will depend on the degree of their market acceptance.</w:t>
      </w:r>
    </w:p>
    <w:p>
      <w:pPr>
        <w:spacing w:after="0" w:line="206" w:lineRule="exact"/>
        <w:rPr>
          <w:sz w:val="20"/>
          <w:szCs w:val="20"/>
          <w:color w:val="auto"/>
        </w:rPr>
      </w:pPr>
    </w:p>
    <w:p>
      <w:pPr>
        <w:ind w:right="100" w:firstLine="896"/>
        <w:spacing w:after="0" w:line="270" w:lineRule="auto"/>
        <w:rPr>
          <w:sz w:val="20"/>
          <w:szCs w:val="20"/>
          <w:color w:val="auto"/>
        </w:rPr>
      </w:pPr>
      <w:r>
        <w:rPr>
          <w:rFonts w:ascii="Arial" w:cs="Arial" w:eastAsia="Arial" w:hAnsi="Arial"/>
          <w:sz w:val="17"/>
          <w:szCs w:val="17"/>
          <w:color w:val="auto"/>
        </w:rPr>
        <w:t>Even with the requisite approvals from the FDA and other regulatory authorities, the commercial adoption of WAKIX for the treatment of EDS in adult patients with narcolepsy and cataplexy in adult patients with narcolepsy, and any other indications and product candidates we may develop, will depend on the degree of their acceptance by physicians, patients, third-party payors and others in the medical community. If WAKIX or any other product candidates we develop do not achieve an adequate level of market acceptance, we may not generate significant product revenues or any profits from operations. The degree of market acceptance of WAKIX or any other product candidates we develop, if approved for commercial sale, will depend on a number of factors, some of which are beyond our control, including:</w:t>
      </w:r>
    </w:p>
    <w:p>
      <w:pPr>
        <w:spacing w:after="0" w:line="312" w:lineRule="exact"/>
        <w:rPr>
          <w:sz w:val="20"/>
          <w:szCs w:val="20"/>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trials;</w:t>
      </w:r>
    </w:p>
    <w:p>
      <w:pPr>
        <w:spacing w:after="0" w:line="368" w:lineRule="exact"/>
        <w:rPr>
          <w:rFonts w:ascii="Arial" w:cs="Arial" w:eastAsia="Arial" w:hAnsi="Arial"/>
          <w:sz w:val="18"/>
          <w:szCs w:val="18"/>
          <w:color w:val="auto"/>
        </w:rPr>
      </w:pPr>
    </w:p>
    <w:p>
      <w:pPr>
        <w:ind w:left="1340" w:right="20" w:hanging="437"/>
        <w:spacing w:after="0" w:line="27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quality-of-life and cost-effectiveness of the product, compared to those of other available treatments;</w:t>
      </w:r>
    </w:p>
    <w:p>
      <w:pPr>
        <w:spacing w:after="0" w:line="321" w:lineRule="exact"/>
        <w:rPr>
          <w:rFonts w:ascii="Arial" w:cs="Arial" w:eastAsia="Arial" w:hAnsi="Arial"/>
          <w:sz w:val="18"/>
          <w:szCs w:val="18"/>
          <w:color w:val="auto"/>
        </w:rPr>
      </w:pPr>
    </w:p>
    <w:p>
      <w:pPr>
        <w:ind w:left="1340" w:hanging="437"/>
        <w:spacing w:after="0" w:line="259"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product’s approved labeling, including the description of the product’s approved indications, the description of its efficacy, including the endpoints in which it showed an improvement, and the prevalence and severity of any side effects, including any associated limitations or warnings;</w:t>
      </w:r>
    </w:p>
    <w:p>
      <w:pPr>
        <w:spacing w:after="0" w:line="332"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differentiate WAKIX or other approved products from other treatments in the same space;</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adoption of WAKIX as a first-line therapy for EDS in adult patients with narcolepsy and cataplexy in adult patients with narcolepsy;</w:t>
      </w:r>
    </w:p>
    <w:p>
      <w:pPr>
        <w:spacing w:after="0" w:line="391" w:lineRule="exact"/>
        <w:rPr>
          <w:rFonts w:ascii="Arial" w:cs="Arial" w:eastAsia="Arial" w:hAnsi="Arial"/>
          <w:sz w:val="16"/>
          <w:szCs w:val="16"/>
          <w:color w:val="auto"/>
        </w:rPr>
      </w:pPr>
    </w:p>
    <w:p>
      <w:pPr>
        <w:ind w:left="1340" w:hanging="437"/>
        <w:spacing w:after="0"/>
        <w:tabs>
          <w:tab w:leader="none" w:pos="1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those that may be discovered following approval and commercialization;</w:t>
      </w:r>
    </w:p>
    <w:p>
      <w:pPr>
        <w:spacing w:after="0" w:line="379" w:lineRule="exact"/>
        <w:rPr>
          <w:rFonts w:ascii="Arial" w:cs="Arial" w:eastAsia="Arial" w:hAnsi="Arial"/>
          <w:sz w:val="17"/>
          <w:szCs w:val="17"/>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publicity concerning our products or competing products and treatments;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litigation alleging injuries relating to our products or similar classes of drugs;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post-approval study requirements for our products and the results thereof; and</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third-party insurance coverage and reimbursement.</w:t>
      </w:r>
    </w:p>
    <w:p>
      <w:pPr>
        <w:spacing w:after="0" w:line="368" w:lineRule="exact"/>
        <w:rPr>
          <w:sz w:val="20"/>
          <w:szCs w:val="20"/>
          <w:color w:val="auto"/>
        </w:rPr>
      </w:pPr>
    </w:p>
    <w:p>
      <w:pPr>
        <w:ind w:right="60" w:firstLine="896"/>
        <w:spacing w:after="0" w:line="269" w:lineRule="auto"/>
        <w:rPr>
          <w:sz w:val="20"/>
          <w:szCs w:val="20"/>
          <w:color w:val="auto"/>
        </w:rPr>
      </w:pPr>
      <w:r>
        <w:rPr>
          <w:rFonts w:ascii="Arial" w:cs="Arial" w:eastAsia="Arial" w:hAnsi="Arial"/>
          <w:sz w:val="17"/>
          <w:szCs w:val="17"/>
          <w:color w:val="auto"/>
        </w:rPr>
        <w:t>Our continuing efforts to educate physicians, patients, third-party payors and others in the medical community on the benefits and risks of WAKIX may require significant resources and may never be successful. The adoption of WAKIX could be limited if physicians prescribe it only as a second line therapy. Physicians may opt to prescribe the products of our competitors for a variety of reasons. For example, WAKIX did not demonstrate non-inferiority to modafinil and, as such, physicians and patients may choose modafinil rather than WAKIX. Furthermore, because the clinical response to WAKIX may take several weeks before addressing EDS and cataplexy symptoms, patients and physicians may choose other fast acting, stimulant and wake promoting agents over WAKIX. If WAKIX fails to achieve an adequate level of acceptance by physicians, patients, third-party payors and others in the medical community, we will not be able to generate sufficient revenue to become or remain profitable.</w:t>
      </w:r>
    </w:p>
    <w:p>
      <w:pPr>
        <w:spacing w:after="0" w:line="151" w:lineRule="exact"/>
        <w:rPr>
          <w:sz w:val="20"/>
          <w:szCs w:val="20"/>
          <w:color w:val="auto"/>
        </w:rPr>
      </w:pPr>
    </w:p>
    <w:p>
      <w:pPr>
        <w:ind w:right="20" w:firstLine="896"/>
        <w:spacing w:after="0" w:line="259" w:lineRule="auto"/>
        <w:rPr>
          <w:sz w:val="20"/>
          <w:szCs w:val="20"/>
          <w:color w:val="auto"/>
        </w:rPr>
      </w:pPr>
      <w:r>
        <w:rPr>
          <w:rFonts w:ascii="Arial" w:cs="Arial" w:eastAsia="Arial" w:hAnsi="Arial"/>
          <w:sz w:val="18"/>
          <w:szCs w:val="18"/>
          <w:color w:val="auto"/>
        </w:rPr>
        <w:t>We cannot guarantee that WAKIX or any other product candidates we may seek to develop will ever be commercially successful, and to the extent they are not commercially successful, such product candidates would incur significant expense with no corresponding revenue. Because we expect the sales of WAKIX to</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761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generate substantially all of our revenue for the foreseeable future, the failure of WAKIX to find market acceptance would substantially harm our business and could require us to seek additional financing.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opportunity for WAKIX or any future product candidate we develop may be smaller than we estimate.</w:t>
      </w:r>
    </w:p>
    <w:p>
      <w:pPr>
        <w:spacing w:after="0" w:line="181" w:lineRule="exact"/>
        <w:rPr>
          <w:sz w:val="20"/>
          <w:szCs w:val="20"/>
          <w:color w:val="auto"/>
        </w:rPr>
      </w:pPr>
    </w:p>
    <w:p>
      <w:pPr>
        <w:ind w:firstLine="896"/>
        <w:spacing w:after="0" w:line="268" w:lineRule="auto"/>
        <w:rPr>
          <w:sz w:val="20"/>
          <w:szCs w:val="20"/>
          <w:color w:val="auto"/>
        </w:rPr>
      </w:pPr>
      <w:r>
        <w:rPr>
          <w:rFonts w:ascii="Arial" w:cs="Arial" w:eastAsia="Arial" w:hAnsi="Arial"/>
          <w:sz w:val="17"/>
          <w:szCs w:val="17"/>
          <w:color w:val="auto"/>
        </w:rPr>
        <w:t>The potential market opportunity for WAKIX and any future product candidate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While we believe our estimates are reasonable and reliable, they may prove to be incorrect. Further, new studies may change the estimated incidence or prevalence of diseases and disorders. The number of patients may turn out to be lower than expected. Additionally, the potentially addressable patient population for WAKIX or any future product candidate we develop may be limited or may not be amenable to treatment with WAKIX or such future product candidate, and new patients may become increasingly difficult to identify or gain access to, which would adversely affect our results of operations and our business.</w:t>
      </w:r>
    </w:p>
    <w:p>
      <w:pPr>
        <w:spacing w:after="0" w:line="139" w:lineRule="exact"/>
        <w:rPr>
          <w:sz w:val="20"/>
          <w:szCs w:val="20"/>
          <w:color w:val="auto"/>
        </w:rPr>
      </w:pPr>
    </w:p>
    <w:p>
      <w:pPr>
        <w:ind w:right="240"/>
        <w:spacing w:after="0" w:line="335" w:lineRule="auto"/>
        <w:rPr>
          <w:sz w:val="20"/>
          <w:szCs w:val="20"/>
          <w:color w:val="auto"/>
        </w:rPr>
      </w:pPr>
      <w:r>
        <w:rPr>
          <w:rFonts w:ascii="Arial" w:cs="Arial" w:eastAsia="Arial" w:hAnsi="Arial"/>
          <w:sz w:val="16"/>
          <w:szCs w:val="16"/>
          <w:b w:val="1"/>
          <w:bCs w:val="1"/>
          <w:i w:val="1"/>
          <w:iCs w:val="1"/>
          <w:color w:val="auto"/>
        </w:rPr>
        <w:t>We rely on our license agreement with Bioprojet to provide rights to the core intellectual property relating to pitolisant, and any termination or loss of significant rights under the agreement would adversely affect our development and/or commercialization of pitolisant.</w:t>
      </w:r>
    </w:p>
    <w:p>
      <w:pPr>
        <w:spacing w:after="0" w:line="102" w:lineRule="exact"/>
        <w:rPr>
          <w:sz w:val="20"/>
          <w:szCs w:val="20"/>
          <w:color w:val="auto"/>
        </w:rPr>
      </w:pPr>
    </w:p>
    <w:p>
      <w:pPr>
        <w:ind w:right="320" w:firstLine="896"/>
        <w:spacing w:after="0" w:line="252" w:lineRule="auto"/>
        <w:rPr>
          <w:sz w:val="20"/>
          <w:szCs w:val="20"/>
          <w:color w:val="auto"/>
        </w:rPr>
      </w:pPr>
      <w:r>
        <w:rPr>
          <w:rFonts w:ascii="Arial" w:cs="Arial" w:eastAsia="Arial" w:hAnsi="Arial"/>
          <w:sz w:val="18"/>
          <w:szCs w:val="18"/>
          <w:color w:val="auto"/>
        </w:rPr>
        <w:t>We have licensed our core intellectual property relating to pitolisant from Bioprojet. If, for any reason, our license and commercialization agreement with Bioprojet is terminated or we otherwise lose those rights, it would materially adversely affect our business. Pursuant to our license and commercialization agreement, we obtained intellectual property rights in connection with the commercialization of pitolisant in the United States and its territories, commonwealths and protectorates, including Puerto Rico, which includes an exclusive license to use certain intellectual property owned by Bioprojet related to clinically developing and commercializing the pitolisant product candidate for narcolepsy, obstructive sleep apnea, idiopathic hypersomnia and Parkinson’s Disease.</w:t>
      </w:r>
    </w:p>
    <w:p>
      <w:pPr>
        <w:spacing w:after="0" w:line="154" w:lineRule="exact"/>
        <w:rPr>
          <w:sz w:val="20"/>
          <w:szCs w:val="20"/>
          <w:color w:val="auto"/>
        </w:rPr>
      </w:pPr>
    </w:p>
    <w:p>
      <w:pPr>
        <w:ind w:right="20" w:firstLine="896"/>
        <w:spacing w:after="0" w:line="267" w:lineRule="auto"/>
        <w:rPr>
          <w:sz w:val="20"/>
          <w:szCs w:val="20"/>
          <w:color w:val="auto"/>
        </w:rPr>
      </w:pPr>
      <w:r>
        <w:rPr>
          <w:rFonts w:ascii="Arial" w:cs="Arial" w:eastAsia="Arial" w:hAnsi="Arial"/>
          <w:sz w:val="17"/>
          <w:szCs w:val="17"/>
          <w:color w:val="auto"/>
        </w:rPr>
        <w:t>Under the license agreement,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We must obtain consent from Bioprojet before commencing any clinical trials related to pitolisant. Our ability to pursue indications other than the ones specifically enumerated in the license agreement is also contingent on mutual agreement of Bioprojet and us as to those indications and such agreement may be withheld at Bioprojet’s discretion. If Bioprojet denies consent for us to conduct clinical trials or pursue any such other indication for any reason, we will not have the right under our license and commercialization agreement to commercialize our product for such indication. In such event, Bioprojet may pursue commercialization of such indication for itself in our territory, or it may license the right to commercialize such indication in our territory to third parties, including our competitors.</w:t>
      </w:r>
    </w:p>
    <w:p>
      <w:pPr>
        <w:spacing w:after="0" w:line="143" w:lineRule="exact"/>
        <w:rPr>
          <w:sz w:val="20"/>
          <w:szCs w:val="20"/>
          <w:color w:val="auto"/>
        </w:rPr>
      </w:pPr>
    </w:p>
    <w:p>
      <w:pPr>
        <w:ind w:right="200" w:firstLine="896"/>
        <w:spacing w:after="0" w:line="253" w:lineRule="auto"/>
        <w:rPr>
          <w:sz w:val="20"/>
          <w:szCs w:val="20"/>
          <w:color w:val="auto"/>
        </w:rPr>
      </w:pPr>
      <w:r>
        <w:rPr>
          <w:rFonts w:ascii="Arial" w:cs="Arial" w:eastAsia="Arial" w:hAnsi="Arial"/>
          <w:sz w:val="18"/>
          <w:szCs w:val="18"/>
          <w:color w:val="auto"/>
        </w:rPr>
        <w:t>Our license and commercialization agreement also imposes on us obligations relating to exclusivity, territorial rights, development, commercialization, funding, payment, diligence, sublicensing, insurance, intellectual property protection and other matters. If we breach any material obligations, or use the intellectual property licensed to us in an unauthorized manner, we may be required to pay damages to Bioprojet, and Bioprojet may have the right to terminate our license, which would result in us being unable to develop, manufacture and sell pitolisant and would materially adversely affect our business.</w:t>
      </w:r>
    </w:p>
    <w:p>
      <w:pPr>
        <w:spacing w:after="0" w:line="166"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b w:val="1"/>
          <w:bCs w:val="1"/>
          <w:i w:val="1"/>
          <w:iCs w:val="1"/>
          <w:color w:val="auto"/>
        </w:rPr>
        <w:t>The ongoing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88" w:lineRule="exact"/>
        <w:rPr>
          <w:sz w:val="20"/>
          <w:szCs w:val="20"/>
          <w:color w:val="auto"/>
        </w:rPr>
      </w:pPr>
    </w:p>
    <w:p>
      <w:pPr>
        <w:ind w:right="100" w:firstLine="896"/>
        <w:spacing w:after="0" w:line="253" w:lineRule="auto"/>
        <w:rPr>
          <w:sz w:val="20"/>
          <w:szCs w:val="20"/>
          <w:color w:val="auto"/>
        </w:rPr>
      </w:pPr>
      <w:r>
        <w:rPr>
          <w:rFonts w:ascii="Arial" w:cs="Arial" w:eastAsia="Arial" w:hAnsi="Arial"/>
          <w:sz w:val="18"/>
          <w:szCs w:val="18"/>
          <w:color w:val="auto"/>
        </w:rPr>
        <w:t>The outbreak of COVID-19, which has been declared a global pandemic by the World Health Organization, has spread across the globe and is impacting worldwide economic activity. A public health epidemic, including COVID-19, poses the risk that we or our employees, contractors, suppliers, distributors and other partners, as well as physicians treating narcolepsy patients, may be prevented from conducting business and patient-care activities for an indefinite period of time, including due to shutdowns and quarantines that may be requested or mandated by governmental authorities. Beginning in March 2020, we transitioned our field-</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based sales, market access, and medical employees to remote work and suspended work-related travel and in-person customer interactions with healthcare professionals and customers. Some of these activities have resumed in moderation following the establishment of proper protocols and procedures as COVID-19 restrictions have been revised. Our increased reliance on personnel working from home may negatively impact productivity or disrupt, delay or otherwise adversely impact our business. In addition, remote working could increase our cyber security risk.</w:t>
      </w:r>
    </w:p>
    <w:p>
      <w:pPr>
        <w:spacing w:after="0" w:line="147" w:lineRule="exact"/>
        <w:rPr>
          <w:sz w:val="20"/>
          <w:szCs w:val="20"/>
          <w:color w:val="auto"/>
        </w:rPr>
      </w:pPr>
    </w:p>
    <w:p>
      <w:pPr>
        <w:ind w:right="240" w:firstLine="896"/>
        <w:spacing w:after="0" w:line="268" w:lineRule="auto"/>
        <w:rPr>
          <w:sz w:val="20"/>
          <w:szCs w:val="20"/>
          <w:color w:val="auto"/>
        </w:rPr>
      </w:pPr>
      <w:r>
        <w:rPr>
          <w:rFonts w:ascii="Arial" w:cs="Arial" w:eastAsia="Arial" w:hAnsi="Arial"/>
          <w:sz w:val="17"/>
          <w:szCs w:val="17"/>
          <w:color w:val="auto"/>
        </w:rPr>
        <w:t>General protective measures put into place at various governmental levels, including quarantines, travel restrictions and business shutdowns, may also negatively affect our operations. The responses to the COVID-19 pandemic may have had an impact on demand for WAKIX as a result of a reduced ability of prescribers to diagnose narcolepsy patients given the limitations in access to sleep testing, the reduced ability to see patients due to cancelled appointments and the reprioritization of healthcare resources toward treating COVID-19. The COVID-19 pandemic has affected our ability to access HCPs, and has caused fewer patients visits to their HCP, resulting in fewer prescriptions being written. The COVID-19 pandemic is leading to high unemployment and corresponding loss of insurance, resulting in more eligible patients taking advantage of patient assistance and/or free good programs, which is impacting our ability to convert demand to revenue and the corresponding revenue growth rate in possible future quarters will be adversely impacted by the ongoing COVID-19 pandemic.</w:t>
      </w:r>
    </w:p>
    <w:p>
      <w:pPr>
        <w:spacing w:after="0" w:line="139" w:lineRule="exact"/>
        <w:rPr>
          <w:sz w:val="20"/>
          <w:szCs w:val="20"/>
          <w:color w:val="auto"/>
        </w:rPr>
      </w:pPr>
    </w:p>
    <w:p>
      <w:pPr>
        <w:ind w:firstLine="896"/>
        <w:spacing w:after="0" w:line="293" w:lineRule="auto"/>
        <w:rPr>
          <w:sz w:val="20"/>
          <w:szCs w:val="20"/>
          <w:color w:val="auto"/>
        </w:rPr>
      </w:pPr>
      <w:r>
        <w:rPr>
          <w:rFonts w:ascii="Arial" w:cs="Arial" w:eastAsia="Arial" w:hAnsi="Arial"/>
          <w:sz w:val="16"/>
          <w:szCs w:val="16"/>
          <w:color w:val="auto"/>
        </w:rPr>
        <w:t>The continued spread of COVID-19 and the measures taken by the governments of countries affected, particularly the United States and France, could also disrupt the supply chain and the manufacture or shipment of WAKIX and of drug substance and finished drug product. For example, we may face supply chain and manufacturing limitations or difficulties as resources are shifted toward vaccine manufacturing and distribution. Any delays or interruptions in the manufacture and supply of WAKIX could result in delays for our planned clinical trials, impair our ability to meet demand for new WAKIX prescriptions and impede our clinical trial recruitment, testing, monitoring, data collection and analysis and other related activities.</w:t>
      </w:r>
    </w:p>
    <w:p>
      <w:pPr>
        <w:spacing w:after="0" w:line="121" w:lineRule="exact"/>
        <w:rPr>
          <w:sz w:val="20"/>
          <w:szCs w:val="20"/>
          <w:color w:val="auto"/>
        </w:rPr>
      </w:pPr>
    </w:p>
    <w:p>
      <w:pPr>
        <w:ind w:right="20" w:firstLine="896"/>
        <w:spacing w:after="0" w:line="252"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COVID-19 impacts our operations and those of our third-party partners will depend on future developments, which are highly uncertain and cannot be predicted with confidence, including the duration of the pandemic, additional or modified government actions, new information which emerges concerning the severity of COVID-19 and the actions taken to contain the virus or treat its impact, among others. In particular, the speed of the continued spread of COVID-19 globally, and the magnitude of interventions to contain the spread of the virus, will determine the impact of the pandemic on our operations.</w:t>
      </w:r>
    </w:p>
    <w:p>
      <w:pPr>
        <w:spacing w:after="0" w:line="16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34" w:lineRule="exact"/>
        <w:rPr>
          <w:sz w:val="20"/>
          <w:szCs w:val="20"/>
          <w:color w:val="auto"/>
        </w:rPr>
      </w:pPr>
    </w:p>
    <w:p>
      <w:pPr>
        <w:ind w:right="120" w:firstLine="896"/>
        <w:spacing w:after="0" w:line="251" w:lineRule="auto"/>
        <w:rPr>
          <w:sz w:val="20"/>
          <w:szCs w:val="20"/>
          <w:color w:val="auto"/>
        </w:rPr>
      </w:pPr>
      <w:r>
        <w:rPr>
          <w:rFonts w:ascii="Arial" w:cs="Arial" w:eastAsia="Arial" w:hAnsi="Arial"/>
          <w:sz w:val="18"/>
          <w:szCs w:val="18"/>
          <w:color w:val="auto"/>
        </w:rPr>
        <w:t>Although a substantial amount of our effort will focus on the commercialization of WAKIX for the treatment of EDS in adult patients with narcolepsy and cataplexy in adult patients with narcolepsy, we also may seek to identify, in-license or acquire, discover, develop and commercialize additional product candidates in the rare neurological disorders field, and to identify other indications for pitolisant beyond the treatment of EDS in adult patients with narcolepsy and cataplexy in adult patients with narcolepsy. We cannot assure you that our efforts to do so will be successful. Even if we are successful at in-licensing or acquiring additional product candidates, their requisite development activities may require substantial resources, and we cannot assure you that these development activities will result in regulatory approvals. We also cannot assure you that our efforts to develop and commercialize pitolisant for other indications beyond the treatment of EDS in adult patients with narcolepsy and cataplexy in adult patients with narcolepsy will be successful.</w:t>
      </w:r>
    </w:p>
    <w:p>
      <w:pPr>
        <w:spacing w:after="0" w:line="15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Our business, products or product pricing could be subject to negative publicity, which could have a material adverse effect on our reputation, business, financial position, results of operations, liquidity and cash flows.</w:t>
      </w:r>
    </w:p>
    <w:p>
      <w:pPr>
        <w:spacing w:after="0" w:line="148" w:lineRule="exact"/>
        <w:rPr>
          <w:sz w:val="20"/>
          <w:szCs w:val="20"/>
          <w:color w:val="auto"/>
        </w:rPr>
      </w:pPr>
    </w:p>
    <w:p>
      <w:pPr>
        <w:ind w:right="20" w:firstLine="896"/>
        <w:spacing w:after="0" w:line="270" w:lineRule="auto"/>
        <w:rPr>
          <w:sz w:val="20"/>
          <w:szCs w:val="20"/>
          <w:color w:val="auto"/>
        </w:rPr>
      </w:pPr>
      <w:r>
        <w:rPr>
          <w:rFonts w:ascii="Arial" w:cs="Arial" w:eastAsia="Arial" w:hAnsi="Arial"/>
          <w:sz w:val="17"/>
          <w:szCs w:val="17"/>
          <w:color w:val="auto"/>
        </w:rPr>
        <w:t>In recent years, the pharmaceutical industry has been the subject of public complaints and significant publicity regarding the pricing of pharmaceutical products, including publicity and pressure resulting from prices charged by competitors and peer companies for new products as well as price increases by competitors and peer companies on older products that the public has deemed excessive. We may experience downward pricing pressure on the price of WAKIX and any other future approved products due to social or political pressure to lower the cost of drugs, which could reduce our revenue and future profitability. Orphan drugs in particular have received recent negative publicity for the perceived high prices charged for them by their manufacturers, and as a result orphan drug developers such as us may be negatively impacted by such publicity</w:t>
      </w:r>
    </w:p>
    <w:p>
      <w:pPr>
        <w:spacing w:after="0" w:line="17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and any U.S. or other government regulatory response. Due to these factors, we may suffer public criticism and negative publicity in media coverage, by industry trade associations and legislators.</w:t>
      </w:r>
    </w:p>
    <w:p>
      <w:pPr>
        <w:spacing w:after="0" w:line="148" w:lineRule="exact"/>
        <w:rPr>
          <w:sz w:val="20"/>
          <w:szCs w:val="20"/>
          <w:color w:val="auto"/>
        </w:rPr>
      </w:pPr>
    </w:p>
    <w:p>
      <w:pPr>
        <w:ind w:right="160" w:firstLine="896"/>
        <w:spacing w:after="0" w:line="255" w:lineRule="auto"/>
        <w:rPr>
          <w:sz w:val="20"/>
          <w:szCs w:val="20"/>
          <w:color w:val="auto"/>
        </w:rPr>
      </w:pPr>
      <w:r>
        <w:rPr>
          <w:rFonts w:ascii="Arial" w:cs="Arial" w:eastAsia="Arial" w:hAnsi="Arial"/>
          <w:sz w:val="18"/>
          <w:szCs w:val="18"/>
          <w:color w:val="auto"/>
        </w:rPr>
        <w:t>Any of the events or developments described above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liquidity, cash flows and/or share price.</w:t>
      </w:r>
    </w:p>
    <w:p>
      <w:pPr>
        <w:spacing w:after="0" w:line="15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Third-party relationships are important to our business. If we are unable to enter into and maintain strategic collaborations or if these relationships are not successful, our business could be adversely affected.</w:t>
      </w:r>
    </w:p>
    <w:p>
      <w:pPr>
        <w:spacing w:after="0" w:line="134" w:lineRule="exact"/>
        <w:rPr>
          <w:sz w:val="20"/>
          <w:szCs w:val="20"/>
          <w:color w:val="auto"/>
        </w:rPr>
      </w:pPr>
    </w:p>
    <w:p>
      <w:pPr>
        <w:ind w:right="140" w:firstLine="896"/>
        <w:spacing w:after="0" w:line="269" w:lineRule="auto"/>
        <w:rPr>
          <w:sz w:val="20"/>
          <w:szCs w:val="20"/>
          <w:color w:val="auto"/>
        </w:rPr>
      </w:pPr>
      <w:r>
        <w:rPr>
          <w:rFonts w:ascii="Arial" w:cs="Arial" w:eastAsia="Arial" w:hAnsi="Arial"/>
          <w:sz w:val="17"/>
          <w:szCs w:val="17"/>
          <w:color w:val="auto"/>
        </w:rPr>
        <w:t>We have limited product development and distribution capabilities and we do not yet have any product manufacturing capabilities. In addition, 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Relationships we enter into may pose a number of risks, including the following:</w:t>
      </w:r>
    </w:p>
    <w:p>
      <w:pPr>
        <w:spacing w:after="0" w:line="325" w:lineRule="exact"/>
        <w:rPr>
          <w:sz w:val="20"/>
          <w:szCs w:val="20"/>
          <w:color w:val="auto"/>
        </w:rPr>
      </w:pPr>
    </w:p>
    <w:p>
      <w:pPr>
        <w:ind w:left="1340" w:right="340" w:hanging="437"/>
        <w:spacing w:after="0" w:line="27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or future third parties have, and future third-party collaborators may have, significant discretion in determining the efforts and resources that they will apply;</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not perform their obligations as expected;</w:t>
      </w:r>
    </w:p>
    <w:p>
      <w:pPr>
        <w:spacing w:after="0" w:line="368" w:lineRule="exact"/>
        <w:rPr>
          <w:rFonts w:ascii="Arial" w:cs="Arial" w:eastAsia="Arial" w:hAnsi="Arial"/>
          <w:sz w:val="18"/>
          <w:szCs w:val="18"/>
          <w:color w:val="auto"/>
        </w:rPr>
      </w:pPr>
    </w:p>
    <w:p>
      <w:pPr>
        <w:ind w:left="1340" w:right="60" w:hanging="437"/>
        <w:spacing w:after="0" w:line="255"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not pursue development and commercialization of any product candidates that we decide to develop as drugs and that achieve regulatory approval or may elect not to continue or renew development or commercialization programs based on clinical study or trial results, changes in the third parties’ strategic focus or available funding, or external factors, such as a strategic transaction that may divert resources or create competing priorities;</w:t>
      </w:r>
    </w:p>
    <w:p>
      <w:pPr>
        <w:spacing w:after="0" w:line="337" w:lineRule="exact"/>
        <w:rPr>
          <w:rFonts w:ascii="Arial" w:cs="Arial" w:eastAsia="Arial" w:hAnsi="Arial"/>
          <w:sz w:val="18"/>
          <w:szCs w:val="18"/>
          <w:color w:val="auto"/>
        </w:rPr>
      </w:pPr>
    </w:p>
    <w:p>
      <w:pPr>
        <w:jc w:val="both"/>
        <w:ind w:left="1340" w:right="440" w:hanging="437"/>
        <w:spacing w:after="0" w:line="259"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delay preclinical studies or clinical trials, provide insufficient funding for a preclinical study or clinical trial, stop a preclinical study or clinical trial or abandon one of our product candidates, repeat or conduct clinical studies or new clinical trials or require a new formulation of a product candidate for clinical testing;</w:t>
      </w:r>
    </w:p>
    <w:p>
      <w:pPr>
        <w:spacing w:after="0" w:line="332" w:lineRule="exact"/>
        <w:rPr>
          <w:rFonts w:ascii="Arial" w:cs="Arial" w:eastAsia="Arial" w:hAnsi="Arial"/>
          <w:sz w:val="18"/>
          <w:szCs w:val="18"/>
          <w:color w:val="auto"/>
        </w:rPr>
      </w:pPr>
    </w:p>
    <w:p>
      <w:pPr>
        <w:ind w:left="1340" w:right="180" w:hanging="437"/>
        <w:spacing w:after="0" w:line="259"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could independently develop, or develop with other third parties, products that compete directly or indirectly with our products and product candidates if the third parties believe that the competitive products are more likely to be successfully developed or can be commercialized under terms that are more economically attractive than ours;</w:t>
      </w:r>
    </w:p>
    <w:p>
      <w:pPr>
        <w:spacing w:after="0" w:line="332" w:lineRule="exact"/>
        <w:rPr>
          <w:rFonts w:ascii="Arial" w:cs="Arial" w:eastAsia="Arial" w:hAnsi="Arial"/>
          <w:sz w:val="18"/>
          <w:szCs w:val="18"/>
          <w:color w:val="auto"/>
        </w:rPr>
      </w:pPr>
    </w:p>
    <w:p>
      <w:pPr>
        <w:ind w:left="1340" w:hanging="437"/>
        <w:spacing w:after="0" w:line="259"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current or future collaborators as competitive with their own product candidates or products, which may cause such third parties to cease to devote resources to the commercialization of our product candidates;</w:t>
      </w:r>
    </w:p>
    <w:p>
      <w:pPr>
        <w:spacing w:after="0" w:line="332" w:lineRule="exact"/>
        <w:rPr>
          <w:rFonts w:ascii="Arial" w:cs="Arial" w:eastAsia="Arial" w:hAnsi="Arial"/>
          <w:sz w:val="18"/>
          <w:szCs w:val="18"/>
          <w:color w:val="auto"/>
        </w:rPr>
      </w:pPr>
    </w:p>
    <w:p>
      <w:pPr>
        <w:ind w:left="1340" w:right="260" w:hanging="437"/>
        <w:spacing w:after="0" w:line="27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may fail to comply with applicable regulatory requirements regarding the development, manufacture, packaging, labeling, holding, distribution and/or marketing of a product candidate or product;</w:t>
      </w:r>
    </w:p>
    <w:p>
      <w:pPr>
        <w:spacing w:after="0" w:line="321" w:lineRule="exact"/>
        <w:rPr>
          <w:rFonts w:ascii="Arial" w:cs="Arial" w:eastAsia="Arial" w:hAnsi="Arial"/>
          <w:sz w:val="18"/>
          <w:szCs w:val="18"/>
          <w:color w:val="auto"/>
        </w:rPr>
      </w:pPr>
    </w:p>
    <w:p>
      <w:pPr>
        <w:ind w:left="1340" w:right="60" w:hanging="437"/>
        <w:spacing w:after="0" w:line="27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parties with marketing and distribution rights to pitolisant or any future product candidates that achieve regulatory approval may not commit sufficient resources to the marketing and distribution of such product or products;</w:t>
      </w:r>
    </w:p>
    <w:p>
      <w:pPr>
        <w:spacing w:after="0" w:line="321" w:lineRule="exact"/>
        <w:rPr>
          <w:rFonts w:ascii="Arial" w:cs="Arial" w:eastAsia="Arial" w:hAnsi="Arial"/>
          <w:sz w:val="18"/>
          <w:szCs w:val="18"/>
          <w:color w:val="auto"/>
        </w:rPr>
      </w:pPr>
    </w:p>
    <w:p>
      <w:pPr>
        <w:ind w:left="1340" w:right="260" w:hanging="437"/>
        <w:spacing w:after="0" w:line="275" w:lineRule="auto"/>
        <w:tabs>
          <w:tab w:leader="none" w:pos="1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disagreements with third parties, including disagreements over proprietary rights, contract interpretation or the preferred course of development, might cause delays or terminations of the research, development or commercialization of pitolisant or any future product candidates, might lead to additional responsibilities for us with respect to pitolisant or any future product candidates, or might result in litigation or arbitration, any of which would be time-consuming and expensive;</w:t>
      </w:r>
    </w:p>
    <w:p>
      <w:pPr>
        <w:spacing w:after="0" w:line="36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right="120" w:hanging="437"/>
        <w:spacing w:after="0" w:line="259"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332" w:lineRule="exact"/>
        <w:rPr>
          <w:rFonts w:ascii="Arial" w:cs="Arial" w:eastAsia="Arial" w:hAnsi="Arial"/>
          <w:sz w:val="18"/>
          <w:szCs w:val="18"/>
          <w:color w:val="auto"/>
        </w:rPr>
      </w:pPr>
    </w:p>
    <w:p>
      <w:pPr>
        <w:ind w:left="1340" w:hanging="437"/>
        <w:spacing w:after="0"/>
        <w:tabs>
          <w:tab w:leader="none" w:pos="1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third parties may infringe the intellectual property rights of other third parties, which may expose us to litigation and potential liability;</w:t>
      </w:r>
    </w:p>
    <w:p>
      <w:pPr>
        <w:spacing w:after="0" w:line="379" w:lineRule="exact"/>
        <w:rPr>
          <w:rFonts w:ascii="Arial" w:cs="Arial" w:eastAsia="Arial" w:hAnsi="Arial"/>
          <w:sz w:val="17"/>
          <w:szCs w:val="17"/>
          <w:color w:val="auto"/>
        </w:rPr>
      </w:pPr>
    </w:p>
    <w:p>
      <w:pPr>
        <w:ind w:left="1340" w:right="420" w:hanging="437"/>
        <w:spacing w:after="0" w:line="271"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one of our third parties is involved in a business combination, the collaborator might deemphasize or terminate the development or commercialization of any product candidate licensed to it by us; and</w:t>
      </w:r>
    </w:p>
    <w:p>
      <w:pPr>
        <w:spacing w:after="0" w:line="321" w:lineRule="exact"/>
        <w:rPr>
          <w:rFonts w:ascii="Arial" w:cs="Arial" w:eastAsia="Arial" w:hAnsi="Arial"/>
          <w:sz w:val="18"/>
          <w:szCs w:val="18"/>
          <w:color w:val="auto"/>
        </w:rPr>
      </w:pPr>
    </w:p>
    <w:p>
      <w:pPr>
        <w:ind w:left="1340" w:right="220" w:hanging="437"/>
        <w:spacing w:after="0" w:line="271"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relationships may be terminated by the collaborator, and, if terminated, we could be required to raise additional capital to pursue further development or commercialization of the applicable product candidates.</w:t>
      </w:r>
    </w:p>
    <w:p>
      <w:pPr>
        <w:spacing w:after="0" w:line="322"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If our relationships do not result in the successful discovery, development and commercialization of products or if a third party terminates its agreement with us, we may not receive any future research funding or milestone or royalty payments under the collaboration. If we do not receive the funding we expect under any third party agreements we enter into, our development of pitolisant or any future product candidates could be delayed and we may need additional resources. Additionally, if any third party terminates its agreement with us, we may find it more difficult to attract new collaborators and our perception in the business and financial communities could be adversely affected.</w:t>
      </w:r>
    </w:p>
    <w:p>
      <w:pPr>
        <w:spacing w:after="0" w:line="166" w:lineRule="exact"/>
        <w:rPr>
          <w:sz w:val="20"/>
          <w:szCs w:val="20"/>
          <w:color w:val="auto"/>
        </w:rPr>
      </w:pPr>
    </w:p>
    <w:p>
      <w:pPr>
        <w:ind w:right="20" w:firstLine="896"/>
        <w:spacing w:after="0" w:line="266" w:lineRule="auto"/>
        <w:rPr>
          <w:sz w:val="20"/>
          <w:szCs w:val="20"/>
          <w:color w:val="auto"/>
        </w:rPr>
      </w:pPr>
      <w:r>
        <w:rPr>
          <w:rFonts w:ascii="Arial" w:cs="Arial" w:eastAsia="Arial" w:hAnsi="Arial"/>
          <w:sz w:val="17"/>
          <w:szCs w:val="17"/>
          <w:color w:val="auto"/>
        </w:rPr>
        <w:t>Relationships are complex and time-consuming to negotiate and document. In addition, there have been a significant number of recent business combinations among large pharmaceutical companies that have resulted in a reduced number of future collaborators.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third parties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relationships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w:t>
      </w:r>
    </w:p>
    <w:p>
      <w:pPr>
        <w:spacing w:after="0" w:line="142" w:lineRule="exact"/>
        <w:rPr>
          <w:sz w:val="20"/>
          <w:szCs w:val="20"/>
          <w:color w:val="auto"/>
        </w:rPr>
      </w:pPr>
    </w:p>
    <w:p>
      <w:pPr>
        <w:jc w:val="both"/>
        <w:ind w:right="300"/>
        <w:spacing w:after="0" w:line="307" w:lineRule="auto"/>
        <w:rPr>
          <w:sz w:val="20"/>
          <w:szCs w:val="20"/>
          <w:color w:val="auto"/>
        </w:rPr>
      </w:pPr>
      <w:r>
        <w:rPr>
          <w:rFonts w:ascii="Arial" w:cs="Arial" w:eastAsia="Arial" w:hAnsi="Arial"/>
          <w:sz w:val="16"/>
          <w:szCs w:val="16"/>
          <w:b w:val="1"/>
          <w:bCs w:val="1"/>
          <w:i w:val="1"/>
          <w:iCs w:val="1"/>
          <w:color w:val="auto"/>
        </w:rPr>
        <w:t>We expect to rely on third parties to conduct our clinical trials for pitolisant and any future product candidate that we decide to develop. If these third parties do not successfully carry out their contractual duties, meet expected deadlines or comply with regulatory requirements, we may not be able to obtain regulatory approval of or commercialize any potential product candidates on a timely basis or at all.</w:t>
      </w:r>
    </w:p>
    <w:p>
      <w:pPr>
        <w:spacing w:after="0" w:line="110" w:lineRule="exact"/>
        <w:rPr>
          <w:sz w:val="20"/>
          <w:szCs w:val="20"/>
          <w:color w:val="auto"/>
        </w:rPr>
      </w:pPr>
    </w:p>
    <w:p>
      <w:pPr>
        <w:ind w:right="40" w:firstLine="896"/>
        <w:spacing w:after="0" w:line="259" w:lineRule="auto"/>
        <w:rPr>
          <w:sz w:val="20"/>
          <w:szCs w:val="20"/>
          <w:color w:val="auto"/>
        </w:rPr>
      </w:pPr>
      <w:r>
        <w:rPr>
          <w:rFonts w:ascii="Arial" w:cs="Arial" w:eastAsia="Arial" w:hAnsi="Arial"/>
          <w:sz w:val="18"/>
          <w:szCs w:val="18"/>
          <w:color w:val="auto"/>
        </w:rPr>
        <w:t>We will continue to rely upon third parties, including independent investigators, to conduct preclinical studies or clinical trials under agreements with universities, medical institutions, CROs, strategic partners and others. We expect to have to negotiate budgets and contracts with CROs and study or trial sites, which may result in delays to our development timelines and increased costs.</w:t>
      </w:r>
    </w:p>
    <w:p>
      <w:pPr>
        <w:spacing w:after="0" w:line="159" w:lineRule="exact"/>
        <w:rPr>
          <w:sz w:val="20"/>
          <w:szCs w:val="20"/>
          <w:color w:val="auto"/>
        </w:rPr>
      </w:pPr>
    </w:p>
    <w:p>
      <w:pPr>
        <w:ind w:right="40" w:firstLine="896"/>
        <w:spacing w:after="0" w:line="290" w:lineRule="auto"/>
        <w:rPr>
          <w:sz w:val="20"/>
          <w:szCs w:val="20"/>
          <w:color w:val="auto"/>
        </w:rPr>
      </w:pPr>
      <w:r>
        <w:rPr>
          <w:rFonts w:ascii="Arial" w:cs="Arial" w:eastAsia="Arial" w:hAnsi="Arial"/>
          <w:sz w:val="16"/>
          <w:szCs w:val="16"/>
          <w:color w:val="auto"/>
        </w:rPr>
        <w:t>We will have to rely heavily on third parties over the course of our preclinical studies and clinical trials and, as a result, will have limited control over the clinical investigators and limited visibility into their day-to-day activities, including with respect to their compliance with the approved clinical protocol and regulatory requirements. Nevertheless, we are responsible for ensuring that each of our preclinical studies and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for clinical trials, which are regulations and guidelines enforced by the FDA and comparable foreign regulatory authorities for product candidates in clinical development.</w:t>
      </w:r>
    </w:p>
    <w:p>
      <w:pPr>
        <w:spacing w:after="0" w:line="16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firstLine="896"/>
        <w:spacing w:after="0" w:line="287" w:lineRule="auto"/>
        <w:rPr>
          <w:sz w:val="20"/>
          <w:szCs w:val="20"/>
          <w:color w:val="auto"/>
        </w:rPr>
      </w:pPr>
      <w:r>
        <w:rPr>
          <w:rFonts w:ascii="Arial" w:cs="Arial" w:eastAsia="Arial" w:hAnsi="Arial"/>
          <w:sz w:val="16"/>
          <w:szCs w:val="16"/>
          <w:color w:val="auto"/>
        </w:rPr>
        <w:t>Regulatory authorities enforce these GCP requirements through periodic inspections of study or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clinical trials or perform additional clinical trials before approving our marketing applications. We cannot be certain that, upon inspection, such regulatory authorities will determine that any of our clinical trials comply with the GCP or other applicable requirements. In addition, our clinical trials must be conducted with drug products produced under cGMP requirements and may require a large number of patients. Our failure or any failure by these third parties to comply with these regulations, which would delay the regulatory approval or commercialization process. Moreover, our business may be implicated if any of these third parties violates federal or state laws or regulations including fraud and abuse or false claims laws and regulations or healthcare privacy and security laws.</w:t>
      </w:r>
    </w:p>
    <w:p>
      <w:pPr>
        <w:spacing w:after="0" w:line="139" w:lineRule="exact"/>
        <w:rPr>
          <w:sz w:val="20"/>
          <w:szCs w:val="20"/>
          <w:color w:val="auto"/>
        </w:rPr>
      </w:pPr>
    </w:p>
    <w:p>
      <w:pPr>
        <w:ind w:right="60" w:firstLine="896"/>
        <w:spacing w:after="0" w:line="286" w:lineRule="auto"/>
        <w:rPr>
          <w:sz w:val="20"/>
          <w:szCs w:val="20"/>
          <w:color w:val="auto"/>
        </w:rPr>
      </w:pPr>
      <w:r>
        <w:rPr>
          <w:rFonts w:ascii="Arial" w:cs="Arial" w:eastAsia="Arial" w:hAnsi="Arial"/>
          <w:sz w:val="16"/>
          <w:szCs w:val="16"/>
          <w:color w:val="auto"/>
        </w:rPr>
        <w:t>Any parties conducting our future clinical trials, if any, generally will not be our employees and, except for remedies that may be available to us under our agreements with the third parties conducting such clinical trials, if any, we cannot control whether or not they devote sufficient time and resources to our ongoing preclinical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current and future product candidates. As a result, our financial results and the commercial prospects for our current and future product candidates would be harmed, our costs could increase and our ability to generate revenue could be delayed.</w:t>
      </w:r>
    </w:p>
    <w:p>
      <w:pPr>
        <w:spacing w:after="0" w:line="126" w:lineRule="exact"/>
        <w:rPr>
          <w:sz w:val="20"/>
          <w:szCs w:val="20"/>
          <w:color w:val="auto"/>
        </w:rPr>
      </w:pPr>
    </w:p>
    <w:p>
      <w:pPr>
        <w:ind w:firstLine="896"/>
        <w:spacing w:after="0" w:line="290" w:lineRule="auto"/>
        <w:rPr>
          <w:sz w:val="20"/>
          <w:szCs w:val="20"/>
          <w:color w:val="auto"/>
        </w:rPr>
      </w:pPr>
      <w:r>
        <w:rPr>
          <w:rFonts w:ascii="Arial" w:cs="Arial" w:eastAsia="Arial" w:hAnsi="Arial"/>
          <w:sz w:val="16"/>
          <w:szCs w:val="16"/>
          <w:color w:val="auto"/>
        </w:rPr>
        <w:t>If any of our relationships with these third-party CROs or others terminate, we may not be able to enter into contractual and other arrangements with alternative CROs or other third parties in a timely manner to meet projected clinical development deadlines or to do so on commercially reasonable terms. Switching or adding additional CROs involves additional cost and requires management time and focus. In addition, there is a natural transition period when a new CRO begins work. As a result, delays may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24" w:lineRule="exact"/>
        <w:rPr>
          <w:sz w:val="20"/>
          <w:szCs w:val="20"/>
          <w:color w:val="auto"/>
        </w:rPr>
      </w:pPr>
    </w:p>
    <w:p>
      <w:pPr>
        <w:ind w:right="220" w:firstLine="896"/>
        <w:spacing w:after="0" w:line="335" w:lineRule="auto"/>
        <w:rPr>
          <w:sz w:val="20"/>
          <w:szCs w:val="20"/>
          <w:color w:val="auto"/>
        </w:rPr>
      </w:pPr>
      <w:r>
        <w:rPr>
          <w:rFonts w:ascii="Arial" w:cs="Arial" w:eastAsia="Arial" w:hAnsi="Arial"/>
          <w:sz w:val="16"/>
          <w:szCs w:val="16"/>
          <w:color w:val="auto"/>
        </w:rPr>
        <w:t>If we experience delays in meeting or fail to meet the regulatory requirements for commercialization of our current or future potential product candidates, the commercial prospects for our product candidates may be harmed and our ability to generate revenues will be materially impaired.</w:t>
      </w:r>
    </w:p>
    <w:p>
      <w:pPr>
        <w:spacing w:after="0" w:line="10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rely completely on third parties to manufacture and distribute our supply of WAKIX, including certain sole-source suppliers and manufacturers, and intend to rely on third parties to manufacture and distribute any future product candidates.</w:t>
      </w:r>
    </w:p>
    <w:p>
      <w:pPr>
        <w:spacing w:after="0" w:line="134" w:lineRule="exact"/>
        <w:rPr>
          <w:sz w:val="20"/>
          <w:szCs w:val="20"/>
          <w:color w:val="auto"/>
        </w:rPr>
      </w:pPr>
    </w:p>
    <w:p>
      <w:pPr>
        <w:ind w:right="20" w:firstLine="896"/>
        <w:spacing w:after="0" w:line="267" w:lineRule="auto"/>
        <w:rPr>
          <w:sz w:val="20"/>
          <w:szCs w:val="20"/>
          <w:color w:val="auto"/>
        </w:rPr>
      </w:pPr>
      <w:r>
        <w:rPr>
          <w:rFonts w:ascii="Arial" w:cs="Arial" w:eastAsia="Arial" w:hAnsi="Arial"/>
          <w:sz w:val="17"/>
          <w:szCs w:val="17"/>
          <w:color w:val="auto"/>
        </w:rPr>
        <w:t>We do not currently have, nor do we plan to acquire, the infrastructure or capability to manufacture or distribute commercial quantities of WAKIX. Our ability to commercially supply WAKIX depends, in part, on the ability of third-party manufacturers to supply and manufacture the raw materials, API and other important components related to the manufacture of WAKIX. We also rely on third parties to package the finished product. These third-party manufacturers have limited experience manufacturing the raw materials and API for WAKIX to be supplied to patients in the United States. Prior to the approval of WAKIX, we experienced minor issues related to product specifications and other minor delays in supply related to our third-party suppliers and manufacturers. While we continue to work with our third-party suppliers and manufacturers to optimize the manufacturing process for WAKIX and will work to optimize the manufacturing process for any future product candidates, we cannot guarantee that even minor changes in the process will result in products that are safe and, where applicable, effective. If we fail to develop and maintain supply relationships with these third parties, we may be unable to continue to successfully commercialize WAKIX.</w:t>
      </w:r>
    </w:p>
    <w:p>
      <w:pPr>
        <w:spacing w:after="0" w:line="143" w:lineRule="exact"/>
        <w:rPr>
          <w:sz w:val="20"/>
          <w:szCs w:val="20"/>
          <w:color w:val="auto"/>
        </w:rPr>
      </w:pPr>
    </w:p>
    <w:p>
      <w:pPr>
        <w:ind w:right="100" w:firstLine="896"/>
        <w:spacing w:after="0" w:line="259" w:lineRule="auto"/>
        <w:rPr>
          <w:sz w:val="20"/>
          <w:szCs w:val="20"/>
          <w:color w:val="auto"/>
        </w:rPr>
      </w:pPr>
      <w:r>
        <w:rPr>
          <w:rFonts w:ascii="Arial" w:cs="Arial" w:eastAsia="Arial" w:hAnsi="Arial"/>
          <w:sz w:val="18"/>
          <w:szCs w:val="18"/>
          <w:color w:val="auto"/>
        </w:rPr>
        <w:t>We rely and will continue to rely on certain third parties as the sole source of the materials they supply or the finished products they manufacture. For example, we rely on Interor S.A., Corden Pharma Chenôve SAS and Patheon UK Limited to provide intermediate supply ingredients, API and finished products, respectively.</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rely on our suppliers and manufacturers to purchase materials from other third parties. Any of our existing suppliers or manufacturers may:</w:t>
      </w:r>
    </w:p>
    <w:p>
      <w:pPr>
        <w:spacing w:after="0" w:line="391" w:lineRule="exact"/>
        <w:rPr>
          <w:sz w:val="20"/>
          <w:szCs w:val="20"/>
          <w:color w:val="auto"/>
        </w:rPr>
      </w:pPr>
    </w:p>
    <w:p>
      <w:pPr>
        <w:ind w:left="1340" w:right="420" w:hanging="437"/>
        <w:spacing w:after="0" w:line="271"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 to supply us with product on a timely basis or in the requested amount due to unexpected damage to or destruction of facilities or equipment or otherwise;</w:t>
      </w:r>
    </w:p>
    <w:p>
      <w:pPr>
        <w:spacing w:after="0" w:line="321" w:lineRule="exact"/>
        <w:rPr>
          <w:rFonts w:ascii="Arial" w:cs="Arial" w:eastAsia="Arial" w:hAnsi="Arial"/>
          <w:sz w:val="18"/>
          <w:szCs w:val="18"/>
          <w:color w:val="auto"/>
        </w:rPr>
      </w:pPr>
    </w:p>
    <w:p>
      <w:pPr>
        <w:ind w:left="1340" w:right="220" w:hanging="437"/>
        <w:spacing w:after="0" w:line="271"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 unable to meet our production demands due to issues related to their reliance on sole- source suppliers and manufacturers;</w:t>
      </w:r>
    </w:p>
    <w:p>
      <w:pPr>
        <w:spacing w:after="0" w:line="379" w:lineRule="exact"/>
        <w:rPr>
          <w:rFonts w:ascii="Arial" w:cs="Arial" w:eastAsia="Arial" w:hAnsi="Arial"/>
          <w:sz w:val="17"/>
          <w:szCs w:val="17"/>
          <w:color w:val="auto"/>
        </w:rPr>
      </w:pPr>
    </w:p>
    <w:p>
      <w:pPr>
        <w:ind w:left="1340" w:hanging="43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us with product that fails to meet regulatory requirements;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become unavailable through business interruption or financial insolvency;</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lose regulatory status as an approved source;</w:t>
      </w:r>
    </w:p>
    <w:p>
      <w:pPr>
        <w:spacing w:after="0" w:line="368" w:lineRule="exact"/>
        <w:rPr>
          <w:rFonts w:ascii="Arial" w:cs="Arial" w:eastAsia="Arial" w:hAnsi="Arial"/>
          <w:sz w:val="18"/>
          <w:szCs w:val="18"/>
          <w:color w:val="auto"/>
        </w:rPr>
      </w:pPr>
    </w:p>
    <w:p>
      <w:pPr>
        <w:ind w:left="1340" w:right="140" w:hanging="437"/>
        <w:spacing w:after="0" w:line="271"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unable or unwilling to (i) honor current supply agreements or (ii) renew current supply agreements when such agreements expire on a timely basis, on acceptable terms or at all; or</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discontinue production or manufacturing of necessary drug substances or products.</w:t>
      </w:r>
    </w:p>
    <w:p>
      <w:pPr>
        <w:spacing w:after="0" w:line="368" w:lineRule="exact"/>
        <w:rPr>
          <w:sz w:val="20"/>
          <w:szCs w:val="20"/>
          <w:color w:val="auto"/>
        </w:rPr>
      </w:pPr>
    </w:p>
    <w:p>
      <w:pPr>
        <w:ind w:right="120" w:firstLine="896"/>
        <w:spacing w:after="0" w:line="287" w:lineRule="auto"/>
        <w:rPr>
          <w:sz w:val="20"/>
          <w:szCs w:val="20"/>
          <w:color w:val="auto"/>
        </w:rPr>
      </w:pPr>
      <w:r>
        <w:rPr>
          <w:rFonts w:ascii="Arial" w:cs="Arial" w:eastAsia="Arial" w:hAnsi="Arial"/>
          <w:sz w:val="16"/>
          <w:szCs w:val="16"/>
          <w:color w:val="auto"/>
        </w:rPr>
        <w:t>In the event of any of the foregoing, if we do not have an alternative supplier or manufacturer in place, we would be required to expend substantial management time and expense to identify, qualify and transfer technical processes to alternative suppliers or manufacturers. Transferring technology to other sites may require additional processes, technologies and validation studies, which are costly, may take considerable amounts of time, may not be successful and, in most cases, require review and approval by the FDA. Any need to find and qualify new suppliers or manufacturers could significantly delay production of WAKIX, adversely impact our ability to market WAKIX and adversely affect our business. There can be no assurance that replacements would be available to us on a timely basis, on acceptable terms or at all. Additionally, we and our manufacturers do not currently maintain significant inventory of drug substances and other materials beyond our currently forecasted needs. Any interruption in the supply of a drug substance or other material or in the manufacture of WAKIX could have a material adverse effect on our business, financial condition, operating results and prospects.</w:t>
      </w:r>
    </w:p>
    <w:p>
      <w:pPr>
        <w:spacing w:after="0" w:line="126" w:lineRule="exact"/>
        <w:rPr>
          <w:sz w:val="20"/>
          <w:szCs w:val="20"/>
          <w:color w:val="auto"/>
        </w:rPr>
      </w:pPr>
    </w:p>
    <w:p>
      <w:pPr>
        <w:ind w:firstLine="896"/>
        <w:spacing w:after="0" w:line="267" w:lineRule="auto"/>
        <w:rPr>
          <w:sz w:val="20"/>
          <w:szCs w:val="20"/>
          <w:color w:val="auto"/>
        </w:rPr>
      </w:pPr>
      <w:r>
        <w:rPr>
          <w:rFonts w:ascii="Arial" w:cs="Arial" w:eastAsia="Arial" w:hAnsi="Arial"/>
          <w:sz w:val="17"/>
          <w:szCs w:val="17"/>
          <w:color w:val="auto"/>
        </w:rPr>
        <w:t>Additionally, although we are ultimately responsible for ensuring compliance with regulatory requirements such as cGMPs, we are dependent on our contract suppliers and manufacturers for day-to-day compliance with cGMP for production of both drug substances and finished products. Facilities used by our contract suppliers and manufacturers to produce the drug substances and materials or finished products for commercial sale must pass inspection and be approved by the FDA and other relevant regulatory authorities. A number of our contract suppliers and manufacturers must comply with cGMP requirements enforced by the FDA through its facilities inspection program and review of submitted technical information. If the safety of WAKIX is compromised due to a failure to adhere to applicable laws or for other reasons, we may not be able to successfully commercialize our product and we may be held liable for injuries sustained as a result. In addition, the manufacturing facilities of certain of our suppliers are located outside of the United States. This may give rise to difficulties in importing our product into the United States or other countries as a result of, among other things, regulatory agency approval requirements, taxes, tariffs, local import requirements such as import duties or inspections, incomplete or inaccurate import documentation or defective packaging.</w:t>
      </w:r>
    </w:p>
    <w:p>
      <w:pPr>
        <w:spacing w:after="0" w:line="1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of these factors could adversely impact our ability to effectively commercialize WAKIX.</w:t>
      </w:r>
    </w:p>
    <w:p>
      <w:pPr>
        <w:spacing w:after="0" w:line="181"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b w:val="1"/>
          <w:bCs w:val="1"/>
          <w:i w:val="1"/>
          <w:iCs w:val="1"/>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12" w:lineRule="exact"/>
        <w:rPr>
          <w:sz w:val="20"/>
          <w:szCs w:val="20"/>
          <w:color w:val="auto"/>
        </w:rPr>
      </w:pPr>
    </w:p>
    <w:p>
      <w:pPr>
        <w:ind w:right="20" w:firstLine="896"/>
        <w:spacing w:after="0" w:line="255" w:lineRule="auto"/>
        <w:rPr>
          <w:sz w:val="20"/>
          <w:szCs w:val="20"/>
          <w:color w:val="auto"/>
        </w:rPr>
      </w:pPr>
      <w:r>
        <w:rPr>
          <w:rFonts w:ascii="Arial" w:cs="Arial" w:eastAsia="Arial" w:hAnsi="Arial"/>
          <w:sz w:val="18"/>
          <w:szCs w:val="18"/>
          <w:color w:val="auto"/>
        </w:rPr>
        <w:t>Competition from other biotechnology and pharmaceutical companies is intense and is expected to increase. There may be a number of companies pursuing the development of pharmaceuticals in rare neurological disorders, our area of focus. These companies may be very large, and may have financial, technical, sales and distribution and other resources substantially greater than ours. The greater resources of these competitors may enable them to develop, obtain regulatory approval for or market competing products</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ind w:right="220"/>
        <w:spacing w:after="0" w:line="284" w:lineRule="auto"/>
        <w:rPr>
          <w:sz w:val="20"/>
          <w:szCs w:val="20"/>
          <w:color w:val="auto"/>
        </w:rPr>
      </w:pPr>
      <w:r>
        <w:rPr>
          <w:rFonts w:ascii="Arial" w:cs="Arial" w:eastAsia="Arial" w:hAnsi="Arial"/>
          <w:sz w:val="16"/>
          <w:szCs w:val="16"/>
          <w:color w:val="auto"/>
        </w:rPr>
        <w:t>more quickly or effectively, making it extremely difficult for us to capture a share of the market for our product. 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w:t>
      </w:r>
    </w:p>
    <w:p>
      <w:pPr>
        <w:spacing w:after="0" w:line="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Generic competition often results in decreases in the prices at which branded products can be sold. 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We also face competition from off-label uses of approved drugs. Additionally, the biotechnology and pharmaceutical industries are subject to rapid changes in science, and our competitors may develop and market products with improved therapeutic profiles relative to pitolisant or any future product candidates that would render pitolisant or any future product candidates noncompetitive.</w:t>
      </w:r>
    </w:p>
    <w:p>
      <w:pPr>
        <w:spacing w:after="0" w:line="17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may need to increase the size and capabilities of our organization based on business need, and we may experience difficulties in managing our growth.</w:t>
      </w:r>
    </w:p>
    <w:p>
      <w:pPr>
        <w:spacing w:after="0" w:line="134" w:lineRule="exact"/>
        <w:rPr>
          <w:sz w:val="20"/>
          <w:szCs w:val="20"/>
          <w:color w:val="auto"/>
        </w:rPr>
      </w:pPr>
    </w:p>
    <w:p>
      <w:pPr>
        <w:ind w:right="80" w:firstLine="896"/>
        <w:spacing w:after="0" w:line="255" w:lineRule="auto"/>
        <w:rPr>
          <w:sz w:val="20"/>
          <w:szCs w:val="20"/>
          <w:color w:val="auto"/>
        </w:rPr>
      </w:pPr>
      <w:r>
        <w:rPr>
          <w:rFonts w:ascii="Arial" w:cs="Arial" w:eastAsia="Arial" w:hAnsi="Arial"/>
          <w:sz w:val="18"/>
          <w:szCs w:val="18"/>
          <w:color w:val="auto"/>
        </w:rPr>
        <w:t>We commenced operations in 2017 and, as of December 31, 2020, had approximately 150 employees. As we advance the development of pitolisant in other indications and commercialize WAKIX as a treatment for EDS in adult patients with narcolepsy and cataplexy in adult patients with narcolepsy, we must continue to grow the size of the organization. Future growth will impose significant added responsibilities on members of management, including:</w:t>
      </w:r>
    </w:p>
    <w:p>
      <w:pPr>
        <w:spacing w:after="0" w:line="337" w:lineRule="exact"/>
        <w:rPr>
          <w:sz w:val="20"/>
          <w:szCs w:val="20"/>
          <w:color w:val="auto"/>
        </w:rPr>
      </w:pPr>
    </w:p>
    <w:p>
      <w:pPr>
        <w:ind w:left="1340" w:hanging="43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368" w:lineRule="exact"/>
        <w:rPr>
          <w:rFonts w:ascii="Arial" w:cs="Arial" w:eastAsia="Arial" w:hAnsi="Arial"/>
          <w:sz w:val="18"/>
          <w:szCs w:val="18"/>
          <w:color w:val="auto"/>
        </w:rPr>
      </w:pPr>
    </w:p>
    <w:p>
      <w:pPr>
        <w:ind w:left="1340" w:right="40" w:hanging="437"/>
        <w:spacing w:after="0" w:line="271"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effectively managing our development efforts, including the clinical development and FDA or other regulatory authority review processes for pitolisant or any future product candidates;</w:t>
      </w:r>
    </w:p>
    <w:p>
      <w:pPr>
        <w:spacing w:after="0" w:line="321" w:lineRule="exact"/>
        <w:rPr>
          <w:rFonts w:ascii="Arial" w:cs="Arial" w:eastAsia="Arial" w:hAnsi="Arial"/>
          <w:sz w:val="18"/>
          <w:szCs w:val="18"/>
          <w:color w:val="auto"/>
        </w:rPr>
      </w:pPr>
    </w:p>
    <w:p>
      <w:pPr>
        <w:ind w:left="1340" w:right="240" w:hanging="437"/>
        <w:spacing w:after="0" w:line="271"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effectively managing any third-party service providers involved in the development and manufacture of pitolisant or any future product candidates; and</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368" w:lineRule="exact"/>
        <w:rPr>
          <w:sz w:val="20"/>
          <w:szCs w:val="20"/>
          <w:color w:val="auto"/>
        </w:rPr>
      </w:pPr>
    </w:p>
    <w:p>
      <w:pPr>
        <w:ind w:right="480" w:firstLine="896"/>
        <w:spacing w:after="0" w:line="307" w:lineRule="auto"/>
        <w:rPr>
          <w:sz w:val="20"/>
          <w:szCs w:val="20"/>
          <w:color w:val="auto"/>
        </w:rPr>
      </w:pPr>
      <w:r>
        <w:rPr>
          <w:rFonts w:ascii="Arial" w:cs="Arial" w:eastAsia="Arial" w:hAnsi="Arial"/>
          <w:sz w:val="16"/>
          <w:szCs w:val="16"/>
          <w:color w:val="auto"/>
        </w:rPr>
        <w:t>Our future financial performance and our ability to successfully develop and commercialize WAKIX or any future product candidates will depend, in part, on our ability to effectively manage any future growth. Our management will have to dedicate a significant amount of its attention to managing these growth activities. In addition, we expect to incur additional costs in hiring, training and retaining such additional personnel.</w:t>
      </w:r>
    </w:p>
    <w:p>
      <w:pPr>
        <w:spacing w:after="0" w:line="110" w:lineRule="exact"/>
        <w:rPr>
          <w:sz w:val="20"/>
          <w:szCs w:val="20"/>
          <w:color w:val="auto"/>
        </w:rPr>
      </w:pPr>
    </w:p>
    <w:p>
      <w:pPr>
        <w:ind w:right="140" w:firstLine="896"/>
        <w:spacing w:after="0" w:line="335" w:lineRule="auto"/>
        <w:rPr>
          <w:sz w:val="20"/>
          <w:szCs w:val="20"/>
          <w:color w:val="auto"/>
        </w:rPr>
      </w:pPr>
      <w:r>
        <w:rPr>
          <w:rFonts w:ascii="Arial" w:cs="Arial" w:eastAsia="Arial" w:hAnsi="Arial"/>
          <w:sz w:val="16"/>
          <w:szCs w:val="16"/>
          <w:color w:val="auto"/>
        </w:rPr>
        <w:t>If we are not able to effectively expand our organization, we may not be able to successfully execute the tasks necessary to further develop and commercialize pitolisant or any future product candidates and, accordingly, may not achieve our research, development and commercialization goals.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94" w:lineRule="exact"/>
        <w:rPr>
          <w:sz w:val="20"/>
          <w:szCs w:val="20"/>
          <w:color w:val="auto"/>
        </w:rPr>
      </w:pPr>
    </w:p>
    <w:p>
      <w:pPr>
        <w:ind w:right="60" w:firstLine="896"/>
        <w:spacing w:after="0" w:line="259" w:lineRule="auto"/>
        <w:rPr>
          <w:sz w:val="20"/>
          <w:szCs w:val="20"/>
          <w:color w:val="auto"/>
        </w:rPr>
      </w:pPr>
      <w:r>
        <w:rPr>
          <w:rFonts w:ascii="Arial" w:cs="Arial" w:eastAsia="Arial" w:hAnsi="Arial"/>
          <w:sz w:val="18"/>
          <w:szCs w:val="18"/>
          <w:color w:val="auto"/>
        </w:rPr>
        <w:t>We are highly dependent on the principal members of our management and scientific teams. We do not maintain “key person” insurance for any of our executives or other employees. The loss of the services of any of these persons could impede the achievement of our research, development and commercialization objectives.</w:t>
      </w:r>
    </w:p>
    <w:p>
      <w:pPr>
        <w:spacing w:after="0" w:line="146" w:lineRule="exact"/>
        <w:rPr>
          <w:sz w:val="20"/>
          <w:szCs w:val="20"/>
          <w:color w:val="auto"/>
        </w:rPr>
      </w:pPr>
    </w:p>
    <w:p>
      <w:pPr>
        <w:jc w:val="both"/>
        <w:ind w:right="200" w:firstLine="896"/>
        <w:spacing w:after="0" w:line="255"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equity award grants that vest over time. The value to employees of these equity grants that vest over time may be significantly affected by changes in the price of our common stock that are beyond our control, and may at any time be insufficient to retain employees who receive more lucrative offers from other companies. Any of our employees could leave our employment at any time, with or without notice.</w:t>
      </w:r>
    </w:p>
    <w:p>
      <w:pPr>
        <w:spacing w:after="0" w:line="150" w:lineRule="exact"/>
        <w:rPr>
          <w:sz w:val="20"/>
          <w:szCs w:val="20"/>
          <w:color w:val="auto"/>
        </w:rPr>
      </w:pPr>
    </w:p>
    <w:p>
      <w:pPr>
        <w:ind w:firstLine="896"/>
        <w:spacing w:after="0" w:line="293" w:lineRule="auto"/>
        <w:rPr>
          <w:sz w:val="20"/>
          <w:szCs w:val="20"/>
          <w:color w:val="auto"/>
        </w:rPr>
      </w:pPr>
      <w:r>
        <w:rPr>
          <w:rFonts w:ascii="Arial" w:cs="Arial" w:eastAsia="Arial" w:hAnsi="Arial"/>
          <w:sz w:val="16"/>
          <w:szCs w:val="16"/>
          <w:color w:val="auto"/>
        </w:rPr>
        <w:t>Recruiting and retaining qualified operations, finance and accounting, quality and compliance, scientific, clinical, manufacturing and sales and marketing personnel or consultants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If we are unable to attract, retain and motivate qualified and experienced personnel, it could harm our business, results of operations and financial condition. Even if we are successful in attracting and retaining such personnel,</w:t>
      </w:r>
    </w:p>
    <w:p>
      <w:pPr>
        <w:spacing w:after="0" w:line="16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competition for such employees may significantly increase our compensation costs and adversely affect our business, results of operations and financial condition.</w:t>
      </w:r>
    </w:p>
    <w:p>
      <w:pPr>
        <w:spacing w:after="0" w:line="148" w:lineRule="exact"/>
        <w:rPr>
          <w:sz w:val="20"/>
          <w:szCs w:val="20"/>
          <w:color w:val="auto"/>
        </w:rPr>
      </w:pPr>
    </w:p>
    <w:p>
      <w:pPr>
        <w:ind w:right="180" w:firstLine="896"/>
        <w:spacing w:after="0" w:line="252" w:lineRule="auto"/>
        <w:rPr>
          <w:sz w:val="20"/>
          <w:szCs w:val="20"/>
          <w:color w:val="auto"/>
        </w:rPr>
      </w:pPr>
      <w:r>
        <w:rPr>
          <w:rFonts w:ascii="Arial" w:cs="Arial" w:eastAsia="Arial" w:hAnsi="Arial"/>
          <w:sz w:val="18"/>
          <w:szCs w:val="18"/>
          <w:color w:val="auto"/>
        </w:rPr>
        <w:t>The loss of the services of any of our executive officers, key employees or consultants could seriously harm our ability to successfully implement our business strategy. Replacing executive officers, key employees or consultants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54" w:lineRule="exact"/>
        <w:rPr>
          <w:sz w:val="20"/>
          <w:szCs w:val="20"/>
          <w:color w:val="auto"/>
        </w:rPr>
      </w:pPr>
    </w:p>
    <w:p>
      <w:pPr>
        <w:ind w:right="140" w:firstLine="896"/>
        <w:spacing w:after="0" w:line="301" w:lineRule="auto"/>
        <w:rPr>
          <w:sz w:val="20"/>
          <w:szCs w:val="20"/>
          <w:color w:val="auto"/>
        </w:rPr>
      </w:pPr>
      <w:r>
        <w:rPr>
          <w:rFonts w:ascii="Arial" w:cs="Arial" w:eastAsia="Arial" w:hAnsi="Arial"/>
          <w:sz w:val="17"/>
          <w:szCs w:val="17"/>
          <w:color w:val="auto"/>
        </w:rPr>
        <w:t>We may hire part-time employees or use consultants. As a result, certain of our employees, officers, directors or consultants may not devote all of their time to our business, and may from time to time serve as employees, officers, directors and consultants of other companies.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48" w:lineRule="exact"/>
        <w:rPr>
          <w:sz w:val="20"/>
          <w:szCs w:val="20"/>
          <w:color w:val="auto"/>
        </w:rPr>
      </w:pPr>
    </w:p>
    <w:p>
      <w:pPr>
        <w:ind w:right="20" w:firstLine="896"/>
        <w:spacing w:after="0" w:line="286" w:lineRule="auto"/>
        <w:rPr>
          <w:sz w:val="20"/>
          <w:szCs w:val="20"/>
          <w:color w:val="auto"/>
        </w:rPr>
      </w:pPr>
      <w:r>
        <w:rPr>
          <w:rFonts w:ascii="Arial" w:cs="Arial" w:eastAsia="Arial" w:hAnsi="Arial"/>
          <w:sz w:val="16"/>
          <w:szCs w:val="16"/>
          <w:color w:val="auto"/>
        </w:rPr>
        <w:t>Any unplanned event, such as flood, fire, explosion, earthquake, extreme weather condition, medical epidemics, power shortage, telecommunication failure or other natural or manmade accidents or incidents that result in us being unable to fully utilize our facilities, the manufacturing facilities of our third-party contract manufacturers or our or their distribution networks, may have a material and adverse effect on our ability to operate our business, particularly on a daily basis, and have significant negative consequences on our financial and operating conditions. Loss of access to these facilities may result in increased costs, or interruptions in the commercialization of WAKIX or our business operations.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the manufacturing facilities of our third-party contract manufacturers or our or their distribution networks, or that otherwise disrupted operations, it may be difficult or, in certain cases, impossible, for us to continue our business for a substantial period of time.</w:t>
      </w:r>
    </w:p>
    <w:p>
      <w:pPr>
        <w:spacing w:after="0" w:line="126" w:lineRule="exact"/>
        <w:rPr>
          <w:sz w:val="20"/>
          <w:szCs w:val="20"/>
          <w:color w:val="auto"/>
        </w:rPr>
      </w:pPr>
    </w:p>
    <w:p>
      <w:pPr>
        <w:ind w:right="20" w:firstLine="896"/>
        <w:spacing w:after="0" w:line="288"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Any real or perceived security breaches,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63" w:lineRule="exact"/>
        <w:rPr>
          <w:sz w:val="20"/>
          <w:szCs w:val="20"/>
          <w:color w:val="auto"/>
        </w:rPr>
      </w:pPr>
    </w:p>
    <w:p>
      <w:pPr>
        <w:ind w:right="20" w:firstLine="896"/>
        <w:spacing w:after="0" w:line="267" w:lineRule="auto"/>
        <w:rPr>
          <w:sz w:val="20"/>
          <w:szCs w:val="20"/>
          <w:color w:val="auto"/>
        </w:rPr>
      </w:pPr>
      <w:r>
        <w:rPr>
          <w:rFonts w:ascii="Arial" w:cs="Arial" w:eastAsia="Arial" w:hAnsi="Arial"/>
          <w:sz w:val="17"/>
          <w:szCs w:val="17"/>
          <w:color w:val="auto"/>
        </w:rPr>
        <w:t>We collect and maintain data and information that is necessary to conduct our business, and we are increasingly dependent on information technology systems and infrastructure to operate our business, including systems infrastructure operated and maintained by our third party suppliers or providers.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to safeguard and secure our systems and facilities to prevent an information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w:t>
      </w:r>
    </w:p>
    <w:p>
      <w:pPr>
        <w:spacing w:after="0" w:line="18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collaborators, contractors and consultants and other third parties on which we rely, are vulnerable to damage or unauthorized access or use resulting from computer viruses, malware, natural disasters, terrorism, war, telecommunication and electrical failures, denial-of-service attacks, cyber- attacks or cyber-intrusions over the Internet, hacking, phishing and other social engineering attacks, attachments to emails, persons inside our organization (including employees or contractors), lost or stolen devices, or persons with access to systems inside our organization.</w:t>
      </w:r>
    </w:p>
    <w:p>
      <w:pPr>
        <w:spacing w:after="0" w:line="147" w:lineRule="exact"/>
        <w:rPr>
          <w:sz w:val="20"/>
          <w:szCs w:val="20"/>
          <w:color w:val="auto"/>
        </w:rPr>
      </w:pPr>
    </w:p>
    <w:p>
      <w:pPr>
        <w:ind w:right="40" w:firstLine="896"/>
        <w:spacing w:after="0" w:line="281" w:lineRule="auto"/>
        <w:rPr>
          <w:sz w:val="20"/>
          <w:szCs w:val="20"/>
          <w:color w:val="auto"/>
        </w:rPr>
      </w:pPr>
      <w:r>
        <w:rPr>
          <w:rFonts w:ascii="Arial" w:cs="Arial" w:eastAsia="Arial" w:hAnsi="Arial"/>
          <w:sz w:val="16"/>
          <w:szCs w:val="16"/>
          <w:color w:val="auto"/>
        </w:rPr>
        <w:t>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real or perceived security breach affects our systems (or those of our third party providers or suppliers) or results in the loss of or accidental, unlawful or unauthorized access to, use of, release of or other processing of personally identifiable information or clinical trial data, our reputation could be materially damaged. In addition, such a breach may require notification to governmental agencies, the media or individuals pursuant to various federal and state privacy and security laws, if applicable, including HIPAA, as amended by the Health Information Technology for Economic and Clinical Health Act of 2009 (“HITECH”), and its implementing rules and regulations, as well as regulations promulgated by the Federal Trade Commission and state breach notification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 The global data protection landscape is rapidly evolving, and we may be affected by or subject to new, amended or existing laws and regulations in the future, including as our operations continue to expand or if we begin to operate in foreign jurisdictions.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46" w:lineRule="exact"/>
        <w:rPr>
          <w:sz w:val="20"/>
          <w:szCs w:val="20"/>
          <w:color w:val="auto"/>
        </w:rPr>
      </w:pPr>
    </w:p>
    <w:p>
      <w:pPr>
        <w:ind w:firstLine="896"/>
        <w:spacing w:after="0" w:line="266"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laws, data privacy and security laws and other similar non-U.S. laws; or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or misrepresentation of individually identifiable information, including, without limitation,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w:t>
      </w:r>
    </w:p>
    <w:p>
      <w:pPr>
        <w:spacing w:after="0" w:line="18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185" w:lineRule="exact"/>
        <w:rPr>
          <w:sz w:val="20"/>
          <w:szCs w:val="20"/>
          <w:color w:val="auto"/>
        </w:rPr>
      </w:pPr>
    </w:p>
    <w:p>
      <w:pPr>
        <w:spacing w:after="0" w:line="335" w:lineRule="auto"/>
        <w:rPr>
          <w:sz w:val="20"/>
          <w:szCs w:val="20"/>
          <w:color w:val="auto"/>
        </w:rPr>
      </w:pPr>
      <w:r>
        <w:rPr>
          <w:rFonts w:ascii="Arial" w:cs="Arial" w:eastAsia="Arial" w:hAnsi="Arial"/>
          <w:sz w:val="16"/>
          <w:szCs w:val="16"/>
          <w:b w:val="1"/>
          <w:bCs w:val="1"/>
          <w:i w:val="1"/>
          <w:iCs w:val="1"/>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88" w:lineRule="exact"/>
        <w:rPr>
          <w:sz w:val="20"/>
          <w:szCs w:val="20"/>
          <w:color w:val="auto"/>
        </w:rPr>
      </w:pPr>
    </w:p>
    <w:p>
      <w:pPr>
        <w:ind w:firstLine="896"/>
        <w:spacing w:after="0" w:line="265" w:lineRule="auto"/>
        <w:rPr>
          <w:sz w:val="20"/>
          <w:szCs w:val="20"/>
          <w:color w:val="auto"/>
        </w:rPr>
      </w:pPr>
      <w:r>
        <w:rPr>
          <w:rFonts w:ascii="Arial" w:cs="Arial" w:eastAsia="Arial" w:hAnsi="Arial"/>
          <w:sz w:val="17"/>
          <w:szCs w:val="17"/>
          <w:color w:val="auto"/>
        </w:rPr>
        <w:t>Although the commercialization of WAKIX is our primary focus, as part of our longer-term growth strategy, we plan to evaluate pitolisant in other indications and develop other product candidates. The research, testing, manufacturing, labeling, approval, selling, import, export, pricing and reimbursement marketing and distribution of drug products are subject to extensive regulation by the FDA and other regulatory agencies in the United States. Although we have obtained regulatory approval for WAKIX in the United States for the treatment of EDS or cataplexy in adult patients with narcolepsy, it is possible that we may not obtain regulatory approval for pitolisant for other indications, or for any other product candidates we may seek to develop in the future. We received a Complete Response Letter for pitolisant for the treatment of cataplexy in adult patients with narcolepsy, and therefore the FDA did not approve WAKIX for this indication during the initial NDA review. Subsequently, in June 2020, we received a general advice letter from the FDA stating that the FDA had re-analyzed data from the HARMONY 1 trial that we submitted in the NDA in support of the adult cataplexy indication for WAKIX. As a result, the FDA recommended we submit a complete response resubmission in pursuit of the adult cataplexy indication for WAKIX. Following such resubmission, we received acknowledgement from the FDA that it considers the resubmission to be a complete Class 1 response to its August 14, 2019 action letter, and the user fee goal date, or decision date, was October 13, 2020. On October 13, 2020 we received regulatory approval for WAKIX for the treatment of cataplexy in adult patients with narcolepsy. Nevertheless, obtaining regulatory approval of an NDA can be a lengthy, expensive and uncertain process.</w:t>
      </w:r>
    </w:p>
    <w:p>
      <w:pPr>
        <w:spacing w:after="0" w:line="163" w:lineRule="exact"/>
        <w:rPr>
          <w:sz w:val="20"/>
          <w:szCs w:val="20"/>
          <w:color w:val="auto"/>
        </w:rPr>
      </w:pPr>
    </w:p>
    <w:p>
      <w:pPr>
        <w:ind w:right="520" w:firstLine="896"/>
        <w:spacing w:after="0" w:line="271" w:lineRule="auto"/>
        <w:rPr>
          <w:sz w:val="20"/>
          <w:szCs w:val="20"/>
          <w:color w:val="auto"/>
        </w:rPr>
      </w:pPr>
      <w:r>
        <w:rPr>
          <w:rFonts w:ascii="Arial" w:cs="Arial" w:eastAsia="Arial" w:hAnsi="Arial"/>
          <w:sz w:val="18"/>
          <w:szCs w:val="18"/>
          <w:color w:val="auto"/>
        </w:rPr>
        <w:t>The FDA can delay, limit or deny approval of a drug candidate for many reasons or require us to conduct additional preclinical or clinical testing, including, but not limited to, the following:</w:t>
      </w:r>
    </w:p>
    <w:p>
      <w:pPr>
        <w:spacing w:after="0" w:line="308" w:lineRule="exact"/>
        <w:rPr>
          <w:sz w:val="20"/>
          <w:szCs w:val="20"/>
          <w:color w:val="auto"/>
        </w:rPr>
      </w:pPr>
    </w:p>
    <w:p>
      <w:pPr>
        <w:ind w:left="1340" w:right="260" w:hanging="437"/>
        <w:spacing w:after="0" w:line="271"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drug candidate may not be deemed safe or effective, or the clinical and other benefits may be deemed to not outweigh the candidate’s risks;</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might not approve our trial design and analysis plan;</w:t>
      </w:r>
    </w:p>
    <w:p>
      <w:pPr>
        <w:spacing w:after="0" w:line="368" w:lineRule="exact"/>
        <w:rPr>
          <w:rFonts w:ascii="Arial" w:cs="Arial" w:eastAsia="Arial" w:hAnsi="Arial"/>
          <w:sz w:val="18"/>
          <w:szCs w:val="18"/>
          <w:color w:val="auto"/>
        </w:rPr>
      </w:pPr>
    </w:p>
    <w:p>
      <w:pPr>
        <w:ind w:left="1340" w:right="300" w:hanging="437"/>
        <w:spacing w:after="0" w:line="271"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may not find the data from nonclinical and clinical studies and trials sufficient or may disagree with our interpretation of data from nonclinical or clinical studies;</w:t>
      </w:r>
    </w:p>
    <w:p>
      <w:pPr>
        <w:spacing w:after="0" w:line="321" w:lineRule="exact"/>
        <w:rPr>
          <w:rFonts w:ascii="Arial" w:cs="Arial" w:eastAsia="Arial" w:hAnsi="Arial"/>
          <w:sz w:val="18"/>
          <w:szCs w:val="18"/>
          <w:color w:val="auto"/>
        </w:rPr>
      </w:pPr>
    </w:p>
    <w:p>
      <w:pPr>
        <w:ind w:left="1340" w:right="180" w:hanging="437"/>
        <w:spacing w:after="0" w:line="271"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the active ingredient in our product candidates;</w:t>
      </w:r>
    </w:p>
    <w:p>
      <w:pPr>
        <w:spacing w:after="0" w:line="321" w:lineRule="exact"/>
        <w:rPr>
          <w:rFonts w:ascii="Arial" w:cs="Arial" w:eastAsia="Arial" w:hAnsi="Arial"/>
          <w:sz w:val="18"/>
          <w:szCs w:val="18"/>
          <w:color w:val="auto"/>
        </w:rPr>
      </w:pPr>
    </w:p>
    <w:p>
      <w:pPr>
        <w:ind w:left="1340" w:right="20" w:hanging="437"/>
        <w:spacing w:after="0" w:line="271"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inspection(s) by the FDA or other regulatory authorities may result in unacceptable findings that could negatively impact approval of pitolisant;</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might not accept or deem acceptable a third-party manufacturers’ processes or facilities; or</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00" w:lineRule="exact"/>
        <w:rPr>
          <w:sz w:val="20"/>
          <w:szCs w:val="20"/>
          <w:color w:val="auto"/>
        </w:rPr>
      </w:pP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896"/>
        <w:spacing w:after="0" w:line="266" w:lineRule="auto"/>
        <w:rPr>
          <w:sz w:val="20"/>
          <w:szCs w:val="20"/>
          <w:color w:val="auto"/>
        </w:rPr>
      </w:pPr>
      <w:r>
        <w:rPr>
          <w:rFonts w:ascii="Arial" w:cs="Arial" w:eastAsia="Arial" w:hAnsi="Arial"/>
          <w:sz w:val="17"/>
          <w:szCs w:val="17"/>
          <w:color w:val="auto"/>
        </w:rPr>
        <w:t>Prior to obtaining approval to commercialize a drug candidate in the United States, we or our collaborators must demonstrate with substantial evidence from well-controlled clinical trials, and to the satisfaction of the FDA, that such drug candidates are safe and effective for their intended uses. The number of nonclinical and clinical studies and trials that will be required for FDA approval varies depending on the drug candidate, the disease or condition that the drug candidate is designed to address, and the regulations applicable to any particular drug candidate.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proceed through clinical development to regulatory review and approval, the amount and type of clinical data that may be required by regulatory authorities may increase or change. Even if we believe the preclinical or clinical data for our product candidates are promising, such data may not be sufficient to support approval by the FDA and other regulatory authorities. If pitolisant fails to demonstrate safety and efficacy in clinical trials or does not gain regulatory approval for other indications, our business and results of operations will be materially and adversely harmed. Additionally, if the FDA requires that we conduct additional clinical trials, places limitations on pitolisant in our label, delays approval to market pitolisant or limits the use of pitolisant, our business and results of operations may be harmed.</w:t>
      </w:r>
    </w:p>
    <w:p>
      <w:pPr>
        <w:spacing w:after="0" w:line="155" w:lineRule="exact"/>
        <w:rPr>
          <w:sz w:val="20"/>
          <w:szCs w:val="20"/>
          <w:color w:val="auto"/>
        </w:rPr>
      </w:pPr>
    </w:p>
    <w:p>
      <w:pPr>
        <w:ind w:right="100" w:firstLine="896"/>
        <w:spacing w:after="0" w:line="269"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3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fail to obtain and sustain an adequate level of coverage and reimbursement for WAKIX and other product candidates by third-party payors, sales would be adversely affected.</w:t>
      </w:r>
    </w:p>
    <w:p>
      <w:pPr>
        <w:spacing w:after="0" w:line="134" w:lineRule="exact"/>
        <w:rPr>
          <w:sz w:val="20"/>
          <w:szCs w:val="20"/>
          <w:color w:val="auto"/>
        </w:rPr>
      </w:pPr>
    </w:p>
    <w:p>
      <w:pPr>
        <w:ind w:right="40" w:firstLine="896"/>
        <w:spacing w:after="0" w:line="284" w:lineRule="auto"/>
        <w:rPr>
          <w:sz w:val="20"/>
          <w:szCs w:val="20"/>
          <w:color w:val="auto"/>
        </w:rPr>
      </w:pPr>
      <w:r>
        <w:rPr>
          <w:rFonts w:ascii="Arial" w:cs="Arial" w:eastAsia="Arial" w:hAnsi="Arial"/>
          <w:sz w:val="16"/>
          <w:szCs w:val="16"/>
          <w:color w:val="auto"/>
        </w:rPr>
        <w:t>Successful sales of WAKIX and any other product candidates that may receive regulatory approval depend on the availability of coverage and adequate reimbursement from third-party payors. Patients who are prescribed medications for the treatment of their conditions generally rely on third- party payors to reimburse all or part of the costs associated with their prescription drugs. There is significant uncertainty related to third-party payor coverage and reimbursement of newly approved drugs. Regulatory approvals, pricing and reimbursement for new drug products vary widely from country to country. In the United States, the principal decisions about reimbursement for new medicines are typically made by CMS, an agency within HHS. CMS decides whether and to what extent a new medicine will be covered and reimbursed under Medicare. Private payors tend to follow CMS to a substantial degree. Commercial third-party payors, such as private health insurers and health maintenance organizations, also decide which medications they will pay for and establish reimbursement levels, though commercial third-party payors often follow CMS’ reimbursement determinations. The availability of coverage and the extent of reimbursement by governmental and private payors is essential for most patients to be able to afford treatments. Sales of WAKIX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142" w:lineRule="exact"/>
        <w:rPr>
          <w:sz w:val="20"/>
          <w:szCs w:val="20"/>
          <w:color w:val="auto"/>
        </w:rPr>
      </w:pPr>
    </w:p>
    <w:p>
      <w:pPr>
        <w:ind w:right="140" w:firstLine="896"/>
        <w:spacing w:after="0" w:line="271"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308" w:lineRule="exact"/>
        <w:rPr>
          <w:sz w:val="20"/>
          <w:szCs w:val="20"/>
          <w:color w:val="auto"/>
        </w:rPr>
      </w:pPr>
    </w:p>
    <w:p>
      <w:pPr>
        <w:ind w:left="1340" w:hanging="43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00" w:lineRule="exact"/>
        <w:rPr>
          <w:sz w:val="20"/>
          <w:szCs w:val="20"/>
          <w:color w:val="auto"/>
        </w:rPr>
      </w:pP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hanging="437"/>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368" w:lineRule="exact"/>
        <w:rPr>
          <w:sz w:val="20"/>
          <w:szCs w:val="20"/>
          <w:color w:val="auto"/>
        </w:rPr>
      </w:pPr>
    </w:p>
    <w:p>
      <w:pPr>
        <w:ind w:right="220" w:firstLine="896"/>
        <w:spacing w:after="0" w:line="290" w:lineRule="auto"/>
        <w:rPr>
          <w:sz w:val="20"/>
          <w:szCs w:val="20"/>
          <w:color w:val="auto"/>
        </w:rPr>
      </w:pPr>
      <w:r>
        <w:rPr>
          <w:rFonts w:ascii="Arial" w:cs="Arial" w:eastAsia="Arial" w:hAnsi="Arial"/>
          <w:sz w:val="16"/>
          <w:szCs w:val="16"/>
          <w:color w:val="auto"/>
        </w:rPr>
        <w:t>We cannot be sure that reimbursement will be available for WAKIX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37" w:lineRule="exact"/>
        <w:rPr>
          <w:sz w:val="20"/>
          <w:szCs w:val="20"/>
          <w:color w:val="auto"/>
        </w:rPr>
      </w:pPr>
    </w:p>
    <w:p>
      <w:pPr>
        <w:ind w:right="180" w:firstLine="896"/>
        <w:spacing w:after="0" w:line="266"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can be an expensive and time-consuming process that could require us to provide supporting scientific, clinical and cost effectiveness data for the use of our products to the payor. The industry competition to be included in third-party payors’ drug formularies, or lists of medications for which third- party payors provide coverage and reimbursement, often leads to downward pricing pressures on pharmaceutical products. In addition, third-party payors may refuse to include a particular branded drug in their formularies or otherwise restrict patient access through formulary controls or otherwise to a branded drug when a less costly generic equivalent or other alternative is available.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manufacture price and best price. Penalties may apply in some cases when such metrics are not submitted accurately and timely. We cannot be sure that reimbursement will be available for any product candidate that we commercialize and, if reimbursement is available, the level of reimbursement.</w:t>
      </w:r>
    </w:p>
    <w:p>
      <w:pPr>
        <w:spacing w:after="0" w:line="142" w:lineRule="exact"/>
        <w:rPr>
          <w:sz w:val="20"/>
          <w:szCs w:val="20"/>
          <w:color w:val="auto"/>
        </w:rPr>
      </w:pPr>
    </w:p>
    <w:p>
      <w:pPr>
        <w:ind w:right="180" w:firstLine="896"/>
        <w:spacing w:after="0" w:line="255" w:lineRule="auto"/>
        <w:rPr>
          <w:sz w:val="20"/>
          <w:szCs w:val="20"/>
          <w:color w:val="auto"/>
        </w:rPr>
      </w:pPr>
      <w:r>
        <w:rPr>
          <w:rFonts w:ascii="Arial" w:cs="Arial" w:eastAsia="Arial" w:hAnsi="Arial"/>
          <w:sz w:val="18"/>
          <w:szCs w:val="18"/>
          <w:color w:val="auto"/>
        </w:rPr>
        <w:t>In addition,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w:t>
      </w:r>
    </w:p>
    <w:p>
      <w:pPr>
        <w:spacing w:after="0" w:line="150" w:lineRule="exact"/>
        <w:rPr>
          <w:sz w:val="20"/>
          <w:szCs w:val="20"/>
          <w:color w:val="auto"/>
        </w:rPr>
      </w:pPr>
    </w:p>
    <w:p>
      <w:pPr>
        <w:ind w:right="80" w:firstLine="896"/>
        <w:spacing w:after="0" w:line="293" w:lineRule="auto"/>
        <w:rPr>
          <w:sz w:val="20"/>
          <w:szCs w:val="20"/>
          <w:color w:val="auto"/>
        </w:rPr>
      </w:pPr>
      <w:r>
        <w:rPr>
          <w:rFonts w:ascii="Arial" w:cs="Arial" w:eastAsia="Arial" w:hAnsi="Arial"/>
          <w:sz w:val="16"/>
          <w:szCs w:val="16"/>
          <w:color w:val="auto"/>
        </w:rPr>
        <w:t>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34" w:lineRule="exact"/>
        <w:rPr>
          <w:sz w:val="20"/>
          <w:szCs w:val="20"/>
          <w:color w:val="auto"/>
        </w:rPr>
      </w:pPr>
    </w:p>
    <w:p>
      <w:pPr>
        <w:ind w:right="40" w:firstLine="896"/>
        <w:spacing w:after="0" w:line="270" w:lineRule="auto"/>
        <w:rPr>
          <w:sz w:val="20"/>
          <w:szCs w:val="20"/>
          <w:color w:val="auto"/>
        </w:rPr>
      </w:pPr>
      <w:r>
        <w:rPr>
          <w:rFonts w:ascii="Arial" w:cs="Arial" w:eastAsia="Arial" w:hAnsi="Arial"/>
          <w:sz w:val="17"/>
          <w:szCs w:val="17"/>
          <w:color w:val="auto"/>
        </w:rPr>
        <w:t>While we have obtained coverage for WAKIX from certain third-party payors, the resulting reimbursement payment rates might not be adequate or may require co-payments that patients find unacceptably high. Patients are unlikely to use WAKIX unless coverage is provided and reimbursement is adequate to cover a significant portion of the cost of WAKIX.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We may suffer loss of corporate reputation due to industry-wide legislative or public scrutiny of our pricing decisions and practices within an increasingly price-sensitive environment.</w:t>
      </w:r>
    </w:p>
    <w:p>
      <w:pPr>
        <w:spacing w:after="0" w:line="138" w:lineRule="exact"/>
        <w:rPr>
          <w:sz w:val="20"/>
          <w:szCs w:val="20"/>
          <w:color w:val="auto"/>
        </w:rPr>
      </w:pPr>
    </w:p>
    <w:p>
      <w:pPr>
        <w:ind w:firstLine="896"/>
        <w:spacing w:after="0" w:line="251" w:lineRule="auto"/>
        <w:rPr>
          <w:sz w:val="20"/>
          <w:szCs w:val="20"/>
          <w:color w:val="auto"/>
        </w:rPr>
      </w:pPr>
      <w:r>
        <w:rPr>
          <w:rFonts w:ascii="Arial" w:cs="Arial" w:eastAsia="Arial" w:hAnsi="Arial"/>
          <w:sz w:val="18"/>
          <w:szCs w:val="18"/>
          <w:color w:val="auto"/>
        </w:rPr>
        <w:t>Despite obtaining formulary approval from certain third-party payors, sometimes with prior authorization or other formulary restrictions and requirements, including documented failure or inadequate response to alternative treatments, we expect to experience pricing pressures in connection with the sale of WAKIX due to the trend toward cost containment, managed healthcare, the increasing influence of health maintenance organizations and additional legislative changes. Large public and private payors, managed care organizations, group purchasing organizations and similar organizations are exerting increasing influence on decisions regarding the use of, and reimbursement levels for, particular treatments. Such third-party payors, including Medicare, are questioning the coverage of, and challenging the prices charged for medical products and services, and many third- party payors limit coverage of, or reimbursement for, newly approved health care products. The downward pressure on healthcare costs in general, particularly prescription medicines, medical</w:t>
      </w:r>
    </w:p>
    <w:p>
      <w:pPr>
        <w:spacing w:after="0" w:line="19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WAKIX.</w:t>
      </w:r>
    </w:p>
    <w:p>
      <w:pPr>
        <w:spacing w:after="0" w:line="159" w:lineRule="exact"/>
        <w:rPr>
          <w:sz w:val="20"/>
          <w:szCs w:val="20"/>
          <w:color w:val="auto"/>
        </w:rPr>
      </w:pPr>
    </w:p>
    <w:p>
      <w:pPr>
        <w:ind w:firstLine="896"/>
        <w:spacing w:after="0" w:line="255" w:lineRule="auto"/>
        <w:rPr>
          <w:sz w:val="20"/>
          <w:szCs w:val="20"/>
          <w:color w:val="auto"/>
        </w:rPr>
      </w:pPr>
      <w:r>
        <w:rPr>
          <w:rFonts w:ascii="Arial" w:cs="Arial" w:eastAsia="Arial" w:hAnsi="Arial"/>
          <w:sz w:val="18"/>
          <w:szCs w:val="18"/>
          <w:color w:val="auto"/>
        </w:rPr>
        <w:t>These cost-control initiatives could decrease the price we have established for WAKIX, which could result in product revenues being lower than anticipated. The pricing, coverage and reimbursement of WAKIX must be adequate to support a commercial infrastructure. If the price for WAKIX decreases or if governmental and other third-party payors do not provide adequate coverage and reimbursement levels, our revenue, gross margins and prospects for profitability will suffer.</w:t>
      </w:r>
    </w:p>
    <w:p>
      <w:pPr>
        <w:spacing w:after="0" w:line="150" w:lineRule="exact"/>
        <w:rPr>
          <w:sz w:val="20"/>
          <w:szCs w:val="20"/>
          <w:color w:val="auto"/>
        </w:rPr>
      </w:pPr>
    </w:p>
    <w:p>
      <w:pPr>
        <w:ind w:right="80" w:firstLine="896"/>
        <w:spacing w:after="0" w:line="287" w:lineRule="auto"/>
        <w:rPr>
          <w:sz w:val="20"/>
          <w:szCs w:val="20"/>
          <w:color w:val="auto"/>
        </w:rPr>
      </w:pPr>
      <w:r>
        <w:rPr>
          <w:rFonts w:ascii="Arial" w:cs="Arial" w:eastAsia="Arial" w:hAnsi="Arial"/>
          <w:sz w:val="16"/>
          <w:szCs w:val="16"/>
          <w:color w:val="auto"/>
        </w:rPr>
        <w:t>While we have not taken any steps to attain regulatory or patent approvals in any specific markets outside of the United States, we plan to explore obtaining additional licensing rights from Bioprojet to expand into international markets with WAKIX</w:t>
      </w:r>
      <w:r>
        <w:rPr>
          <w:rFonts w:ascii="Arial" w:cs="Arial" w:eastAsia="Arial" w:hAnsi="Arial"/>
          <w:sz w:val="16"/>
          <w:szCs w:val="16"/>
          <w:b w:val="1"/>
          <w:bCs w:val="1"/>
          <w:color w:val="auto"/>
        </w:rPr>
        <w:t>.</w:t>
      </w:r>
      <w:r>
        <w:rPr>
          <w:rFonts w:ascii="Arial" w:cs="Arial" w:eastAsia="Arial" w:hAnsi="Arial"/>
          <w:sz w:val="16"/>
          <w:szCs w:val="16"/>
          <w:color w:val="auto"/>
        </w:rPr>
        <w:t xml:space="preserve"> Outside the United States, international operations are generally subject to extensive governmental price controls and other market regulations, and we believe the increasing emphasis on cost-containment initiatives in Europe and other countries will likely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WAKIX. Accordingly, in markets outside the United States, the reimbursement for WAKIX may be reduced compared with the United States and may be insufficient to generate commercially reasonable revenue and profits.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WAKIX has been approved by the FDA for the treatment of EDS in adult patients with narcolepsy, and cataplexy in adult patients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66" w:lineRule="exact"/>
        <w:rPr>
          <w:sz w:val="20"/>
          <w:szCs w:val="20"/>
          <w:color w:val="auto"/>
        </w:rPr>
      </w:pPr>
    </w:p>
    <w:p>
      <w:pPr>
        <w:ind w:right="20" w:firstLine="896"/>
        <w:spacing w:after="0" w:line="252" w:lineRule="auto"/>
        <w:rPr>
          <w:sz w:val="20"/>
          <w:szCs w:val="20"/>
          <w:color w:val="auto"/>
        </w:rPr>
      </w:pPr>
      <w:r>
        <w:rPr>
          <w:rFonts w:ascii="Arial" w:cs="Arial" w:eastAsia="Arial" w:hAnsi="Arial"/>
          <w:sz w:val="18"/>
          <w:szCs w:val="18"/>
          <w:color w:val="auto"/>
        </w:rPr>
        <w:t>While we received approval for the indications of the treatment of EDS in adult patients with narcolepsy and cataplexy in adult patients with narcolepsy, WAKIX is not indicated to treat any other conditions. We are prohibited from promoting WAKIX for any other indication unless we are granted FDA approval for such indication. The FDA strictly regulates the promotional claims that may be made about prescription products, and WAKIX may not be promoted for uses that are not approved by the FDA as reflected in its approved labeling. If we are not able to obtain FDA approval for any desired future indications for our products and product candidates, our ability to effectively market and sell our products may be reduced and our business may be adversely affected.</w:t>
      </w:r>
    </w:p>
    <w:p>
      <w:pPr>
        <w:spacing w:after="0" w:line="154" w:lineRule="exact"/>
        <w:rPr>
          <w:sz w:val="20"/>
          <w:szCs w:val="20"/>
          <w:color w:val="auto"/>
        </w:rPr>
      </w:pPr>
    </w:p>
    <w:p>
      <w:pPr>
        <w:ind w:right="60" w:firstLine="896"/>
        <w:spacing w:after="0" w:line="267" w:lineRule="auto"/>
        <w:rPr>
          <w:sz w:val="20"/>
          <w:szCs w:val="20"/>
          <w:color w:val="auto"/>
        </w:rPr>
      </w:pPr>
      <w:r>
        <w:rPr>
          <w:rFonts w:ascii="Arial" w:cs="Arial" w:eastAsia="Arial" w:hAnsi="Arial"/>
          <w:sz w:val="17"/>
          <w:szCs w:val="17"/>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WAKIX or any of our future product candidates may cause undesirable side effects or have other properties that could delay or prevent their regulatory approval, reduce the commercial attractiveness of a prescribing label or result in significant negative consequences following regulatory approval, if approved.</w:t>
      </w:r>
    </w:p>
    <w:p>
      <w:pPr>
        <w:spacing w:after="0" w:line="159" w:lineRule="exact"/>
        <w:rPr>
          <w:sz w:val="20"/>
          <w:szCs w:val="20"/>
          <w:color w:val="auto"/>
        </w:rPr>
      </w:pPr>
    </w:p>
    <w:p>
      <w:pPr>
        <w:ind w:right="180" w:firstLine="896"/>
        <w:spacing w:after="0" w:line="259" w:lineRule="auto"/>
        <w:rPr>
          <w:sz w:val="20"/>
          <w:szCs w:val="20"/>
          <w:color w:val="auto"/>
        </w:rPr>
      </w:pPr>
      <w:r>
        <w:rPr>
          <w:rFonts w:ascii="Arial" w:cs="Arial" w:eastAsia="Arial" w:hAnsi="Arial"/>
          <w:sz w:val="18"/>
          <w:szCs w:val="18"/>
          <w:color w:val="auto"/>
        </w:rPr>
        <w:t>Clinical trials of WAKIX or other product candidates we may develop could reveal a high and unacceptable incidence and severity of undesirable side effects. Undesirable side effects could adversely affect patient enrollment in clinical studies, cause us or regulatory authorities to interrupt, delay or halt clinical studies</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result in the delay, denial or withdrawal of regulatory approval by the FDA or other regulatory authorities. Undesirable or adverse side effects also could result in regulatory authorities mandating a more restrictive prescribing label for the product, which, in turn, could limit the market acceptance of the product even if approved for marketing and commercialization.</w:t>
      </w:r>
    </w:p>
    <w:p>
      <w:pPr>
        <w:spacing w:after="0" w:line="159" w:lineRule="exact"/>
        <w:rPr>
          <w:sz w:val="20"/>
          <w:szCs w:val="20"/>
          <w:color w:val="auto"/>
        </w:rPr>
      </w:pPr>
    </w:p>
    <w:p>
      <w:pPr>
        <w:ind w:right="40" w:firstLine="896"/>
        <w:spacing w:after="0" w:line="267" w:lineRule="auto"/>
        <w:rPr>
          <w:sz w:val="20"/>
          <w:szCs w:val="20"/>
          <w:color w:val="auto"/>
        </w:rPr>
      </w:pPr>
      <w:r>
        <w:rPr>
          <w:rFonts w:ascii="Arial" w:cs="Arial" w:eastAsia="Arial" w:hAnsi="Arial"/>
          <w:sz w:val="17"/>
          <w:szCs w:val="17"/>
          <w:color w:val="auto"/>
        </w:rPr>
        <w:t>Drug-related side effects could result in potential product liability claims. We believe our product liability insurance coverage is sufficient in light of our clinical programs; however, we may not be able to maintain insurance coverage at a reasonable cost or in sufficient amounts or maintain coverage at all to protect us against losses due to liability. A successful product liability claim or series of claims brought against us could cause our stock price to decline and, if judgments exceed our insurance coverage, could adversely affect our results of operations, business and financial condition. In addition, regardless of merit or eventual outcome, product liability claims may result in impairment of our business reputation, significant negative media attention, withdrawal of clinical study participants, costs due to related litigation, distraction of management’s attention from our primary business, initiation of investigations by regulators, substantial monetary awards to patients or other claimants, the inability to commercialize our current product candidate or any future product candidate, product recalls, restrictions on labeling, marketing or promotion, decreased demand for our product candidates, if approved for marketing, and loss of revenue.</w:t>
      </w:r>
    </w:p>
    <w:p>
      <w:pPr>
        <w:spacing w:after="0" w:line="143" w:lineRule="exact"/>
        <w:rPr>
          <w:sz w:val="20"/>
          <w:szCs w:val="20"/>
          <w:color w:val="auto"/>
        </w:rPr>
      </w:pPr>
    </w:p>
    <w:p>
      <w:pPr>
        <w:ind w:right="120" w:firstLine="896"/>
        <w:spacing w:after="0" w:line="259" w:lineRule="auto"/>
        <w:rPr>
          <w:sz w:val="20"/>
          <w:szCs w:val="20"/>
          <w:color w:val="auto"/>
        </w:rPr>
      </w:pPr>
      <w:r>
        <w:rPr>
          <w:rFonts w:ascii="Arial" w:cs="Arial" w:eastAsia="Arial" w:hAnsi="Arial"/>
          <w:sz w:val="18"/>
          <w:szCs w:val="18"/>
          <w:color w:val="auto"/>
        </w:rPr>
        <w:t>Additionally, if we or others later identify undesirable side effects caused by WAKIX, either in the post-marketing setting or in clinical trials in other potential indications for which we develop pitolisant, or in clinical trials for other product candidates, a number of potentially significant negative consequences could result, including but not limited to:</w:t>
      </w:r>
    </w:p>
    <w:p>
      <w:pPr>
        <w:spacing w:after="0" w:line="333" w:lineRule="exact"/>
        <w:rPr>
          <w:sz w:val="20"/>
          <w:szCs w:val="20"/>
          <w:color w:val="auto"/>
        </w:rPr>
      </w:pPr>
    </w:p>
    <w:p>
      <w:pPr>
        <w:ind w:left="1340" w:hanging="43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delay, prevention or withdrawal of approvals by regulatory authorities;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of additional warnings on the prescribing label;</w:t>
      </w:r>
    </w:p>
    <w:p>
      <w:pPr>
        <w:spacing w:after="0" w:line="368" w:lineRule="exact"/>
        <w:rPr>
          <w:rFonts w:ascii="Arial" w:cs="Arial" w:eastAsia="Arial" w:hAnsi="Arial"/>
          <w:sz w:val="18"/>
          <w:szCs w:val="18"/>
          <w:color w:val="auto"/>
        </w:rPr>
      </w:pPr>
    </w:p>
    <w:p>
      <w:pPr>
        <w:ind w:left="1340" w:right="580" w:hanging="437"/>
        <w:spacing w:after="0" w:line="271"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of a REMS plan, which could include a medication guide outlining the risks of such side effects for distribution to patients, a communication plan for healthcare providers and/or other elements to assure safe use;</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designation as a controlled substance by the DEA;</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and the potential to be held liable for harm caused to patients; and</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adverse effect on our reputation.</w:t>
      </w:r>
    </w:p>
    <w:p>
      <w:pPr>
        <w:spacing w:after="0" w:line="368" w:lineRule="exact"/>
        <w:rPr>
          <w:sz w:val="20"/>
          <w:szCs w:val="20"/>
          <w:color w:val="auto"/>
        </w:rPr>
      </w:pPr>
    </w:p>
    <w:p>
      <w:pPr>
        <w:ind w:right="140" w:firstLine="896"/>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pitolisant and could significantly harm our business, results of operations, financial condition and prospects.</w:t>
      </w:r>
    </w:p>
    <w:p>
      <w:pPr>
        <w:spacing w:after="0" w:line="134" w:lineRule="exact"/>
        <w:rPr>
          <w:sz w:val="20"/>
          <w:szCs w:val="20"/>
          <w:color w:val="auto"/>
        </w:rPr>
      </w:pPr>
    </w:p>
    <w:p>
      <w:pPr>
        <w:ind w:right="260"/>
        <w:spacing w:after="0" w:line="417" w:lineRule="auto"/>
        <w:rPr>
          <w:sz w:val="20"/>
          <w:szCs w:val="20"/>
          <w:color w:val="auto"/>
        </w:rPr>
      </w:pPr>
      <w:r>
        <w:rPr>
          <w:rFonts w:ascii="Arial" w:cs="Arial" w:eastAsia="Arial" w:hAnsi="Arial"/>
          <w:sz w:val="14"/>
          <w:szCs w:val="14"/>
          <w:b w:val="1"/>
          <w:bCs w:val="1"/>
          <w:i w:val="1"/>
          <w:iCs w:val="1"/>
          <w:color w:val="auto"/>
        </w:rPr>
        <w:t>We have never commercialized a product candidate prior to WAKIX and we may lack the necessary expertise, personnel and resources to successfully commercialize WAKIX or any other potential product candidates that receive regulatory approval on our own or together with collaborators.</w:t>
      </w:r>
    </w:p>
    <w:p>
      <w:pPr>
        <w:spacing w:after="0" w:line="42" w:lineRule="exact"/>
        <w:rPr>
          <w:sz w:val="20"/>
          <w:szCs w:val="20"/>
          <w:color w:val="auto"/>
        </w:rPr>
      </w:pPr>
    </w:p>
    <w:p>
      <w:pPr>
        <w:ind w:right="160" w:firstLine="896"/>
        <w:spacing w:after="0" w:line="297" w:lineRule="auto"/>
        <w:rPr>
          <w:sz w:val="20"/>
          <w:szCs w:val="20"/>
          <w:color w:val="auto"/>
        </w:rPr>
      </w:pPr>
      <w:r>
        <w:rPr>
          <w:rFonts w:ascii="Arial" w:cs="Arial" w:eastAsia="Arial" w:hAnsi="Arial"/>
          <w:sz w:val="16"/>
          <w:szCs w:val="16"/>
          <w:color w:val="auto"/>
        </w:rPr>
        <w:t>WAKIX is our first commercialized product. Prior to this, our operations had been limited to organizing and staffing our company, business planning, raising capital, acquiring the rights to our product candidates and undertaking preclinical studies and clinical trials of our product candidates. We currently have no in-house manufacturing, distribution or supply capabilities. To achieve commercial success of WAKIX or any other product candidate, if approved, we will have to develop our own manufacturing, distribution and supply capabilities or outsource these activities to a third party.</w:t>
      </w:r>
    </w:p>
    <w:p>
      <w:pPr>
        <w:spacing w:after="0" w:line="132" w:lineRule="exact"/>
        <w:rPr>
          <w:sz w:val="20"/>
          <w:szCs w:val="20"/>
          <w:color w:val="auto"/>
        </w:rPr>
      </w:pPr>
    </w:p>
    <w:p>
      <w:pPr>
        <w:ind w:right="100" w:firstLine="896"/>
        <w:spacing w:after="0" w:line="251" w:lineRule="auto"/>
        <w:rPr>
          <w:sz w:val="20"/>
          <w:szCs w:val="20"/>
          <w:color w:val="auto"/>
        </w:rPr>
      </w:pPr>
      <w:r>
        <w:rPr>
          <w:rFonts w:ascii="Arial" w:cs="Arial" w:eastAsia="Arial" w:hAnsi="Arial"/>
          <w:sz w:val="18"/>
          <w:szCs w:val="18"/>
          <w:color w:val="auto"/>
        </w:rPr>
        <w:t>We are early in our commercialization efforts.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or other key global markets. If we are unable to build our own distribution and marketing capabilities or to find suitable partners for the commercialization of our product candidates, we may have difficulties generating revenue from them.</w:t>
      </w:r>
    </w:p>
    <w:p>
      <w:pPr>
        <w:spacing w:after="0" w:line="19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exclusivity before approving generic versions of our products, the sales of our products could be adversely affected.</w:t>
      </w:r>
    </w:p>
    <w:p>
      <w:pPr>
        <w:spacing w:after="0" w:line="159" w:lineRule="exact"/>
        <w:rPr>
          <w:sz w:val="20"/>
          <w:szCs w:val="20"/>
          <w:color w:val="auto"/>
        </w:rPr>
      </w:pPr>
    </w:p>
    <w:p>
      <w:pPr>
        <w:ind w:right="60" w:firstLine="896"/>
        <w:spacing w:after="0" w:line="287" w:lineRule="auto"/>
        <w:rPr>
          <w:sz w:val="20"/>
          <w:szCs w:val="20"/>
          <w:color w:val="auto"/>
        </w:rPr>
      </w:pPr>
      <w:r>
        <w:rPr>
          <w:rFonts w:ascii="Arial" w:cs="Arial" w:eastAsia="Arial" w:hAnsi="Arial"/>
          <w:sz w:val="16"/>
          <w:szCs w:val="16"/>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26" w:lineRule="exact"/>
        <w:rPr>
          <w:sz w:val="20"/>
          <w:szCs w:val="20"/>
          <w:color w:val="auto"/>
        </w:rPr>
      </w:pPr>
    </w:p>
    <w:p>
      <w:pPr>
        <w:ind w:right="20" w:firstLine="896"/>
        <w:spacing w:after="0" w:line="272"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136" w:lineRule="exact"/>
        <w:rPr>
          <w:sz w:val="20"/>
          <w:szCs w:val="20"/>
          <w:color w:val="auto"/>
        </w:rPr>
      </w:pPr>
    </w:p>
    <w:p>
      <w:pPr>
        <w:ind w:right="40" w:firstLine="896"/>
        <w:spacing w:after="0" w:line="271" w:lineRule="auto"/>
        <w:rPr>
          <w:sz w:val="20"/>
          <w:szCs w:val="20"/>
          <w:color w:val="auto"/>
        </w:rPr>
      </w:pPr>
      <w:r>
        <w:rPr>
          <w:rFonts w:ascii="Arial" w:cs="Arial" w:eastAsia="Arial" w:hAnsi="Arial"/>
          <w:sz w:val="18"/>
          <w:szCs w:val="18"/>
          <w:color w:val="auto"/>
        </w:rPr>
        <w:t>While we have received five years of NCE exclusivity for WAKIX, manufacturers may seek to launch generic products following the expiration of the applicable exclusivity period we obtain, even if we still have patent protection for our product.</w:t>
      </w:r>
    </w:p>
    <w:p>
      <w:pPr>
        <w:spacing w:after="0" w:line="148" w:lineRule="exact"/>
        <w:rPr>
          <w:sz w:val="20"/>
          <w:szCs w:val="20"/>
          <w:color w:val="auto"/>
        </w:rPr>
      </w:pPr>
    </w:p>
    <w:p>
      <w:pPr>
        <w:ind w:right="680" w:firstLine="896"/>
        <w:spacing w:after="0" w:line="335" w:lineRule="auto"/>
        <w:rPr>
          <w:sz w:val="20"/>
          <w:szCs w:val="20"/>
          <w:color w:val="auto"/>
        </w:rPr>
      </w:pPr>
      <w:r>
        <w:rPr>
          <w:rFonts w:ascii="Arial" w:cs="Arial" w:eastAsia="Arial" w:hAnsi="Arial"/>
          <w:sz w:val="16"/>
          <w:szCs w:val="16"/>
          <w:color w:val="auto"/>
        </w:rPr>
        <w:t>Competition that our products may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8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34" w:lineRule="exact"/>
        <w:rPr>
          <w:sz w:val="20"/>
          <w:szCs w:val="20"/>
          <w:color w:val="auto"/>
        </w:rPr>
      </w:pPr>
    </w:p>
    <w:p>
      <w:pPr>
        <w:jc w:val="both"/>
        <w:ind w:right="20" w:firstLine="896"/>
        <w:spacing w:after="0" w:line="307" w:lineRule="auto"/>
        <w:rPr>
          <w:sz w:val="20"/>
          <w:szCs w:val="20"/>
          <w:color w:val="auto"/>
        </w:rPr>
      </w:pPr>
      <w:r>
        <w:rPr>
          <w:rFonts w:ascii="Arial" w:cs="Arial" w:eastAsia="Arial" w:hAnsi="Arial"/>
          <w:sz w:val="16"/>
          <w:szCs w:val="16"/>
          <w:color w:val="auto"/>
        </w:rPr>
        <w:t>To obtain the requisite regulatory approvals to commercialize any of our product candidates, we must demonstrate through extensive preclinical studies and clinical trials that our product candidates are safe and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23" w:lineRule="exact"/>
        <w:rPr>
          <w:sz w:val="20"/>
          <w:szCs w:val="20"/>
          <w:color w:val="auto"/>
        </w:rPr>
      </w:pPr>
    </w:p>
    <w:p>
      <w:pPr>
        <w:ind w:right="100" w:firstLine="896"/>
        <w:spacing w:after="0" w:line="259"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320" w:lineRule="exact"/>
        <w:rPr>
          <w:sz w:val="20"/>
          <w:szCs w:val="20"/>
          <w:color w:val="auto"/>
        </w:rPr>
      </w:pPr>
    </w:p>
    <w:p>
      <w:pPr>
        <w:ind w:left="1340" w:right="640" w:hanging="437"/>
        <w:spacing w:after="0" w:line="271"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IRBs or other reviewing bodies may not authorize us or our investigators to commence a clinical trial, or to conduct or continue a clinical trial at a prospective or specific trial site;</w:t>
      </w:r>
    </w:p>
    <w:p>
      <w:pPr>
        <w:spacing w:after="0" w:line="321" w:lineRule="exact"/>
        <w:rPr>
          <w:rFonts w:ascii="Arial" w:cs="Arial" w:eastAsia="Arial" w:hAnsi="Arial"/>
          <w:sz w:val="18"/>
          <w:szCs w:val="18"/>
          <w:color w:val="auto"/>
        </w:rPr>
      </w:pPr>
    </w:p>
    <w:p>
      <w:pPr>
        <w:ind w:left="1340" w:right="460" w:hanging="437"/>
        <w:spacing w:after="0" w:line="271"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321" w:lineRule="exact"/>
        <w:rPr>
          <w:rFonts w:ascii="Arial" w:cs="Arial" w:eastAsia="Arial" w:hAnsi="Arial"/>
          <w:sz w:val="18"/>
          <w:szCs w:val="18"/>
          <w:color w:val="auto"/>
        </w:rPr>
      </w:pPr>
    </w:p>
    <w:p>
      <w:pPr>
        <w:ind w:left="1340" w:hanging="437"/>
        <w:spacing w:after="0" w:line="255"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subjects or patients required for clinical trials of pitolisant in additional indications or any other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37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right="200" w:hanging="437"/>
        <w:spacing w:after="0" w:line="301"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298" w:lineRule="exact"/>
        <w:rPr>
          <w:rFonts w:ascii="Arial" w:cs="Arial" w:eastAsia="Arial" w:hAnsi="Arial"/>
          <w:sz w:val="17"/>
          <w:szCs w:val="17"/>
          <w:color w:val="auto"/>
        </w:rPr>
      </w:pPr>
    </w:p>
    <w:p>
      <w:pPr>
        <w:ind w:left="1340" w:right="420" w:hanging="437"/>
        <w:spacing w:after="0" w:line="335" w:lineRule="auto"/>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have to amend clinical trial protocols submitted to regulatory authorities or conduct additional studies to reflect changes in regulatory requirements or guidance, which we may be required to resubmit to an IRB and regulatory authorities for re-examination;</w:t>
      </w:r>
    </w:p>
    <w:p>
      <w:pPr>
        <w:spacing w:after="0" w:line="275" w:lineRule="exact"/>
        <w:rPr>
          <w:rFonts w:ascii="Arial" w:cs="Arial" w:eastAsia="Arial" w:hAnsi="Arial"/>
          <w:sz w:val="16"/>
          <w:szCs w:val="16"/>
          <w:color w:val="auto"/>
        </w:rPr>
      </w:pPr>
    </w:p>
    <w:p>
      <w:pPr>
        <w:ind w:left="1340" w:right="40" w:hanging="437"/>
        <w:spacing w:after="0" w:line="275"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regulators, IRBs or other reviewing bodies may fail to approve or subsequently find fault with the manufacturing processes or facilities of third-party manufacturers with which we enter into agreement for clinical and commercial supplies, or the supply or quality of pitolisant or any other product candidate or other materials necessary to conduct clinical trials of our product candidates may be insufficient, inadequate or not available at an acceptable cost, or we may experience interruptions in supply; and</w:t>
      </w:r>
    </w:p>
    <w:p>
      <w:pPr>
        <w:spacing w:after="0" w:line="321" w:lineRule="exact"/>
        <w:rPr>
          <w:rFonts w:ascii="Arial" w:cs="Arial" w:eastAsia="Arial" w:hAnsi="Arial"/>
          <w:sz w:val="17"/>
          <w:szCs w:val="17"/>
          <w:color w:val="auto"/>
        </w:rPr>
      </w:pPr>
    </w:p>
    <w:p>
      <w:pPr>
        <w:ind w:left="1340" w:right="380" w:hanging="437"/>
        <w:spacing w:after="0" w:line="271"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322"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66" w:lineRule="exact"/>
        <w:rPr>
          <w:sz w:val="20"/>
          <w:szCs w:val="20"/>
          <w:color w:val="auto"/>
        </w:rPr>
      </w:pPr>
    </w:p>
    <w:p>
      <w:pPr>
        <w:ind w:right="60" w:firstLine="896"/>
        <w:spacing w:after="0" w:line="252" w:lineRule="auto"/>
        <w:rPr>
          <w:sz w:val="20"/>
          <w:szCs w:val="20"/>
          <w:color w:val="auto"/>
        </w:rPr>
      </w:pPr>
      <w:r>
        <w:rPr>
          <w:rFonts w:ascii="Arial" w:cs="Arial" w:eastAsia="Arial" w:hAnsi="Arial"/>
          <w:sz w:val="18"/>
          <w:szCs w:val="18"/>
          <w:color w:val="auto"/>
        </w:rPr>
        <w:t>Negative or inconclusive results from our ongoing clinical trials of pitolisant for the treatment of narcolepsy, or any other clinical trial or preclinical studies in animals that we conduct, could mandate repeated or additional clinical trials and could result in changes to or delays in clinical trials in other indications. We do not know whether any clinical trials that we may conduct will demonstrate adequate efficacy and safety to result in regulatory approval to market pitolisant for our initial or potential additional indications, or any other product candidate. If later stage clinical trials do not produce favorable results, our ability to obtain regulatory approval for pitolisant for initial or potential additional indications, or any other product candidate, may be adversely impacted.</w:t>
      </w:r>
    </w:p>
    <w:p>
      <w:pPr>
        <w:spacing w:after="0" w:line="154" w:lineRule="exact"/>
        <w:rPr>
          <w:sz w:val="20"/>
          <w:szCs w:val="20"/>
          <w:color w:val="auto"/>
        </w:rPr>
      </w:pPr>
    </w:p>
    <w:p>
      <w:pPr>
        <w:ind w:firstLine="896"/>
        <w:spacing w:after="0" w:line="287" w:lineRule="auto"/>
        <w:rPr>
          <w:sz w:val="20"/>
          <w:szCs w:val="20"/>
          <w:color w:val="auto"/>
        </w:rPr>
      </w:pPr>
      <w:r>
        <w:rPr>
          <w:rFonts w:ascii="Arial" w:cs="Arial" w:eastAsia="Arial" w:hAnsi="Arial"/>
          <w:sz w:val="16"/>
          <w:szCs w:val="16"/>
          <w:color w:val="auto"/>
        </w:rPr>
        <w:t>Our failure to successfully initiate and complete clinical trials of pitolisant for potential additional indications or any other product candidate and to demonstrate the efficacy and safety necessary to obtain regulatory approval to market pitolisant or any other product candidate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pitolisant or any other product candidate.</w:t>
      </w:r>
    </w:p>
    <w:p>
      <w:pPr>
        <w:spacing w:after="0" w:line="126" w:lineRule="exact"/>
        <w:rPr>
          <w:sz w:val="20"/>
          <w:szCs w:val="20"/>
          <w:color w:val="auto"/>
        </w:rPr>
      </w:pPr>
    </w:p>
    <w:p>
      <w:pPr>
        <w:ind w:firstLine="896"/>
        <w:spacing w:after="0" w:line="267" w:lineRule="auto"/>
        <w:rPr>
          <w:sz w:val="20"/>
          <w:szCs w:val="20"/>
          <w:color w:val="auto"/>
        </w:rPr>
      </w:pPr>
      <w:r>
        <w:rPr>
          <w:rFonts w:ascii="Arial" w:cs="Arial" w:eastAsia="Arial" w:hAnsi="Arial"/>
          <w:sz w:val="17"/>
          <w:szCs w:val="17"/>
          <w:color w:val="auto"/>
        </w:rPr>
        <w:t>In addition, prior to our acquisition of the rights to pitolisant, we had no involvement with or control over the nonclinical or clinical development of pitolisant. Additionally, pursuant to our collaboration agreement with Bioprojet, we will rely on data generated by Bioprojet in connection with seeking regulatory approval of pitolisant in the territories in which we have rights to develop and commercialize pitolisant. We are dependent on Bioprojet having conducted such research and development in accordance with the applicable protocols and legal, regulatory and scientific standards, having accurately reported the results of all clinical trials and other research they conducted prior to our acquisition of the rights to pitolisant, having correctly collected and interpreted the data from these trials and other research, and having supplied us with complete information, data sets and reports required to adequately demonstrate the results reported through the date of our acquisition of these assets. Problems related to predecessors could result in increased costs and delays in the development of pitolisant for additional indications, which could adversely affect our ability to generate any future revenue from sales of pitolisant, if approved for additional indications.</w:t>
      </w:r>
    </w:p>
    <w:p>
      <w:pPr>
        <w:spacing w:after="0" w:line="18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right="20" w:firstLine="896"/>
        <w:spacing w:after="0" w:line="267" w:lineRule="auto"/>
        <w:rPr>
          <w:sz w:val="20"/>
          <w:szCs w:val="20"/>
          <w:color w:val="auto"/>
        </w:rPr>
      </w:pPr>
      <w:r>
        <w:rPr>
          <w:rFonts w:ascii="Arial" w:cs="Arial" w:eastAsia="Arial" w:hAnsi="Arial"/>
          <w:sz w:val="17"/>
          <w:szCs w:val="17"/>
          <w:color w:val="auto"/>
        </w:rPr>
        <w:t>From time to time, we may publicly disclose interim, “topline” or preliminary data from our clinical trials, which is based on a preliminary analysis of then-available topline data, and the results and related findings and conclusions are subject to change following completion of the study or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39" w:lineRule="exact"/>
        <w:rPr>
          <w:sz w:val="20"/>
          <w:szCs w:val="20"/>
          <w:color w:val="auto"/>
        </w:rPr>
      </w:pPr>
    </w:p>
    <w:p>
      <w:pPr>
        <w:ind w:right="20" w:firstLine="896"/>
        <w:spacing w:after="0" w:line="287"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26"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48" w:lineRule="exact"/>
        <w:rPr>
          <w:sz w:val="20"/>
          <w:szCs w:val="20"/>
          <w:color w:val="auto"/>
        </w:rPr>
      </w:pPr>
    </w:p>
    <w:p>
      <w:pPr>
        <w:ind w:firstLine="896"/>
        <w:spacing w:after="0" w:line="268" w:lineRule="auto"/>
        <w:rPr>
          <w:sz w:val="20"/>
          <w:szCs w:val="20"/>
          <w:color w:val="auto"/>
        </w:rPr>
      </w:pPr>
      <w:r>
        <w:rPr>
          <w:rFonts w:ascii="Arial" w:cs="Arial" w:eastAsia="Arial" w:hAnsi="Arial"/>
          <w:sz w:val="17"/>
          <w:szCs w:val="17"/>
          <w:color w:val="auto"/>
        </w:rPr>
        <w:t>We may encounter delays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the risk that patients enrolled in clinical trials will drop out of the trials before completion.</w:t>
      </w:r>
    </w:p>
    <w:p>
      <w:pPr>
        <w:spacing w:after="0" w:line="139" w:lineRule="exact"/>
        <w:rPr>
          <w:sz w:val="20"/>
          <w:szCs w:val="20"/>
          <w:color w:val="auto"/>
        </w:rPr>
      </w:pPr>
    </w:p>
    <w:p>
      <w:pPr>
        <w:ind w:right="40" w:firstLine="896"/>
        <w:spacing w:after="0" w:line="268" w:lineRule="auto"/>
        <w:rPr>
          <w:sz w:val="20"/>
          <w:szCs w:val="20"/>
          <w:color w:val="auto"/>
        </w:rPr>
      </w:pPr>
      <w:r>
        <w:rPr>
          <w:rFonts w:ascii="Arial" w:cs="Arial" w:eastAsia="Arial" w:hAnsi="Arial"/>
          <w:sz w:val="17"/>
          <w:szCs w:val="17"/>
          <w:color w:val="auto"/>
        </w:rPr>
        <w:t>Furthermore, any negative results or new safety signals we or third parties may report in clinical trials of our product candidates may make it difficult or impossible to recruit and retain patients in our clinical trials. Similarly, negative results reported by our competitors about their drug candidates may negatively affect patient recruitment in our clinical trials. In addition, marketing authorization of competitors in this same class of drugs may impair our ability to enroll patients into our clinical trials, delaying or potentially preventing us from completing recruitment of one or more of our trials. Delays or failures in planned patient enrollment or retention may result in increased costs, program delays or both, which could have a harmful effect on our ability to develop pitolisant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18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Even though the FDA granted orphan drug designation to pitolisant for the treatment of narcolepsy, we may not be able to obtain or maintain orphan drug marketing exclusivity for this product candidate or any other product candidates.</w:t>
      </w:r>
    </w:p>
    <w:p>
      <w:pPr>
        <w:spacing w:after="0" w:line="148" w:lineRule="exact"/>
        <w:rPr>
          <w:sz w:val="20"/>
          <w:szCs w:val="20"/>
          <w:color w:val="auto"/>
        </w:rPr>
      </w:pPr>
    </w:p>
    <w:p>
      <w:pPr>
        <w:ind w:firstLine="896"/>
        <w:spacing w:after="0" w:line="282" w:lineRule="auto"/>
        <w:rPr>
          <w:sz w:val="20"/>
          <w:szCs w:val="20"/>
          <w:color w:val="auto"/>
        </w:rPr>
      </w:pPr>
      <w:r>
        <w:rPr>
          <w:rFonts w:ascii="Arial" w:cs="Arial" w:eastAsia="Arial" w:hAnsi="Arial"/>
          <w:sz w:val="16"/>
          <w:szCs w:val="16"/>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annually in the United States. Pitolisant was granted orphan drug designation for the treatment of narcolepsy in 2010. Generally,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for the same indication for that time period.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The applicable exclusivity period is seven years in the United States. Orphan drug exclusivity in the United States may be unavailable where the indication for which the product candidate is approved is broader than the orphan-designated indication, or is otherwise different from the orphan-designated indication. For example, the FDA granted orphan drug designation for pitolisant for the treatment of narcolepsy. Even if we obtain orphan drug exclusivity for a drug candidate, that exclusivity may not effectively protect the candidate from competition. WAKIX may face additional competition because different drugs with a different active moiety can still be approved for the same condition. Even after an approved drug is granted orphan exclusivity, exclusivity may be lost if the FDA later determines that the request for designation was materially defective or if we are unable to assure sufficient quantities of the drug to meet the needs of patients with the rare disease or condition following approval. In addition, the FDA can subsequently approve products with the same active moiety for the same condition if the FDA concludes that the later drug is safer, more effective, or makes a major contribution to patient care.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350" w:lineRule="exact"/>
        <w:rPr>
          <w:sz w:val="20"/>
          <w:szCs w:val="20"/>
          <w:color w:val="auto"/>
        </w:rPr>
      </w:pPr>
    </w:p>
    <w:p>
      <w:pPr>
        <w:ind w:right="80" w:firstLine="896"/>
        <w:spacing w:after="0" w:line="252" w:lineRule="auto"/>
        <w:rPr>
          <w:sz w:val="20"/>
          <w:szCs w:val="20"/>
          <w:color w:val="auto"/>
        </w:rPr>
      </w:pPr>
      <w:r>
        <w:rPr>
          <w:rFonts w:ascii="Arial" w:cs="Arial" w:eastAsia="Arial" w:hAnsi="Arial"/>
          <w:sz w:val="18"/>
          <w:szCs w:val="18"/>
          <w:color w:val="auto"/>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or condition in order to receive orphan drug exclusivity.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54"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i w:val="1"/>
          <w:iCs w:val="1"/>
          <w:color w:val="auto"/>
        </w:rPr>
        <w:t>We are subject to ongoing regulatory obligations and continued regulatory review with respect to WAKIX, which will result in significant additional expense. Additionally, WAKIX could be subject to labeling and other restrictions and market withdrawal, and we may be subject to penalties if we fail to comply with regulatory requirements or experience unanticipated problems with WAKIX.</w:t>
      </w:r>
    </w:p>
    <w:p>
      <w:pPr>
        <w:spacing w:after="0" w:line="143" w:lineRule="exact"/>
        <w:rPr>
          <w:sz w:val="20"/>
          <w:szCs w:val="20"/>
          <w:color w:val="auto"/>
        </w:rPr>
      </w:pPr>
    </w:p>
    <w:p>
      <w:pPr>
        <w:ind w:right="40" w:firstLine="896"/>
        <w:spacing w:after="0" w:line="270" w:lineRule="auto"/>
        <w:rPr>
          <w:sz w:val="20"/>
          <w:szCs w:val="20"/>
          <w:color w:val="auto"/>
        </w:rPr>
      </w:pPr>
      <w:r>
        <w:rPr>
          <w:rFonts w:ascii="Arial" w:cs="Arial" w:eastAsia="Arial" w:hAnsi="Arial"/>
          <w:sz w:val="17"/>
          <w:szCs w:val="17"/>
          <w:color w:val="auto"/>
        </w:rPr>
        <w:t>WAKIX is subject to extensive and ongoing regulatory requirements for manufacturing, labeling, packaging, storage, advertising, promotion, sampling, distribution, import, export, record keeping and submission of safety and other post-market information, including both federal and state requirements in the United States. In addition, manufacturers and manufacturers’ facilities are required to comply with extensive FDA requirements, including ensuring that quality control and manufacturing procedures conform to cGMP. As such, we and our contract manufacturers are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38" w:lineRule="exact"/>
        <w:rPr>
          <w:sz w:val="20"/>
          <w:szCs w:val="20"/>
          <w:color w:val="auto"/>
        </w:rPr>
      </w:pPr>
    </w:p>
    <w:p>
      <w:pPr>
        <w:ind w:right="60" w:firstLine="896"/>
        <w:spacing w:after="0" w:line="270" w:lineRule="auto"/>
        <w:rPr>
          <w:sz w:val="20"/>
          <w:szCs w:val="20"/>
          <w:color w:val="auto"/>
        </w:rPr>
      </w:pPr>
      <w:r>
        <w:rPr>
          <w:rFonts w:ascii="Arial" w:cs="Arial" w:eastAsia="Arial" w:hAnsi="Arial"/>
          <w:sz w:val="17"/>
          <w:szCs w:val="17"/>
          <w:color w:val="auto"/>
        </w:rPr>
        <w:t>Our regulatory approval for WAKIX for the treatment of EDS or cataplexy in adult patients with narcolepsy, and any other regulatory approvals we may receive for pitolisant or any future product candidates may be subject to limitations on the approved indicated uses for which the product may be marketed or to the conditions of approval, or contain requirements for potentially costly post-marketing testing, which must comply with applicable GCP regulations. We could also be asked to conduct post marketing clinical studies to verify the safety and efficacy of future product candidates in general or in specific patient subsets. For example, as a part of the regulatory approval for WAKIX for the treatment of EDS in adult patients with narcolepsy, we are required to conduct post-marketing studies in women exposed to pitolisant in pregnancy, including a</w:t>
      </w:r>
    </w:p>
    <w:p>
      <w:pPr>
        <w:spacing w:after="0" w:line="17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color w:val="auto"/>
        </w:rPr>
        <w:t>registry-based observational cohort study to assess maternal, fetal, and infant outcomes of women exposed to pitolisant during pregnancy, and another study of a different design such as a case control study or a retrospective cohort study using electronic medical record data, and a lactation study.</w:t>
      </w:r>
    </w:p>
    <w:p>
      <w:pPr>
        <w:spacing w:after="0" w:line="102" w:lineRule="exact"/>
        <w:rPr>
          <w:sz w:val="20"/>
          <w:szCs w:val="20"/>
          <w:color w:val="auto"/>
        </w:rPr>
      </w:pPr>
    </w:p>
    <w:p>
      <w:pPr>
        <w:ind w:right="60" w:firstLine="896"/>
        <w:spacing w:after="0" w:line="253" w:lineRule="auto"/>
        <w:rPr>
          <w:sz w:val="20"/>
          <w:szCs w:val="20"/>
          <w:color w:val="auto"/>
        </w:rPr>
      </w:pPr>
      <w:r>
        <w:rPr>
          <w:rFonts w:ascii="Arial" w:cs="Arial" w:eastAsia="Arial" w:hAnsi="Arial"/>
          <w:sz w:val="18"/>
          <w:szCs w:val="18"/>
          <w:color w:val="auto"/>
        </w:rPr>
        <w:t>We will also be required to report certain adverse events and production problems, if any, to the FDA, and to comply with requirements concerning advertising and promotion for WAKIX. Promotional communications with respect to prescription drugs are subject to a variety of legal and regulatory restrictions and must be consistent with the information in the product’s approved label. As such, we may not promote WAKIX for indications or uses for which it does not have FDA approval. The holder of an approved NDA must submit new or supplemental applications and obtain approval for certain changes to the approved product, product labeling or manufacturing process.</w:t>
      </w:r>
    </w:p>
    <w:p>
      <w:pPr>
        <w:spacing w:after="0" w:line="153" w:lineRule="exact"/>
        <w:rPr>
          <w:sz w:val="20"/>
          <w:szCs w:val="20"/>
          <w:color w:val="auto"/>
        </w:rPr>
      </w:pPr>
    </w:p>
    <w:p>
      <w:pPr>
        <w:ind w:right="60" w:firstLine="896"/>
        <w:spacing w:after="0" w:line="255" w:lineRule="auto"/>
        <w:rPr>
          <w:sz w:val="20"/>
          <w:szCs w:val="20"/>
          <w:color w:val="auto"/>
        </w:rPr>
      </w:pPr>
      <w:r>
        <w:rPr>
          <w:rFonts w:ascii="Arial" w:cs="Arial" w:eastAsia="Arial" w:hAnsi="Arial"/>
          <w:sz w:val="18"/>
          <w:szCs w:val="18"/>
          <w:color w:val="auto"/>
        </w:rPr>
        <w:t>If a regulatory agency discovers previously unknown problems with WAKIX, such as adverse events of unanticipated severity or frequency, or problems with the facility where the product is manufactured, or disagrees with the promotion, marketing, or labeling of a product, the regulatory agency may impose restrictions on the product or us, including requiring withdrawal of the product from the market. If we fail to comply with applicable regulatory requirements, a regulatory agency or enforcement authority may, among other things:</w:t>
      </w:r>
    </w:p>
    <w:p>
      <w:pPr>
        <w:spacing w:after="0" w:line="337" w:lineRule="exact"/>
        <w:rPr>
          <w:sz w:val="20"/>
          <w:szCs w:val="20"/>
          <w:color w:val="auto"/>
        </w:rPr>
      </w:pPr>
    </w:p>
    <w:p>
      <w:pPr>
        <w:ind w:left="1340" w:hanging="43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warning or untitled letters;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civil or criminal penalties, including product seizures and injunctions;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or suspend regulatory approval;</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368" w:lineRule="exact"/>
        <w:rPr>
          <w:rFonts w:ascii="Arial" w:cs="Arial" w:eastAsia="Arial" w:hAnsi="Arial"/>
          <w:sz w:val="18"/>
          <w:szCs w:val="18"/>
          <w:color w:val="auto"/>
        </w:rPr>
      </w:pPr>
    </w:p>
    <w:p>
      <w:pPr>
        <w:ind w:left="1340" w:hanging="437"/>
        <w:spacing w:after="0" w:line="27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on the manufacturing of our products, or on the labeling or marketing of our products; or</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 or withdrawal of the products from the market.</w:t>
      </w:r>
    </w:p>
    <w:p>
      <w:pPr>
        <w:spacing w:after="0" w:line="368" w:lineRule="exact"/>
        <w:rPr>
          <w:sz w:val="20"/>
          <w:szCs w:val="20"/>
          <w:color w:val="auto"/>
        </w:rPr>
      </w:pPr>
    </w:p>
    <w:p>
      <w:pPr>
        <w:ind w:right="40" w:firstLine="896"/>
        <w:spacing w:after="0" w:line="293"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WAKIX or future product candidates. If regulatory sanctions are applied or if regulatory approval is withdrawn, the value of our company and our operating results will be adversely affected. Additionally, if we are unable to generate revenues from the sale of WAKIX or future product candidates, our potential for achieving profitability will be diminished and the capital necessary to fund our operations will be increased.</w:t>
      </w:r>
    </w:p>
    <w:p>
      <w:pPr>
        <w:spacing w:after="0" w:line="121" w:lineRule="exact"/>
        <w:rPr>
          <w:sz w:val="20"/>
          <w:szCs w:val="20"/>
          <w:color w:val="auto"/>
        </w:rPr>
      </w:pPr>
    </w:p>
    <w:p>
      <w:pPr>
        <w:ind w:right="140" w:firstLine="896"/>
        <w:spacing w:after="0" w:line="275" w:lineRule="auto"/>
        <w:rPr>
          <w:sz w:val="20"/>
          <w:szCs w:val="20"/>
          <w:color w:val="auto"/>
        </w:rPr>
      </w:pPr>
      <w:r>
        <w:rPr>
          <w:rFonts w:ascii="Arial" w:cs="Arial" w:eastAsia="Arial" w:hAnsi="Arial"/>
          <w:sz w:val="17"/>
          <w:szCs w:val="17"/>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w:t>
      </w:r>
    </w:p>
    <w:p>
      <w:pPr>
        <w:spacing w:after="0" w:line="134" w:lineRule="exact"/>
        <w:rPr>
          <w:sz w:val="20"/>
          <w:szCs w:val="20"/>
          <w:color w:val="auto"/>
        </w:rPr>
      </w:pPr>
    </w:p>
    <w:p>
      <w:pPr>
        <w:ind w:right="180" w:firstLine="896"/>
        <w:spacing w:after="0" w:line="267"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 regulations may be enacted that could prevent, limit or delay regulatory approval of our product candidates. For example, the results of the 2020 U.S. Presidential election may affect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actions will be implemented, or whether they will be rescinded or replaced under the Biden Administration. The policies and priorities of the Biden Administration are unknown and may materially impact the regulatory framework governing our products. If we are slow or unable to adapt to changes in existing requirements or the adoption of new requirements or policies, or if we are not able to maintain regulatory compliance, we may be subject to</w:t>
      </w:r>
    </w:p>
    <w:p>
      <w:pPr>
        <w:spacing w:after="0" w:line="17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enforcement action and we may not achieve or sustain profitability, which would adversely affect our business, prospects, financial condition and results of operations.</w:t>
      </w:r>
    </w:p>
    <w:p>
      <w:pPr>
        <w:spacing w:after="0" w:line="148" w:lineRule="exact"/>
        <w:rPr>
          <w:sz w:val="20"/>
          <w:szCs w:val="20"/>
          <w:color w:val="auto"/>
        </w:rPr>
      </w:pPr>
    </w:p>
    <w:p>
      <w:pPr>
        <w:ind w:right="340" w:firstLine="896"/>
        <w:spacing w:after="0" w:line="301"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12" w:lineRule="exact"/>
        <w:rPr>
          <w:sz w:val="20"/>
          <w:szCs w:val="20"/>
          <w:color w:val="auto"/>
        </w:rPr>
      </w:pPr>
    </w:p>
    <w:p>
      <w:pPr>
        <w:ind w:right="540"/>
        <w:spacing w:after="0" w:line="335"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88"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federal and state healthcare laws and regulations pertaining to fraud and abuse and patients’ rights. These laws may constrain the business or financial arrangements and relationships through which we conduct our operations, including how we research, market, sell and distribute our product candidates, if approved. The laws that affect our current and future operations include, but are not limited to:</w:t>
      </w:r>
    </w:p>
    <w:p>
      <w:pPr>
        <w:spacing w:after="0" w:line="340" w:lineRule="exact"/>
        <w:rPr>
          <w:sz w:val="20"/>
          <w:szCs w:val="20"/>
          <w:color w:val="auto"/>
        </w:rPr>
      </w:pPr>
    </w:p>
    <w:p>
      <w:pPr>
        <w:ind w:left="1340" w:right="20" w:hanging="437"/>
        <w:spacing w:after="0" w:line="251"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certain rebate), directly or indirectly, overtly or covertly, in cash or in kind, in exchange for, or to induce or reward, or in return for, either the referral of an individual for, or the purchase, lease, order or recommendation of, any good, facility, item, or service for which payment may be made, in whole or in part, under any U.S. federal healthcare programs, such as the Medicare and Medicaid programs. This statute has been interpreted to apply to arrangements between pharmaceutical manufacturers on the one hand, and prescribers, purchasers and formulary managers, among others, on the other. A person or entity does not need to have actual knowledge of the statute or specific intent to violate it in order to have committed a violation;</w:t>
      </w:r>
    </w:p>
    <w:p>
      <w:pPr>
        <w:spacing w:after="0" w:line="341" w:lineRule="exact"/>
        <w:rPr>
          <w:rFonts w:ascii="Arial" w:cs="Arial" w:eastAsia="Arial" w:hAnsi="Arial"/>
          <w:sz w:val="18"/>
          <w:szCs w:val="18"/>
          <w:color w:val="auto"/>
        </w:rPr>
      </w:pPr>
    </w:p>
    <w:p>
      <w:pPr>
        <w:ind w:left="1340" w:hanging="437"/>
        <w:spacing w:after="0" w:line="285" w:lineRule="auto"/>
        <w:tabs>
          <w:tab w:leader="none" w:pos="1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civil and criminal false claims laws, such as the False Claims Act (“FCA”), which imposes significant penalties and can be enforced by private citizens through civil qui tam actions, and prohibits individuals or entities from, among other things, knowingly presenting, or causing to be presented, to the U.S. federal government, false, fictitious or fraudulent claims for payment of federal funds, and knowingly making, using or causing to be made or used a false record or statement material to a false or fraudulent claim, or from knowingly making a false statement to avoid, decrease or conceal an obligation to pay money to the U.S.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FCA;</w:t>
      </w:r>
    </w:p>
    <w:p>
      <w:pPr>
        <w:spacing w:after="0" w:line="316" w:lineRule="exact"/>
        <w:rPr>
          <w:rFonts w:ascii="Arial" w:cs="Arial" w:eastAsia="Arial" w:hAnsi="Arial"/>
          <w:sz w:val="16"/>
          <w:szCs w:val="16"/>
          <w:color w:val="auto"/>
        </w:rPr>
      </w:pPr>
    </w:p>
    <w:p>
      <w:pPr>
        <w:ind w:left="1340" w:right="20" w:hanging="437"/>
        <w:spacing w:after="0" w:line="255"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337" w:lineRule="exact"/>
        <w:rPr>
          <w:rFonts w:ascii="Arial" w:cs="Arial" w:eastAsia="Arial" w:hAnsi="Arial"/>
          <w:sz w:val="18"/>
          <w:szCs w:val="18"/>
          <w:color w:val="auto"/>
        </w:rPr>
      </w:pPr>
    </w:p>
    <w:p>
      <w:pPr>
        <w:ind w:left="1340" w:hanging="437"/>
        <w:spacing w:after="0" w:line="272" w:lineRule="auto"/>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323" w:lineRule="exact"/>
        <w:rPr>
          <w:rFonts w:ascii="Arial" w:cs="Arial" w:eastAsia="Arial" w:hAnsi="Arial"/>
          <w:sz w:val="17"/>
          <w:szCs w:val="17"/>
          <w:color w:val="auto"/>
        </w:rPr>
      </w:pPr>
    </w:p>
    <w:p>
      <w:pPr>
        <w:ind w:left="1340" w:hanging="437"/>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hanging="437"/>
        <w:spacing w:after="0" w:line="271"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321" w:lineRule="exact"/>
        <w:rPr>
          <w:rFonts w:ascii="Arial" w:cs="Arial" w:eastAsia="Arial" w:hAnsi="Arial"/>
          <w:sz w:val="18"/>
          <w:szCs w:val="18"/>
          <w:color w:val="auto"/>
        </w:rPr>
      </w:pPr>
    </w:p>
    <w:p>
      <w:pPr>
        <w:ind w:left="1340" w:right="60" w:hanging="437"/>
        <w:spacing w:after="0" w:line="301" w:lineRule="auto"/>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298" w:lineRule="exact"/>
        <w:rPr>
          <w:rFonts w:ascii="Arial" w:cs="Arial" w:eastAsia="Arial" w:hAnsi="Arial"/>
          <w:sz w:val="17"/>
          <w:szCs w:val="17"/>
          <w:color w:val="auto"/>
        </w:rPr>
      </w:pPr>
    </w:p>
    <w:p>
      <w:pPr>
        <w:ind w:left="1340" w:right="140" w:hanging="437"/>
        <w:spacing w:after="0" w:line="335" w:lineRule="auto"/>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state anti-kickback and false claims laws which may apply to items or services reimbursed by any third-party payor, including commercial insurers, and may be broader in scope than their federal equivalents;</w:t>
      </w:r>
    </w:p>
    <w:p>
      <w:pPr>
        <w:spacing w:after="0" w:line="275" w:lineRule="exact"/>
        <w:rPr>
          <w:rFonts w:ascii="Arial" w:cs="Arial" w:eastAsia="Arial" w:hAnsi="Arial"/>
          <w:sz w:val="16"/>
          <w:szCs w:val="16"/>
          <w:color w:val="auto"/>
        </w:rPr>
      </w:pPr>
    </w:p>
    <w:p>
      <w:pPr>
        <w:ind w:left="1340" w:right="120" w:hanging="437"/>
        <w:spacing w:after="0" w:line="288" w:lineRule="auto"/>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federal transparency requirements detailing interactions with and payments to healthcare providers, such as the federal reporting requirements under the Physician Payments Sunshine Act, which requires, among other things, certain manufacturers of drugs, devices, biologics and medical supplies reimbursed under Medicare, Medicaid, or the Children’s Health Insurance Program, with specific exceptions, to report annually to the HHS information related to payments and other transfers of value provided to physicians (defined to include doctors, dentists, optometrists, podiatrists and chiropractors), certain other health care professionals starting January 1, 2022, and teaching hospitals and physician ownership and investment interests, including such ownership and investment interests held by a physician’s immediate family members. Failure to submit required information may result in civil monetary penalties;</w:t>
      </w:r>
    </w:p>
    <w:p>
      <w:pPr>
        <w:spacing w:after="0" w:line="313" w:lineRule="exact"/>
        <w:rPr>
          <w:rFonts w:ascii="Arial" w:cs="Arial" w:eastAsia="Arial" w:hAnsi="Arial"/>
          <w:sz w:val="16"/>
          <w:szCs w:val="16"/>
          <w:color w:val="auto"/>
        </w:rPr>
      </w:pPr>
    </w:p>
    <w:p>
      <w:pPr>
        <w:ind w:left="1340" w:right="180" w:hanging="437"/>
        <w:spacing w:after="0" w:line="253"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potential referral sources, state laws that require drug manufacturers to file reports relating to pricing information and marketing expenditures, state and local laws requiring the registration of pharmaceutical sales representatives;</w:t>
      </w:r>
    </w:p>
    <w:p>
      <w:pPr>
        <w:spacing w:after="0" w:line="340" w:lineRule="exact"/>
        <w:rPr>
          <w:rFonts w:ascii="Arial" w:cs="Arial" w:eastAsia="Arial" w:hAnsi="Arial"/>
          <w:sz w:val="18"/>
          <w:szCs w:val="18"/>
          <w:color w:val="auto"/>
        </w:rPr>
      </w:pPr>
    </w:p>
    <w:p>
      <w:pPr>
        <w:ind w:left="1340" w:hanging="437"/>
        <w:spacing w:after="0" w:line="275" w:lineRule="auto"/>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321" w:lineRule="exact"/>
        <w:rPr>
          <w:rFonts w:ascii="Arial" w:cs="Arial" w:eastAsia="Arial" w:hAnsi="Arial"/>
          <w:sz w:val="17"/>
          <w:szCs w:val="17"/>
          <w:color w:val="auto"/>
        </w:rPr>
      </w:pPr>
    </w:p>
    <w:p>
      <w:pPr>
        <w:ind w:left="1340" w:right="280" w:hanging="437"/>
        <w:spacing w:after="0" w:line="271"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similar healthcare laws in the European Union and EEA and other jurisdictions, including reporting requirements detailing interactions with and payments to healthcare providers.</w:t>
      </w:r>
    </w:p>
    <w:p>
      <w:pPr>
        <w:spacing w:after="0" w:line="322" w:lineRule="exact"/>
        <w:rPr>
          <w:sz w:val="20"/>
          <w:szCs w:val="20"/>
          <w:color w:val="auto"/>
        </w:rPr>
      </w:pPr>
    </w:p>
    <w:p>
      <w:pPr>
        <w:ind w:right="20" w:firstLine="896"/>
        <w:spacing w:after="0" w:line="267" w:lineRule="auto"/>
        <w:rPr>
          <w:sz w:val="20"/>
          <w:szCs w:val="20"/>
          <w:color w:val="auto"/>
        </w:rPr>
      </w:pPr>
      <w:r>
        <w:rPr>
          <w:rFonts w:ascii="Arial" w:cs="Arial" w:eastAsia="Arial" w:hAnsi="Arial"/>
          <w:sz w:val="17"/>
          <w:szCs w:val="17"/>
          <w:color w:val="auto"/>
        </w:rPr>
        <w:t>Ensuring that our business operations and current and future arrangements with third parties comply with applicable healthcare laws and regulations will likely be costly. It is possible that governmental authorities will conclude that our business practices, including, without limitation, our patient support and financial assistance programs, do not comply with current or future statutes, regulations, agency guidance or case law involving applicable fraud and abuse or other healthcare laws. If our operations are found to be in violation of any of the laws described above or any other governmental laws and regulations that apply to us, we may be subject to penalties, including civil, administrative and criminal penalties, damages, fines, the curtailment or restructuring of our operations, contractual damages, disgorgement, reputational harm, additional oversight and reporting obligations if we become subject to a corporate integrity agreement or similar agreement to resolve allegations of non-compliance with these laws, the exclusion from participation in federal and state healthcare programs and individual imprisonment, any of which could adversely affect our ability to market pitolisant, if approved, and adversely impact our financial results. Further, defending against any such actions can be costly, time-consuming and may require significant personnel resources.</w:t>
      </w:r>
    </w:p>
    <w:p>
      <w:pPr>
        <w:spacing w:after="0" w:line="152" w:lineRule="exact"/>
        <w:rPr>
          <w:sz w:val="20"/>
          <w:szCs w:val="20"/>
          <w:color w:val="auto"/>
        </w:rPr>
      </w:pPr>
    </w:p>
    <w:p>
      <w:pPr>
        <w:ind w:right="240" w:firstLine="896"/>
        <w:spacing w:after="0" w:line="259"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The risk of our being found in violation of these laws is increased by the fact that many of them have not been fully interpreted by the applicable regulatory agencies or the courts, and their provisions are open to a variety of interpretations.</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48" w:lineRule="exact"/>
        <w:rPr>
          <w:sz w:val="20"/>
          <w:szCs w:val="20"/>
          <w:color w:val="auto"/>
        </w:rPr>
      </w:pPr>
    </w:p>
    <w:p>
      <w:pPr>
        <w:ind w:right="100" w:firstLine="896"/>
        <w:spacing w:after="0" w:line="285"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29" w:lineRule="exact"/>
        <w:rPr>
          <w:sz w:val="20"/>
          <w:szCs w:val="20"/>
          <w:color w:val="auto"/>
        </w:rPr>
      </w:pPr>
    </w:p>
    <w:p>
      <w:pPr>
        <w:ind w:firstLine="896"/>
        <w:spacing w:after="0" w:line="265" w:lineRule="auto"/>
        <w:rPr>
          <w:sz w:val="20"/>
          <w:szCs w:val="20"/>
          <w:color w:val="auto"/>
        </w:rPr>
      </w:pPr>
      <w:r>
        <w:rPr>
          <w:rFonts w:ascii="Arial" w:cs="Arial" w:eastAsia="Arial" w:hAnsi="Arial"/>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50" w:lineRule="exact"/>
        <w:rPr>
          <w:sz w:val="20"/>
          <w:szCs w:val="20"/>
          <w:color w:val="auto"/>
        </w:rPr>
      </w:pPr>
    </w:p>
    <w:p>
      <w:pPr>
        <w:ind w:right="20" w:firstLine="896"/>
        <w:spacing w:after="0" w:line="284"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as amended by HITECH. While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42" w:lineRule="exact"/>
        <w:rPr>
          <w:sz w:val="20"/>
          <w:szCs w:val="20"/>
          <w:color w:val="auto"/>
        </w:rPr>
      </w:pPr>
    </w:p>
    <w:p>
      <w:pPr>
        <w:ind w:right="40" w:firstLine="896"/>
        <w:spacing w:after="0" w:line="255"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159" w:lineRule="exact"/>
        <w:rPr>
          <w:sz w:val="20"/>
          <w:szCs w:val="20"/>
          <w:color w:val="auto"/>
        </w:rPr>
      </w:pPr>
    </w:p>
    <w:p>
      <w:pPr>
        <w:ind w:right="20" w:firstLine="896"/>
        <w:spacing w:after="0" w:line="283" w:lineRule="auto"/>
        <w:rPr>
          <w:sz w:val="20"/>
          <w:szCs w:val="20"/>
          <w:color w:val="auto"/>
        </w:rPr>
      </w:pPr>
      <w:r>
        <w:rPr>
          <w:rFonts w:ascii="Arial" w:cs="Arial" w:eastAsia="Arial" w:hAnsi="Arial"/>
          <w:sz w:val="16"/>
          <w:szCs w:val="16"/>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Further, from January 1, 2021, companies have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w:t>
      </w:r>
    </w:p>
    <w:p>
      <w:pPr>
        <w:spacing w:after="0" w:line="129" w:lineRule="exact"/>
        <w:rPr>
          <w:sz w:val="20"/>
          <w:szCs w:val="20"/>
          <w:color w:val="auto"/>
        </w:rPr>
      </w:pPr>
    </w:p>
    <w:p>
      <w:pPr>
        <w:ind w:firstLine="896"/>
        <w:spacing w:after="0" w:line="287"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practice guidelines and recommendations published by various organizations could have significant influence on the use of WAKIX.</w:t>
      </w:r>
    </w:p>
    <w:p>
      <w:pPr>
        <w:spacing w:after="0" w:line="217" w:lineRule="exact"/>
        <w:rPr>
          <w:sz w:val="20"/>
          <w:szCs w:val="20"/>
          <w:color w:val="auto"/>
        </w:rPr>
      </w:pPr>
    </w:p>
    <w:p>
      <w:pPr>
        <w:ind w:right="60" w:firstLine="896"/>
        <w:spacing w:after="0" w:line="253" w:lineRule="auto"/>
        <w:rPr>
          <w:sz w:val="20"/>
          <w:szCs w:val="20"/>
          <w:color w:val="auto"/>
        </w:rPr>
      </w:pPr>
      <w:r>
        <w:rPr>
          <w:rFonts w:ascii="Arial" w:cs="Arial" w:eastAsia="Arial" w:hAnsi="Arial"/>
          <w:sz w:val="18"/>
          <w:szCs w:val="18"/>
          <w:color w:val="auto"/>
        </w:rPr>
        <w:t>Professional societies, practice management groups, private health and science foundations and organizations involved in various diseases from time to time may publish guidelines or recommendations to the healthcare and patient communities. The recommendations of these groups or organizations may relate to such matters as usage, dosage, route of administration and use of concomitant therapies. Recommendations or guidelines suggesting the reduced use of WAKIX or the use of competitive or alternative products as the standard of care to be followed by patients and healthcare providers could result in decreased use of WAKIX.</w:t>
      </w:r>
    </w:p>
    <w:p>
      <w:pPr>
        <w:spacing w:after="0" w:line="153"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i w:val="1"/>
          <w:iCs w:val="1"/>
          <w:color w:val="auto"/>
        </w:rPr>
        <w:t>Product candidates we develop in the future may be classified as controlled substances, the making, use, sale, importation, exportation and distribution of which are subject to regulation by state, federal and foreign law enforcement and other regulatory agencies.</w:t>
      </w:r>
    </w:p>
    <w:p>
      <w:pPr>
        <w:spacing w:after="0" w:line="112" w:lineRule="exact"/>
        <w:rPr>
          <w:sz w:val="20"/>
          <w:szCs w:val="20"/>
          <w:color w:val="auto"/>
        </w:rPr>
      </w:pPr>
    </w:p>
    <w:p>
      <w:pPr>
        <w:jc w:val="both"/>
        <w:ind w:right="80" w:firstLine="896"/>
        <w:spacing w:after="0" w:line="259" w:lineRule="auto"/>
        <w:rPr>
          <w:sz w:val="20"/>
          <w:szCs w:val="20"/>
          <w:color w:val="auto"/>
        </w:rPr>
      </w:pPr>
      <w:r>
        <w:rPr>
          <w:rFonts w:ascii="Arial" w:cs="Arial" w:eastAsia="Arial" w:hAnsi="Arial"/>
          <w:sz w:val="18"/>
          <w:szCs w:val="18"/>
          <w:color w:val="auto"/>
        </w:rPr>
        <w:t>Product candidates we develop in the future may be classified as controlled substances, which are subject to state, federal and foreign laws and regulations regarding their manufacture, use, sale, importation, exportation and distribution. Controlled substances are regulated under CSA and regulations of the DEA.</w:t>
      </w:r>
    </w:p>
    <w:p>
      <w:pPr>
        <w:spacing w:after="0" w:line="159" w:lineRule="exact"/>
        <w:rPr>
          <w:sz w:val="20"/>
          <w:szCs w:val="20"/>
          <w:color w:val="auto"/>
        </w:rPr>
      </w:pPr>
    </w:p>
    <w:p>
      <w:pPr>
        <w:ind w:right="240" w:firstLine="896"/>
        <w:spacing w:after="0" w:line="259"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considered to present the highest risk of abuse and Schedule V substances the lowest relative risk of abuse among such substances.</w:t>
      </w:r>
    </w:p>
    <w:p>
      <w:pPr>
        <w:spacing w:after="0" w:line="194" w:lineRule="exact"/>
        <w:rPr>
          <w:sz w:val="20"/>
          <w:szCs w:val="20"/>
          <w:color w:val="auto"/>
        </w:rPr>
      </w:pPr>
    </w:p>
    <w:p>
      <w:pPr>
        <w:ind w:firstLine="896"/>
        <w:spacing w:after="0" w:line="251" w:lineRule="auto"/>
        <w:rPr>
          <w:sz w:val="20"/>
          <w:szCs w:val="20"/>
          <w:color w:val="auto"/>
        </w:rPr>
      </w:pPr>
      <w:r>
        <w:rPr>
          <w:rFonts w:ascii="Arial" w:cs="Arial" w:eastAsia="Arial" w:hAnsi="Arial"/>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56" w:lineRule="exact"/>
        <w:rPr>
          <w:sz w:val="20"/>
          <w:szCs w:val="20"/>
          <w:color w:val="auto"/>
        </w:rPr>
      </w:pPr>
    </w:p>
    <w:p>
      <w:pPr>
        <w:ind w:right="120" w:firstLine="896"/>
        <w:spacing w:after="0" w:line="293" w:lineRule="auto"/>
        <w:rPr>
          <w:sz w:val="20"/>
          <w:szCs w:val="20"/>
          <w:color w:val="auto"/>
        </w:rPr>
      </w:pPr>
      <w:r>
        <w:rPr>
          <w:rFonts w:ascii="Arial" w:cs="Arial" w:eastAsia="Arial" w:hAnsi="Arial"/>
          <w:sz w:val="16"/>
          <w:szCs w:val="16"/>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case of our approved products, the ability to produce and distribute our products in the volume needed to meet commercial demand.</w:t>
      </w:r>
    </w:p>
    <w:p>
      <w:pPr>
        <w:spacing w:after="0" w:line="121" w:lineRule="exact"/>
        <w:rPr>
          <w:sz w:val="20"/>
          <w:szCs w:val="20"/>
          <w:color w:val="auto"/>
        </w:rPr>
      </w:pPr>
    </w:p>
    <w:p>
      <w:pPr>
        <w:ind w:right="120" w:firstLine="896"/>
        <w:spacing w:after="0" w:line="268"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approved products or product candidates that are classified as controlled substances.</w:t>
      </w:r>
    </w:p>
    <w:p>
      <w:pPr>
        <w:spacing w:after="0" w:line="15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legislative changes may increase the difficulty and cost for us to obtain marketing approval for and commercialize our product candidates and affect the prices we may obtain.</w:t>
      </w:r>
    </w:p>
    <w:p>
      <w:pPr>
        <w:spacing w:after="0" w:line="134" w:lineRule="exact"/>
        <w:rPr>
          <w:sz w:val="20"/>
          <w:szCs w:val="20"/>
          <w:color w:val="auto"/>
        </w:rPr>
      </w:pPr>
    </w:p>
    <w:p>
      <w:pPr>
        <w:ind w:right="100" w:firstLine="896"/>
        <w:spacing w:after="0" w:line="285" w:lineRule="auto"/>
        <w:rPr>
          <w:sz w:val="20"/>
          <w:szCs w:val="20"/>
          <w:color w:val="auto"/>
        </w:rPr>
      </w:pPr>
      <w:r>
        <w:rPr>
          <w:rFonts w:ascii="Arial" w:cs="Arial" w:eastAsia="Arial" w:hAnsi="Arial"/>
          <w:sz w:val="16"/>
          <w:szCs w:val="16"/>
          <w:color w:val="auto"/>
        </w:rPr>
        <w:t>In the United States, the European Union and other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to broaden access to health insurance, reduce or constrain the growth of healthcare spending, enhance remedies against fraud and abuse, add new transparency requirements for health care and health insurance industries, impose new taxes and fees on the healthcare industry, and impose additional healthcare policy reforms. The law has continued the downward pressure on pharmaceutical pricing, especially under the Medicare program, and increased the industry’s regulatory burdens and operating costs. Among the provisions of the ACA of importance to the pharmaceutical industry and our potential product candidates are the following:</w:t>
      </w:r>
    </w:p>
    <w:p>
      <w:pPr>
        <w:spacing w:after="0" w:line="316" w:lineRule="exact"/>
        <w:rPr>
          <w:sz w:val="20"/>
          <w:szCs w:val="20"/>
          <w:color w:val="auto"/>
        </w:rPr>
      </w:pPr>
    </w:p>
    <w:p>
      <w:pPr>
        <w:ind w:left="1340" w:right="20" w:hanging="437"/>
        <w:spacing w:after="0" w:line="259"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(other than those designated as orphan drugs), which is apportioned among these entities according to their market share in certain government healthcare programs;</w:t>
      </w:r>
    </w:p>
    <w:p>
      <w:pPr>
        <w:spacing w:after="0" w:line="332" w:lineRule="exact"/>
        <w:rPr>
          <w:rFonts w:ascii="Arial" w:cs="Arial" w:eastAsia="Arial" w:hAnsi="Arial"/>
          <w:sz w:val="18"/>
          <w:szCs w:val="18"/>
          <w:color w:val="auto"/>
        </w:rPr>
      </w:pPr>
    </w:p>
    <w:p>
      <w:pPr>
        <w:ind w:left="1340" w:right="80" w:hanging="437"/>
        <w:spacing w:after="0" w:line="27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for branded and generic drugs;</w:t>
      </w:r>
    </w:p>
    <w:p>
      <w:pPr>
        <w:spacing w:after="0" w:line="321" w:lineRule="exact"/>
        <w:rPr>
          <w:rFonts w:ascii="Arial" w:cs="Arial" w:eastAsia="Arial" w:hAnsi="Arial"/>
          <w:sz w:val="18"/>
          <w:szCs w:val="18"/>
          <w:color w:val="auto"/>
        </w:rPr>
      </w:pPr>
    </w:p>
    <w:p>
      <w:pPr>
        <w:ind w:left="1340" w:right="500" w:hanging="437"/>
        <w:spacing w:after="0" w:line="27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34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right="60" w:hanging="437"/>
        <w:spacing w:after="0" w:line="259"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Medicare Part D coverage gap discount program, in which manufacturers must agree to offer 70% point-of-sale discounts off negotiated prices of applicable brand drugs to eligible beneficiaries under their coverage gap period, as a condition for the manufacturer’s outpatient drugs to be covered under Medicare Part D;</w:t>
      </w:r>
    </w:p>
    <w:p>
      <w:pPr>
        <w:spacing w:after="0" w:line="332" w:lineRule="exact"/>
        <w:rPr>
          <w:rFonts w:ascii="Arial" w:cs="Arial" w:eastAsia="Arial" w:hAnsi="Arial"/>
          <w:sz w:val="18"/>
          <w:szCs w:val="18"/>
          <w:color w:val="auto"/>
        </w:rPr>
      </w:pPr>
    </w:p>
    <w:p>
      <w:pPr>
        <w:ind w:left="1340" w:right="240" w:hanging="437"/>
        <w:spacing w:after="0" w:line="271"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321" w:lineRule="exact"/>
        <w:rPr>
          <w:rFonts w:ascii="Arial" w:cs="Arial" w:eastAsia="Arial" w:hAnsi="Arial"/>
          <w:sz w:val="18"/>
          <w:szCs w:val="18"/>
          <w:color w:val="auto"/>
        </w:rPr>
      </w:pPr>
    </w:p>
    <w:p>
      <w:pPr>
        <w:ind w:left="1340" w:right="220" w:hanging="437"/>
        <w:spacing w:after="0" w:line="259"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332" w:lineRule="exact"/>
        <w:rPr>
          <w:rFonts w:ascii="Arial" w:cs="Arial" w:eastAsia="Arial" w:hAnsi="Arial"/>
          <w:sz w:val="18"/>
          <w:szCs w:val="18"/>
          <w:color w:val="auto"/>
        </w:rPr>
      </w:pPr>
    </w:p>
    <w:p>
      <w:pPr>
        <w:ind w:left="1340" w:hanging="437"/>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368" w:lineRule="exact"/>
        <w:rPr>
          <w:rFonts w:ascii="Arial" w:cs="Arial" w:eastAsia="Arial" w:hAnsi="Arial"/>
          <w:sz w:val="18"/>
          <w:szCs w:val="18"/>
          <w:color w:val="auto"/>
        </w:rPr>
      </w:pPr>
    </w:p>
    <w:p>
      <w:pPr>
        <w:ind w:left="1340" w:right="100" w:hanging="437"/>
        <w:spacing w:after="0" w:line="271"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CMS to test innovative payment and service delivery models to lower Medicare and Medicaid spending, potentially including prescription drug spending; and</w:t>
      </w:r>
    </w:p>
    <w:p>
      <w:pPr>
        <w:spacing w:after="0" w:line="321" w:lineRule="exact"/>
        <w:rPr>
          <w:rFonts w:ascii="Arial" w:cs="Arial" w:eastAsia="Arial" w:hAnsi="Arial"/>
          <w:sz w:val="18"/>
          <w:szCs w:val="18"/>
          <w:color w:val="auto"/>
        </w:rPr>
      </w:pPr>
    </w:p>
    <w:p>
      <w:pPr>
        <w:ind w:left="1340" w:right="420" w:hanging="437"/>
        <w:spacing w:after="0" w:line="271"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322" w:lineRule="exact"/>
        <w:rPr>
          <w:sz w:val="20"/>
          <w:szCs w:val="20"/>
          <w:color w:val="auto"/>
        </w:rPr>
      </w:pPr>
    </w:p>
    <w:p>
      <w:pPr>
        <w:jc w:val="both"/>
        <w:ind w:right="140" w:firstLine="896"/>
        <w:spacing w:after="0" w:line="259" w:lineRule="auto"/>
        <w:rPr>
          <w:sz w:val="20"/>
          <w:szCs w:val="20"/>
          <w:color w:val="auto"/>
        </w:rPr>
      </w:pPr>
      <w:r>
        <w:rPr>
          <w:rFonts w:ascii="Arial" w:cs="Arial" w:eastAsia="Arial" w:hAnsi="Arial"/>
          <w:sz w:val="18"/>
          <w:szCs w:val="18"/>
          <w:color w:val="auto"/>
        </w:rPr>
        <w:t>Since its enactment, there have been numerous judicial, executive and legislative challenges to certain aspects of the ACA. The U.S. Supreme Court is currently reviewing the constitutionality of the ACA in its entirety. It is unclear whether the ACA will be overturned, repealed, replaced, or further amended. We cannot predict what affect further changes to the ACA would have on our business.</w:t>
      </w:r>
    </w:p>
    <w:p>
      <w:pPr>
        <w:spacing w:after="0" w:line="159" w:lineRule="exact"/>
        <w:rPr>
          <w:sz w:val="20"/>
          <w:szCs w:val="20"/>
          <w:color w:val="auto"/>
        </w:rPr>
      </w:pPr>
    </w:p>
    <w:p>
      <w:pPr>
        <w:ind w:firstLine="896"/>
        <w:spacing w:after="0" w:line="290"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For example, in August 2011, the Budget Control Act of 2011, among other things, led to aggregate reductions to Medicare payments to providers of 2% per fiscal year, which went into effect in April 2013 and, due to subsequent legislative amendments to the statute, will stay in effect through 2030, with the exception of a temporary suspension from May 1, 2020 through March 31, 2021, unless additional Congressional action is taken. Additionally, in January 2013, the American Taxpayer Relief Act of 2012 was signed into law, which, among other things, reduced Medicare payments to several types of providers, including hospitals and cancer treatment centers, and increased the statute of limitations period in which the government may recover overpayments to providers from three to five years.</w:t>
      </w:r>
    </w:p>
    <w:p>
      <w:pPr>
        <w:spacing w:after="0" w:line="124" w:lineRule="exact"/>
        <w:rPr>
          <w:sz w:val="20"/>
          <w:szCs w:val="20"/>
          <w:color w:val="auto"/>
        </w:rPr>
      </w:pPr>
    </w:p>
    <w:p>
      <w:pPr>
        <w:ind w:right="20" w:firstLine="896"/>
        <w:spacing w:after="0" w:line="251"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will require authorization through additional legislation to become effective, the probability of their success is uncertain, particularly in light of the new Presidential administration.</w:t>
      </w:r>
    </w:p>
    <w:p>
      <w:pPr>
        <w:spacing w:after="0" w:line="156" w:lineRule="exact"/>
        <w:rPr>
          <w:sz w:val="20"/>
          <w:szCs w:val="20"/>
          <w:color w:val="auto"/>
        </w:rPr>
      </w:pPr>
    </w:p>
    <w:p>
      <w:pPr>
        <w:ind w:right="100" w:firstLine="896"/>
        <w:spacing w:after="0" w:line="287"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 reference pricing systems and publication of discounts and list prices. These reforms could reduce the ultimate demand for our commercial products and product candidates, once approved, or put pressure on our product pricing.</w:t>
      </w:r>
    </w:p>
    <w:p>
      <w:pPr>
        <w:spacing w:after="0" w:line="139" w:lineRule="exact"/>
        <w:rPr>
          <w:sz w:val="20"/>
          <w:szCs w:val="20"/>
          <w:color w:val="auto"/>
        </w:rPr>
      </w:pPr>
    </w:p>
    <w:p>
      <w:pPr>
        <w:ind w:right="100" w:firstLine="896"/>
        <w:spacing w:after="0" w:line="271"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152" w:lineRule="exact"/>
        <w:rPr>
          <w:sz w:val="20"/>
          <w:szCs w:val="20"/>
          <w:color w:val="auto"/>
        </w:rPr>
      </w:pPr>
    </w:p>
    <w:p>
      <w:pPr>
        <w:ind w:firstLine="896"/>
        <w:spacing w:after="0" w:line="297"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11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spacing w:after="0" w:line="129" w:lineRule="exact"/>
        <w:rPr>
          <w:sz w:val="20"/>
          <w:szCs w:val="20"/>
          <w:color w:val="auto"/>
        </w:rPr>
      </w:pPr>
    </w:p>
    <w:p>
      <w:pPr>
        <w:ind w:right="20" w:firstLine="896"/>
        <w:spacing w:after="0" w:line="284" w:lineRule="auto"/>
        <w:rPr>
          <w:sz w:val="20"/>
          <w:szCs w:val="20"/>
          <w:color w:val="auto"/>
        </w:rPr>
      </w:pPr>
      <w:r>
        <w:rPr>
          <w:rFonts w:ascii="Arial" w:cs="Arial" w:eastAsia="Arial" w:hAnsi="Arial"/>
          <w:sz w:val="16"/>
          <w:szCs w:val="16"/>
          <w:color w:val="auto"/>
        </w:rPr>
        <w:t>We participate in and have certain price reporting obligations to the Medicaid Drug Rebate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we have to report on a monthly and quarterly basis to the CMS, the federal agency that administers the Medicaid Drug Rebate Program. These data include, among other things, the average manufacturer price (“AMP”) and, in the case of innovator products, the best price (“BP”) for each drug which, in general, represents the lowest price available from the manufacturer to any entity in the U.S. in any pricing structure, calculated to include all sales and associated rebates, discounts and other price concessions. We are liable for errors associated with our submission of pricing data and for any overcharging of government payors. For example, failure to submit monthly and/or quarterly AMP and BP data on a timely basis could result in a civil monetary penalty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w:t>
      </w:r>
    </w:p>
    <w:p>
      <w:pPr>
        <w:spacing w:after="0" w:line="142" w:lineRule="exact"/>
        <w:rPr>
          <w:sz w:val="20"/>
          <w:szCs w:val="20"/>
          <w:color w:val="auto"/>
        </w:rPr>
      </w:pPr>
    </w:p>
    <w:p>
      <w:pPr>
        <w:ind w:right="60" w:firstLine="896"/>
        <w:spacing w:after="0" w:line="266"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or other legislation or regulation could affect our 340B ceiling price calculations and negatively impact our results of operations commercializing pitolisant. In addition, legislation may be introduced that, if passed, would further expand the 340B program to additional covered entities or would</w:t>
      </w:r>
    </w:p>
    <w:p>
      <w:pPr>
        <w:spacing w:after="0" w:line="18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require participating manufacturers to agree to provide 340B discounted pricing on drugs used in an inpatient setting.</w:t>
      </w:r>
    </w:p>
    <w:p>
      <w:pPr>
        <w:spacing w:after="0" w:line="194" w:lineRule="exact"/>
        <w:rPr>
          <w:sz w:val="20"/>
          <w:szCs w:val="20"/>
          <w:color w:val="auto"/>
        </w:rPr>
      </w:pPr>
    </w:p>
    <w:p>
      <w:pPr>
        <w:ind w:right="20" w:firstLine="896"/>
        <w:spacing w:after="0" w:line="272" w:lineRule="auto"/>
        <w:rPr>
          <w:sz w:val="20"/>
          <w:szCs w:val="20"/>
          <w:color w:val="auto"/>
        </w:rPr>
      </w:pPr>
      <w:r>
        <w:rPr>
          <w:rFonts w:ascii="Arial" w:cs="Arial" w:eastAsia="Arial" w:hAnsi="Arial"/>
          <w:sz w:val="17"/>
          <w:szCs w:val="17"/>
          <w:color w:val="auto"/>
        </w:rPr>
        <w:t>In order to be eligible to have our products that we successfully commercialize paid for with federal funds under the Medicaid program and purchased by certain federal agencies and grantees, we also have to participate in the U.S. Department of Veterans Affairs (“VA”), Federal Supply Schedule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w:t>
      </w:r>
    </w:p>
    <w:p>
      <w:pPr>
        <w:spacing w:after="0" w:line="13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antimony laundering laws and regulations. Compliance with these legal standards could impair our ability to compete in domestic markets. We can face criminal liability and other serious consequences for violations, which can harm our business.</w:t>
      </w:r>
    </w:p>
    <w:p>
      <w:pPr>
        <w:spacing w:after="0" w:line="146" w:lineRule="exact"/>
        <w:rPr>
          <w:sz w:val="20"/>
          <w:szCs w:val="20"/>
          <w:color w:val="auto"/>
        </w:rPr>
      </w:pPr>
    </w:p>
    <w:p>
      <w:pPr>
        <w:ind w:right="40" w:firstLine="896"/>
        <w:spacing w:after="0" w:line="266"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have direct or indirect interactions with officials and employees of government agencies or government- affiliated hospitals, universities, and other organizations. We can be held liable for the corrupt or other illegal activities of our employees, agents, contractors and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50"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53" w:lineRule="exact"/>
        <w:rPr>
          <w:sz w:val="20"/>
          <w:szCs w:val="20"/>
          <w:color w:val="auto"/>
        </w:rPr>
      </w:pPr>
    </w:p>
    <w:p>
      <w:pPr>
        <w:ind w:right="80" w:firstLine="896"/>
        <w:spacing w:after="0" w:line="284"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on March 18, 2020, the FDA announced its intention to temporarily postpone routine surveillance inspections of domestic manufacturing facilities and provided guidance regarding the conduct of clinical trials.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w:t>
      </w:r>
    </w:p>
    <w:p>
      <w:pPr>
        <w:spacing w:after="0" w:line="17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ability of the FDA to timely review and process our regulatory submissions, which could have a material adverse effect on our business. Further, upon closing of this offering and in our operations as a U.S. public company, future government shutdowns or delays could impact our ability to access the public markets and obtain necessary capital in order to properly capitalize and continue our operations.</w:t>
      </w:r>
    </w:p>
    <w:p>
      <w:pPr>
        <w:spacing w:after="0" w:line="15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34" w:lineRule="exact"/>
        <w:rPr>
          <w:sz w:val="20"/>
          <w:szCs w:val="20"/>
          <w:color w:val="auto"/>
        </w:rPr>
      </w:pPr>
    </w:p>
    <w:p>
      <w:pPr>
        <w:ind w:right="100" w:firstLine="896"/>
        <w:spacing w:after="0" w:line="267" w:lineRule="auto"/>
        <w:rPr>
          <w:sz w:val="20"/>
          <w:szCs w:val="20"/>
          <w:color w:val="auto"/>
        </w:rPr>
      </w:pPr>
      <w:r>
        <w:rPr>
          <w:rFonts w:ascii="Arial" w:cs="Arial" w:eastAsia="Arial" w:hAnsi="Arial"/>
          <w:sz w:val="17"/>
          <w:szCs w:val="17"/>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If the FDA objects to any of our proposed product names, we may be required to adopt an alternative name for our product candidates. If we adopt an alternative name, we would lose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9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34" w:lineRule="exact"/>
        <w:rPr>
          <w:sz w:val="20"/>
          <w:szCs w:val="20"/>
          <w:color w:val="auto"/>
        </w:rPr>
      </w:pPr>
    </w:p>
    <w:p>
      <w:pPr>
        <w:ind w:firstLine="896"/>
        <w:spacing w:after="0" w:line="269" w:lineRule="auto"/>
        <w:rPr>
          <w:sz w:val="20"/>
          <w:szCs w:val="20"/>
          <w:color w:val="auto"/>
        </w:rPr>
      </w:pPr>
      <w:r>
        <w:rPr>
          <w:rFonts w:ascii="Arial" w:cs="Arial" w:eastAsia="Arial" w:hAnsi="Arial"/>
          <w:sz w:val="17"/>
          <w:szCs w:val="17"/>
          <w:color w:val="auto"/>
        </w:rPr>
        <w:t>We rely, and will continue to rely, on a combination of patents, trademarks and confidentiality agreements with employees, consultants, collaborators, advisors and other third parties to protect the intellectual property related to our current and future product candidates. Our success depends in large part on our licensor’s ability to obtain and maintain patent protection in the United States with respect to WAKIX and our ability to obtain and maintain patent protection in the United States and any other relevant foreign jurisdictions with respect to any future product candidates that we develop. We seek to ensure that our current and future licensors obtain appropriate patent protection to all product candidates that we license from them. The patent prosecution process is expensive and time- consuming, and we and our licensors may not be able to file and prosecute all necessary or desirable patent applications at a reasonable cost or in a timely manner.</w:t>
      </w:r>
    </w:p>
    <w:p>
      <w:pPr>
        <w:spacing w:after="0" w:line="138" w:lineRule="exact"/>
        <w:rPr>
          <w:sz w:val="20"/>
          <w:szCs w:val="20"/>
          <w:color w:val="auto"/>
        </w:rPr>
      </w:pPr>
    </w:p>
    <w:p>
      <w:pPr>
        <w:ind w:right="40" w:firstLine="896"/>
        <w:spacing w:after="0" w:line="252" w:lineRule="auto"/>
        <w:rPr>
          <w:sz w:val="20"/>
          <w:szCs w:val="20"/>
          <w:color w:val="auto"/>
        </w:rPr>
      </w:pPr>
      <w:r>
        <w:rPr>
          <w:rFonts w:ascii="Arial" w:cs="Arial" w:eastAsia="Arial" w:hAnsi="Arial"/>
          <w:sz w:val="18"/>
          <w:szCs w:val="18"/>
          <w:color w:val="auto"/>
        </w:rPr>
        <w:t>Our patent portfolio comprises three U.S. patents exclusively licensed to us from Bioprojet. One U.S. patent, No. 8,207,197 has claims directed to a polymorph, i.e. a specific crystalline form, of pitolisant and, methods for preparing that polymorph of pitolisant, which is expected to expire in February 2029 without taking into consideration any possible patent term extension. A second U.S. patent, No. 8,486,497, has claims directed to methods of treating excessive daytime sleepiness by administering pitolisant, which is expected to expire in September 2029 without taking into consideration any possible patent term extension. With all applicable patent term adjustments available and granted to us, the term of the last-to-expire pitolisant-related patent in our portfolio extends to September 2029.</w:t>
      </w:r>
    </w:p>
    <w:p>
      <w:pPr>
        <w:spacing w:after="0" w:line="167" w:lineRule="exact"/>
        <w:rPr>
          <w:sz w:val="20"/>
          <w:szCs w:val="20"/>
          <w:color w:val="auto"/>
        </w:rPr>
      </w:pPr>
    </w:p>
    <w:p>
      <w:pPr>
        <w:ind w:right="100" w:firstLine="896"/>
        <w:spacing w:after="0" w:line="285" w:lineRule="auto"/>
        <w:rPr>
          <w:sz w:val="20"/>
          <w:szCs w:val="20"/>
          <w:color w:val="auto"/>
        </w:rPr>
      </w:pPr>
      <w:r>
        <w:rPr>
          <w:rFonts w:ascii="Arial" w:cs="Arial" w:eastAsia="Arial" w:hAnsi="Arial"/>
          <w:sz w:val="16"/>
          <w:szCs w:val="16"/>
          <w:color w:val="auto"/>
        </w:rPr>
        <w:t>The patents that we in-license now or the patents and patent applications that we own or in-license in the future may not have patentable claims that protect our current and future product candidates in the relevant jurisdictions where we intend to commercialize such products. There is no assurance that we and our licensor are aware of all potentially relevant prior art relating to future patent applications. As such, the patent examiner may find prior art that can prevent a patent from issuing from a pending patent application. During the patent examination process, we or our licensor may be required to narrow the pending claims to overcome prior art, a process that may limit the scope of patent protection. Even if patents do successfully issue based on our future patent applications, and even if the issued patents cover our current and future product candidates, including their compositions formulation, method of manufacture, and method of use, third parties may challenge our issued patents’ validity, enforceability or scope, which may result in such patents being narrowed, invalidated or held unenforceable. Any successful opposition to these patents or any other patents owned by or licensed to us in the future could deprive us of rights necessary for the successful commercialization of any of our current or future product candidates, if approved. Further, if we encounter delays in regulatory approvals, the period of time during which we could market a product candidate under patent protection could be reduced.</w:t>
      </w:r>
    </w:p>
    <w:p>
      <w:pPr>
        <w:spacing w:after="0" w:line="16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80" w:firstLine="896"/>
        <w:spacing w:after="0" w:line="293" w:lineRule="auto"/>
        <w:rPr>
          <w:sz w:val="20"/>
          <w:szCs w:val="20"/>
          <w:color w:val="auto"/>
        </w:rPr>
      </w:pPr>
      <w:r>
        <w:rPr>
          <w:rFonts w:ascii="Arial" w:cs="Arial" w:eastAsia="Arial" w:hAnsi="Arial"/>
          <w:sz w:val="16"/>
          <w:szCs w:val="16"/>
          <w:color w:val="auto"/>
        </w:rPr>
        <w:t>If the patent applications we may own or in-license in the future with respect to our current and future product candidates fail to issue, if their breadth or strength of protection is threatened, or if they fail to provide meaningful exclusivity for any of our current or future product candidates, it could dissuade other companies from collaborating with us to develop future product candidates, and threaten our ability to commercialize our current and future product candidates. Notably, pending patent applications cannot be enforced against third parties practicing the technology claimed in such applications unless and until a patent issues from such applications. Any such outcome could have an adverse effect on our business.</w:t>
      </w:r>
    </w:p>
    <w:p>
      <w:pPr>
        <w:spacing w:after="0" w:line="134" w:lineRule="exact"/>
        <w:rPr>
          <w:sz w:val="20"/>
          <w:szCs w:val="20"/>
          <w:color w:val="auto"/>
        </w:rPr>
      </w:pPr>
    </w:p>
    <w:p>
      <w:pPr>
        <w:jc w:val="both"/>
        <w:ind w:right="40" w:firstLine="896"/>
        <w:spacing w:after="0" w:line="284"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42" w:lineRule="exact"/>
        <w:rPr>
          <w:sz w:val="20"/>
          <w:szCs w:val="20"/>
          <w:color w:val="auto"/>
        </w:rPr>
      </w:pPr>
    </w:p>
    <w:p>
      <w:pPr>
        <w:ind w:firstLine="896"/>
        <w:spacing w:after="0" w:line="284"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made a number of significant changes to United States patent laws. These include provisions that affect the way patent applications are prosecuted and challenged at the USPTO and may also affect patent litigation. The USPTO has developed and continues to develop new regulations and procedures to govern administration of the Leahy-Smith Act, and many of the substantive changes to patent law associated with the Leahy-Smith Act, and in particular, the first to file provisions, only became effective on March 16, 2013. Accordingly, it remains unclear what impact the Leahy-Smith Act, subsequent rulemaking, and judicial interpretation of the Leahy-Smith Act and regulations will have on the operation of our business. However, the Leahy- Smith Act and its implementation could increase the uncertainties and costs surrounding the prosecution of our patent applications and the enforcement or defense of our issued patents, all of which could have an adverse effect on our business and financial condition. Moreover, future changes to the patent laws of the United States and foreign jurisdictions may adversely affect the term, scope, validity and enforceability of our or our licensor’s patent rights. For example, a new bill (Terminating the Extension of Rights Misappropriated Act, or TERM Act, H.R. 3199) percolating through the United States Congress aims to reduce the term of certain drug patents in order to ease generic entry and increase competition.</w:t>
      </w:r>
    </w:p>
    <w:p>
      <w:pPr>
        <w:spacing w:after="0" w:line="129" w:lineRule="exact"/>
        <w:rPr>
          <w:sz w:val="20"/>
          <w:szCs w:val="20"/>
          <w:color w:val="auto"/>
        </w:rPr>
      </w:pPr>
    </w:p>
    <w:p>
      <w:pPr>
        <w:ind w:right="100" w:firstLine="896"/>
        <w:spacing w:after="0" w:line="253" w:lineRule="auto"/>
        <w:rPr>
          <w:sz w:val="20"/>
          <w:szCs w:val="20"/>
          <w:color w:val="auto"/>
        </w:rPr>
      </w:pPr>
      <w:r>
        <w:rPr>
          <w:rFonts w:ascii="Arial" w:cs="Arial" w:eastAsia="Arial" w:hAnsi="Arial"/>
          <w:sz w:val="18"/>
          <w:szCs w:val="18"/>
          <w:color w:val="auto"/>
        </w:rPr>
        <w:t>The inventorship and ownership rights for patents that we in-license or may own or in-license in the future may be challenged by third parties. Such challenges could result in loss of exclusive rights to such patents, which could limit our ability to stop others from using or commercializing similar or identical technology and products, or require us to obtain a license from such third parties on commercially reasonable terms to secure exclusive rights. If any such challenges to inventorship or ownership were asserted, there is no assurance that a court would find in our favor or that, if we choose to seek a license, such license would be available to us on acceptable terms or at all.</w:t>
      </w:r>
    </w:p>
    <w:p>
      <w:pPr>
        <w:spacing w:after="0" w:line="166" w:lineRule="exact"/>
        <w:rPr>
          <w:sz w:val="20"/>
          <w:szCs w:val="20"/>
          <w:color w:val="auto"/>
        </w:rPr>
      </w:pPr>
    </w:p>
    <w:p>
      <w:pPr>
        <w:ind w:right="100" w:firstLine="896"/>
        <w:spacing w:after="0" w:line="269" w:lineRule="auto"/>
        <w:rPr>
          <w:sz w:val="20"/>
          <w:szCs w:val="20"/>
          <w:color w:val="auto"/>
        </w:rPr>
      </w:pPr>
      <w:r>
        <w:rPr>
          <w:rFonts w:ascii="Arial" w:cs="Arial" w:eastAsia="Arial" w:hAnsi="Arial"/>
          <w:sz w:val="17"/>
          <w:szCs w:val="17"/>
          <w:color w:val="auto"/>
        </w:rPr>
        <w:t>Moreover, we may be subject to a third-party pre-issuance submission of prior art to the USPTO or become involved in pre- and post-issuance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whether owned or in-licensed now or in the future, is threatened, it could dissuade companies from collaborating with us to license, develop or commercialize current or future product candidates.</w:t>
      </w:r>
    </w:p>
    <w:p>
      <w:pPr>
        <w:spacing w:after="0" w:line="138" w:lineRule="exact"/>
        <w:rPr>
          <w:sz w:val="20"/>
          <w:szCs w:val="20"/>
          <w:color w:val="auto"/>
        </w:rPr>
      </w:pPr>
    </w:p>
    <w:p>
      <w:pPr>
        <w:ind w:right="140" w:firstLine="896"/>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licensed patents may be challenged in the courts or patent offices in the United States. Such challenges may</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the filing of the earliest non-provisional application to which the patent claims priority. Various extensions may be available; however, the life of a patent, and the protection it affords, is limited. We may be required to disclaim a portion of patent term in order to overcome double patenting rejections from the patent office, thus potentially shortening our exclusivity period.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licensed patent portfolio may not provide us with sufficient rights to exclude others from commercializing products similar or identical to ours.</w:t>
      </w:r>
    </w:p>
    <w:p>
      <w:pPr>
        <w:spacing w:after="0" w:line="140" w:lineRule="exact"/>
        <w:rPr>
          <w:sz w:val="20"/>
          <w:szCs w:val="20"/>
          <w:color w:val="auto"/>
        </w:rPr>
      </w:pPr>
    </w:p>
    <w:p>
      <w:pPr>
        <w:ind w:right="540"/>
        <w:spacing w:after="0" w:line="335" w:lineRule="auto"/>
        <w:rPr>
          <w:sz w:val="20"/>
          <w:szCs w:val="20"/>
          <w:color w:val="auto"/>
        </w:rPr>
      </w:pPr>
      <w:r>
        <w:rPr>
          <w:rFonts w:ascii="Arial" w:cs="Arial" w:eastAsia="Arial" w:hAnsi="Arial"/>
          <w:sz w:val="16"/>
          <w:szCs w:val="16"/>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88" w:lineRule="exact"/>
        <w:rPr>
          <w:sz w:val="20"/>
          <w:szCs w:val="20"/>
          <w:color w:val="auto"/>
        </w:rPr>
      </w:pPr>
    </w:p>
    <w:p>
      <w:pPr>
        <w:ind w:firstLine="896"/>
        <w:spacing w:after="0" w:line="268" w:lineRule="auto"/>
        <w:rPr>
          <w:sz w:val="20"/>
          <w:szCs w:val="20"/>
          <w:color w:val="auto"/>
        </w:rPr>
      </w:pPr>
      <w:r>
        <w:rPr>
          <w:rFonts w:ascii="Arial" w:cs="Arial" w:eastAsia="Arial" w:hAnsi="Arial"/>
          <w:sz w:val="17"/>
          <w:szCs w:val="17"/>
          <w:color w:val="auto"/>
        </w:rPr>
        <w:t>We have licensed certain intellectual property rights covering pitolisant from Bioprojet, and we may license intellectual property rights from others in the future. If, for any reason, our license agreement with Bioprojet or any future licensor is terminated or we otherwise lose the rights associated with a license, it could adversely affect our business. Our license agreement with Bioprojet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3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current and future product candidates, our business may be harmed.</w:t>
      </w:r>
    </w:p>
    <w:p>
      <w:pPr>
        <w:spacing w:after="0" w:line="148" w:lineRule="exact"/>
        <w:rPr>
          <w:sz w:val="20"/>
          <w:szCs w:val="20"/>
          <w:color w:val="auto"/>
        </w:rPr>
      </w:pPr>
    </w:p>
    <w:p>
      <w:pPr>
        <w:ind w:right="80" w:firstLine="896"/>
        <w:spacing w:after="0" w:line="253" w:lineRule="auto"/>
        <w:rPr>
          <w:sz w:val="20"/>
          <w:szCs w:val="20"/>
          <w:color w:val="auto"/>
        </w:rPr>
      </w:pPr>
      <w:r>
        <w:rPr>
          <w:rFonts w:ascii="Arial" w:cs="Arial" w:eastAsia="Arial" w:hAnsi="Arial"/>
          <w:sz w:val="18"/>
          <w:szCs w:val="18"/>
          <w:color w:val="auto"/>
        </w:rPr>
        <w:t>Our commercial success will largely depend on our licensor’s ability to obtain and maintain patent and other intellectual property in the United States for pitolisant, and our target indications, and our ability to maintain obtain and maintain patent and other intellectual property in the United States for any product candidates. Given the amount of time required for the development, testing and regulatory review of new product candidates, patents protecting product candidates might expire before or shortly after such candidates begin to be commercialized. We expect to seek extensions of patent terms in the United States.</w:t>
      </w:r>
    </w:p>
    <w:p>
      <w:pPr>
        <w:spacing w:after="0" w:line="153" w:lineRule="exact"/>
        <w:rPr>
          <w:sz w:val="20"/>
          <w:szCs w:val="20"/>
          <w:color w:val="auto"/>
        </w:rPr>
      </w:pPr>
    </w:p>
    <w:p>
      <w:pPr>
        <w:ind w:firstLine="896"/>
        <w:spacing w:after="0" w:line="285" w:lineRule="auto"/>
        <w:rPr>
          <w:sz w:val="20"/>
          <w:szCs w:val="20"/>
          <w:color w:val="auto"/>
        </w:rPr>
      </w:pPr>
      <w:r>
        <w:rPr>
          <w:rFonts w:ascii="Arial" w:cs="Arial" w:eastAsia="Arial" w:hAnsi="Arial"/>
          <w:sz w:val="16"/>
          <w:szCs w:val="16"/>
          <w:color w:val="auto"/>
        </w:rPr>
        <w:t>Depending upon the timing, duration and specifics of FDA marketing approval of our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w:t>
      </w:r>
    </w:p>
    <w:p>
      <w:pPr>
        <w:spacing w:after="0" w:line="129" w:lineRule="exact"/>
        <w:rPr>
          <w:sz w:val="20"/>
          <w:szCs w:val="20"/>
          <w:color w:val="auto"/>
        </w:rPr>
      </w:pPr>
    </w:p>
    <w:p>
      <w:pPr>
        <w:ind w:right="220" w:firstLine="896"/>
        <w:spacing w:after="0" w:line="307" w:lineRule="auto"/>
        <w:rPr>
          <w:sz w:val="20"/>
          <w:szCs w:val="20"/>
          <w:color w:val="auto"/>
        </w:rPr>
      </w:pPr>
      <w:r>
        <w:rPr>
          <w:rFonts w:ascii="Arial" w:cs="Arial" w:eastAsia="Arial" w:hAnsi="Arial"/>
          <w:sz w:val="16"/>
          <w:szCs w:val="16"/>
          <w:color w:val="auto"/>
        </w:rPr>
        <w:t>If we or our licensor are unable to extend the expiration date of our or their existing patents or obtain new patents with longer expiry dates, as applicable,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5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our current and future product candidates can be challenged by third parties.</w:t>
      </w:r>
    </w:p>
    <w:p>
      <w:pPr>
        <w:spacing w:after="0" w:line="148" w:lineRule="exact"/>
        <w:rPr>
          <w:sz w:val="20"/>
          <w:szCs w:val="20"/>
          <w:color w:val="auto"/>
        </w:rPr>
      </w:pPr>
    </w:p>
    <w:p>
      <w:pPr>
        <w:jc w:val="both"/>
        <w:ind w:right="200" w:firstLine="896"/>
        <w:spacing w:after="0" w:line="284" w:lineRule="auto"/>
        <w:rPr>
          <w:sz w:val="20"/>
          <w:szCs w:val="20"/>
          <w:color w:val="auto"/>
        </w:rPr>
      </w:pPr>
      <w:r>
        <w:rPr>
          <w:rFonts w:ascii="Arial" w:cs="Arial" w:eastAsia="Arial" w:hAnsi="Arial"/>
          <w:sz w:val="16"/>
          <w:szCs w:val="16"/>
          <w:color w:val="auto"/>
        </w:rPr>
        <w:t>One or more third parties may challenge the current patents, or future patents within our portfolio, which could result in the invalidation of, or render unenforceable, some or all of the relevant patent claims or a finding of non-infringement. For example, if a third party files an ANDA for a generic drug containing pitolisant, and relies in whole or in part on studies conducted by or for us, the third party will be required to certify to the FDA that either:</w:t>
      </w:r>
    </w:p>
    <w:p>
      <w:pPr>
        <w:spacing w:after="0" w:line="2" w:lineRule="exact"/>
        <w:rPr>
          <w:sz w:val="20"/>
          <w:szCs w:val="20"/>
          <w:color w:val="auto"/>
        </w:rPr>
      </w:pPr>
    </w:p>
    <w:p>
      <w:pPr>
        <w:ind w:firstLine="7"/>
        <w:spacing w:after="0" w:line="249" w:lineRule="auto"/>
        <w:tabs>
          <w:tab w:leader="none" w:pos="2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no patent information listed in the FDA’s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53" w:lineRule="exact"/>
        <w:rPr>
          <w:sz w:val="20"/>
          <w:szCs w:val="20"/>
          <w:color w:val="auto"/>
        </w:rPr>
      </w:pPr>
    </w:p>
    <w:p>
      <w:pPr>
        <w:jc w:val="both"/>
        <w:ind w:right="80" w:firstLine="896"/>
        <w:spacing w:after="0" w:line="297" w:lineRule="auto"/>
        <w:rPr>
          <w:sz w:val="20"/>
          <w:szCs w:val="20"/>
          <w:color w:val="auto"/>
        </w:rPr>
      </w:pPr>
      <w:r>
        <w:rPr>
          <w:rFonts w:ascii="Arial" w:cs="Arial" w:eastAsia="Arial" w:hAnsi="Arial"/>
          <w:sz w:val="16"/>
          <w:szCs w:val="16"/>
          <w:color w:val="auto"/>
        </w:rPr>
        <w:t>Moreover, a third party may challenge the current patents, or future patents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we will not be entitled to the 30-month stay of FDA approval upon the filing of an ANDA for a generic drug containing, for example, pitolisant, and relies in whole or in part on studies conducted by or for us.</w:t>
      </w:r>
    </w:p>
    <w:p>
      <w:pPr>
        <w:spacing w:after="0" w:line="119" w:lineRule="exact"/>
        <w:rPr>
          <w:sz w:val="20"/>
          <w:szCs w:val="20"/>
          <w:color w:val="auto"/>
        </w:rPr>
      </w:pPr>
    </w:p>
    <w:p>
      <w:pPr>
        <w:ind w:right="120" w:firstLine="896"/>
        <w:spacing w:after="0" w:line="259" w:lineRule="auto"/>
        <w:rPr>
          <w:sz w:val="20"/>
          <w:szCs w:val="20"/>
          <w:color w:val="auto"/>
        </w:rPr>
      </w:pPr>
      <w:r>
        <w:rPr>
          <w:rFonts w:ascii="Arial" w:cs="Arial" w:eastAsia="Arial" w:hAnsi="Arial"/>
          <w:sz w:val="18"/>
          <w:szCs w:val="18"/>
          <w:color w:val="auto"/>
        </w:rPr>
        <w:t>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current and future product candidates.</w:t>
      </w:r>
    </w:p>
    <w:p>
      <w:pPr>
        <w:spacing w:after="0" w:line="159" w:lineRule="exact"/>
        <w:rPr>
          <w:sz w:val="20"/>
          <w:szCs w:val="20"/>
          <w:color w:val="auto"/>
        </w:rPr>
      </w:pPr>
    </w:p>
    <w:p>
      <w:pPr>
        <w:jc w:val="both"/>
        <w:ind w:right="68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right="200" w:firstLine="896"/>
        <w:spacing w:after="0" w:line="267" w:lineRule="auto"/>
        <w:rPr>
          <w:sz w:val="20"/>
          <w:szCs w:val="20"/>
          <w:color w:val="auto"/>
        </w:rPr>
      </w:pPr>
      <w:r>
        <w:rPr>
          <w:rFonts w:ascii="Arial" w:cs="Arial" w:eastAsia="Arial" w:hAnsi="Arial"/>
          <w:sz w:val="17"/>
          <w:szCs w:val="17"/>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patents and patent applications, whether owned or in-licensed now or in the future, covering any of our current or future product candidates, our competitors might be able to enter the market, which would have an adverse effect on our business.</w:t>
      </w:r>
    </w:p>
    <w:p>
      <w:pPr>
        <w:spacing w:after="0" w:line="139"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48" w:lineRule="exact"/>
        <w:rPr>
          <w:sz w:val="20"/>
          <w:szCs w:val="20"/>
          <w:color w:val="auto"/>
        </w:rPr>
      </w:pPr>
    </w:p>
    <w:p>
      <w:pPr>
        <w:ind w:right="80" w:firstLine="896"/>
        <w:spacing w:after="0" w:line="253"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current and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our current and future product candidates, if approved, would likely be delayed.</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896"/>
        <w:spacing w:after="0" w:line="272" w:lineRule="auto"/>
        <w:rPr>
          <w:sz w:val="20"/>
          <w:szCs w:val="20"/>
          <w:color w:val="auto"/>
        </w:rPr>
      </w:pPr>
      <w:r>
        <w:rPr>
          <w:rFonts w:ascii="Arial" w:cs="Arial" w:eastAsia="Arial" w:hAnsi="Arial"/>
          <w:sz w:val="17"/>
          <w:szCs w:val="17"/>
          <w:color w:val="auto"/>
        </w:rPr>
        <w:t>The risks described elsewhere pertaining to our intellectual property rights also apply to the intellectual property rights that we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49"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current or future product candidates.</w:t>
      </w:r>
    </w:p>
    <w:p>
      <w:pPr>
        <w:spacing w:after="0" w:line="112" w:lineRule="exact"/>
        <w:rPr>
          <w:sz w:val="20"/>
          <w:szCs w:val="20"/>
          <w:color w:val="auto"/>
        </w:rPr>
      </w:pPr>
    </w:p>
    <w:p>
      <w:pPr>
        <w:ind w:right="40" w:firstLine="896"/>
        <w:spacing w:after="0" w:line="268" w:lineRule="auto"/>
        <w:rPr>
          <w:sz w:val="20"/>
          <w:szCs w:val="20"/>
          <w:color w:val="auto"/>
        </w:rPr>
      </w:pPr>
      <w:r>
        <w:rPr>
          <w:rFonts w:ascii="Arial" w:cs="Arial" w:eastAsia="Arial" w:hAnsi="Arial"/>
          <w:sz w:val="17"/>
          <w:szCs w:val="17"/>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pharmaceutical and biotechnology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are or may in the future be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Third parties may assert that we are infringing their patents or employing their proprietary technology without authorization.</w:t>
      </w:r>
    </w:p>
    <w:p>
      <w:pPr>
        <w:spacing w:after="0" w:line="194" w:lineRule="exact"/>
        <w:rPr>
          <w:sz w:val="20"/>
          <w:szCs w:val="20"/>
          <w:color w:val="auto"/>
        </w:rPr>
      </w:pPr>
    </w:p>
    <w:p>
      <w:pPr>
        <w:ind w:right="40" w:firstLine="896"/>
        <w:spacing w:after="0" w:line="265" w:lineRule="auto"/>
        <w:rPr>
          <w:sz w:val="20"/>
          <w:szCs w:val="20"/>
          <w:color w:val="auto"/>
        </w:rPr>
      </w:pPr>
      <w:r>
        <w:rPr>
          <w:rFonts w:ascii="Arial" w:cs="Arial" w:eastAsia="Arial" w:hAnsi="Arial"/>
          <w:sz w:val="17"/>
          <w:szCs w:val="17"/>
          <w:color w:val="auto"/>
        </w:rPr>
        <w:t>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that may later result in issued patents that our current and future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50" w:lineRule="exact"/>
        <w:rPr>
          <w:sz w:val="20"/>
          <w:szCs w:val="20"/>
          <w:color w:val="auto"/>
        </w:rPr>
      </w:pPr>
    </w:p>
    <w:p>
      <w:pPr>
        <w:ind w:right="60" w:firstLine="896"/>
        <w:spacing w:after="0" w:line="285"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and we have done so from time to time. We may fail to obtain any of these licenses at a reasonable cost or on reasonable terms, if at all. In that event, we would be unable to further develop and commercialize our current and future product candidates, which could harm our business significantly. Claims that we have misappropriated the confidential information or trade secrets of third parties could have a similar negative impact on our business.</w:t>
      </w:r>
    </w:p>
    <w:p>
      <w:pPr>
        <w:spacing w:after="0" w:line="16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340" w:firstLine="896"/>
        <w:spacing w:after="0" w:line="259"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current and future product candidates, resulting in either an injunction prohibiting our sales, or, with respect to our sales, an obligation on our part to pay royalties or other forms of compensation to third parties.</w:t>
      </w:r>
    </w:p>
    <w:p>
      <w:pPr>
        <w:spacing w:after="0" w:line="15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4" w:lineRule="exact"/>
        <w:rPr>
          <w:sz w:val="20"/>
          <w:szCs w:val="20"/>
          <w:color w:val="auto"/>
        </w:rPr>
      </w:pPr>
    </w:p>
    <w:p>
      <w:pPr>
        <w:ind w:right="20" w:firstLine="896"/>
        <w:spacing w:after="0" w:line="307"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product candidate in any jurisdiction.</w:t>
      </w:r>
    </w:p>
    <w:p>
      <w:pPr>
        <w:spacing w:after="0" w:line="110" w:lineRule="exact"/>
        <w:rPr>
          <w:sz w:val="20"/>
          <w:szCs w:val="20"/>
          <w:color w:val="auto"/>
        </w:rPr>
      </w:pPr>
    </w:p>
    <w:p>
      <w:pPr>
        <w:ind w:right="60" w:firstLine="896"/>
        <w:spacing w:after="0" w:line="272" w:lineRule="auto"/>
        <w:rPr>
          <w:sz w:val="20"/>
          <w:szCs w:val="20"/>
          <w:color w:val="auto"/>
        </w:rPr>
      </w:pPr>
      <w:r>
        <w:rPr>
          <w:rFonts w:ascii="Arial" w:cs="Arial" w:eastAsia="Arial" w:hAnsi="Arial"/>
          <w:sz w:val="17"/>
          <w:szCs w:val="17"/>
          <w:color w:val="auto"/>
        </w:rPr>
        <w:t>It is possible that we and our current and future licensors will fail to identify patentable aspects of research and development output before it is too late to obtain patent protection. The patent applications that we may own or in-license in the future may fail to result in issued patents with claims that cover our current and future product candidates. We and our current and future licensors may also inadvertently make statements to regulatory agencies during the regulatory approval process that may be inconsistent with positions that have been taken during prosecution of the patent applications, which may result in such patents being narrowed, invalidated or held unenforceable.</w:t>
      </w:r>
    </w:p>
    <w:p>
      <w:pPr>
        <w:spacing w:after="0" w:line="149" w:lineRule="exact"/>
        <w:rPr>
          <w:sz w:val="20"/>
          <w:szCs w:val="20"/>
          <w:color w:val="auto"/>
        </w:rPr>
      </w:pPr>
    </w:p>
    <w:p>
      <w:pPr>
        <w:ind w:right="160" w:firstLine="896"/>
        <w:spacing w:after="0" w:line="252"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affect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affect our ability to develop and market our products.</w:t>
      </w:r>
    </w:p>
    <w:p>
      <w:pPr>
        <w:spacing w:after="0" w:line="15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34" w:lineRule="exact"/>
        <w:rPr>
          <w:sz w:val="20"/>
          <w:szCs w:val="20"/>
          <w:color w:val="auto"/>
        </w:rPr>
      </w:pPr>
    </w:p>
    <w:p>
      <w:pPr>
        <w:ind w:firstLine="896"/>
        <w:spacing w:after="0" w:line="282" w:lineRule="auto"/>
        <w:rPr>
          <w:sz w:val="20"/>
          <w:szCs w:val="20"/>
          <w:color w:val="auto"/>
        </w:rPr>
      </w:pPr>
      <w:r>
        <w:rPr>
          <w:rFonts w:ascii="Arial" w:cs="Arial" w:eastAsia="Arial" w:hAnsi="Arial"/>
          <w:sz w:val="16"/>
          <w:szCs w:val="16"/>
          <w:color w:val="auto"/>
        </w:rPr>
        <w:t>Competitors may infringe or otherwise violate the patents of our licensor or our other intellectual property rights. To counter infringement or unauthorized use, we may be required to file legal claims, which can be expensive and time-consuming. In addition, in an infringement proceeding, a court may decide that an asserted patent is not valid or is unenforceable, or may refuse to stop the other party from using the technology at issue on the grounds that the asserted patent does not cover the technology in question. An adverse result in any litigation or defense proceedings could put one or more of asserted patents at risk of being invalidated or interpreted narrowly and could put a related patent application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52" w:lineRule="exact"/>
        <w:rPr>
          <w:sz w:val="20"/>
          <w:szCs w:val="20"/>
          <w:color w:val="auto"/>
        </w:rPr>
      </w:pPr>
    </w:p>
    <w:p>
      <w:pPr>
        <w:ind w:firstLine="896"/>
        <w:spacing w:after="0" w:line="259" w:lineRule="auto"/>
        <w:rPr>
          <w:sz w:val="20"/>
          <w:szCs w:val="20"/>
          <w:color w:val="auto"/>
        </w:rPr>
      </w:pPr>
      <w:r>
        <w:rPr>
          <w:rFonts w:ascii="Arial" w:cs="Arial" w:eastAsia="Arial" w:hAnsi="Arial"/>
          <w:sz w:val="18"/>
          <w:szCs w:val="18"/>
          <w:color w:val="auto"/>
        </w:rPr>
        <w:t>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commercially reasonable terms. Any litigation or other proceedings to enforce our intellectual property rights may fail, and even if successful, may result in substantial costs and distract our management and other employees.</w:t>
      </w:r>
    </w:p>
    <w:p>
      <w:pPr>
        <w:spacing w:after="0" w:line="148" w:lineRule="exact"/>
        <w:rPr>
          <w:sz w:val="20"/>
          <w:szCs w:val="20"/>
          <w:color w:val="auto"/>
        </w:rPr>
      </w:pPr>
    </w:p>
    <w:p>
      <w:pPr>
        <w:ind w:right="100" w:firstLine="896"/>
        <w:spacing w:after="0" w:line="272"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04" w:lineRule="exact"/>
        <w:rPr>
          <w:sz w:val="20"/>
          <w:szCs w:val="20"/>
          <w:color w:val="auto"/>
        </w:rPr>
      </w:pPr>
    </w:p>
    <w:p>
      <w:pPr>
        <w:ind w:right="40" w:firstLine="896"/>
        <w:spacing w:after="0" w:line="275"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4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34" w:lineRule="exact"/>
        <w:rPr>
          <w:sz w:val="20"/>
          <w:szCs w:val="20"/>
          <w:color w:val="auto"/>
        </w:rPr>
      </w:pPr>
    </w:p>
    <w:p>
      <w:pPr>
        <w:ind w:right="60" w:firstLine="896"/>
        <w:spacing w:after="0" w:line="287" w:lineRule="auto"/>
        <w:rPr>
          <w:sz w:val="20"/>
          <w:szCs w:val="20"/>
          <w:color w:val="auto"/>
        </w:rPr>
      </w:pPr>
      <w:r>
        <w:rPr>
          <w:rFonts w:ascii="Arial" w:cs="Arial" w:eastAsia="Arial" w:hAnsi="Arial"/>
          <w:sz w:val="16"/>
          <w:szCs w:val="16"/>
          <w:color w:val="auto"/>
        </w:rPr>
        <w:t>The United States has recently enacted and implemented wide-ranging patent reform legislation. The U.S. Supreme Court and the U.S. Court of Appeals for the Federal Circuit have issued numerous precedential opinions in recent years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26"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6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34" w:lineRule="exact"/>
        <w:rPr>
          <w:sz w:val="20"/>
          <w:szCs w:val="20"/>
          <w:color w:val="auto"/>
        </w:rPr>
      </w:pPr>
    </w:p>
    <w:p>
      <w:pPr>
        <w:ind w:firstLine="896"/>
        <w:spacing w:after="0" w:line="267"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Moreover, any such litigation or the threat thereof may adversely affect our reputation, our ability to form strategic alliances or sublicense our rights to collaborators, engage with scientific advisors or hire</w:t>
      </w:r>
    </w:p>
    <w:p>
      <w:pPr>
        <w:spacing w:after="0" w:line="17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employees or consultants, each of which would have an adverse effect on our business, results of operations and financial condition.</w:t>
      </w:r>
    </w:p>
    <w:p>
      <w:pPr>
        <w:spacing w:after="0" w:line="194" w:lineRule="exact"/>
        <w:rPr>
          <w:sz w:val="20"/>
          <w:szCs w:val="20"/>
          <w:color w:val="auto"/>
        </w:rPr>
      </w:pPr>
    </w:p>
    <w:p>
      <w:pPr>
        <w:jc w:val="both"/>
        <w:ind w:right="100" w:firstLine="896"/>
        <w:spacing w:after="0" w:line="297"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 executing or may be breached, and we may be forced to bring claims against third parties, or defend claims they may bring against us, to determine the ownership of what we regard as our intellectual property.</w:t>
      </w:r>
    </w:p>
    <w:p>
      <w:pPr>
        <w:spacing w:after="0" w:line="119" w:lineRule="exact"/>
        <w:rPr>
          <w:sz w:val="20"/>
          <w:szCs w:val="20"/>
          <w:color w:val="auto"/>
        </w:rPr>
      </w:pPr>
    </w:p>
    <w:p>
      <w:pPr>
        <w:ind w:right="20" w:firstLine="896"/>
        <w:spacing w:after="0" w:line="259" w:lineRule="auto"/>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trademarks we have obtained or may obtain may be infringed or be successfully challenged, resulting in harm to our business.</w:t>
      </w:r>
    </w:p>
    <w:p>
      <w:pPr>
        <w:spacing w:after="0" w:line="206" w:lineRule="exact"/>
        <w:rPr>
          <w:sz w:val="20"/>
          <w:szCs w:val="20"/>
          <w:color w:val="auto"/>
        </w:rPr>
      </w:pPr>
    </w:p>
    <w:p>
      <w:pPr>
        <w:ind w:right="40" w:firstLine="896"/>
        <w:spacing w:after="0" w:line="267" w:lineRule="auto"/>
        <w:rPr>
          <w:sz w:val="20"/>
          <w:szCs w:val="20"/>
          <w:color w:val="auto"/>
        </w:rPr>
      </w:pPr>
      <w:r>
        <w:rPr>
          <w:rFonts w:ascii="Arial" w:cs="Arial" w:eastAsia="Arial" w:hAnsi="Arial"/>
          <w:sz w:val="17"/>
          <w:szCs w:val="17"/>
          <w:color w:val="auto"/>
        </w:rPr>
        <w:t>We expect to rely on trademarks as one means to distinguish any of our current and future product candidates that are approved for marketing from the products of our competitors. For example, we are marketing pitolisant for the treatment of EDS or cataplexy in adult patients with narcolepsy under the brand name WAKIX, which we have licensed from Bioprojet. We may design or create new trademarks and apply to register them, our trademark applications may not be approved in the United States or any relevant foreign jurisdiction.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48" w:lineRule="exact"/>
        <w:rPr>
          <w:sz w:val="20"/>
          <w:szCs w:val="20"/>
          <w:color w:val="auto"/>
        </w:rPr>
      </w:pPr>
    </w:p>
    <w:p>
      <w:pPr>
        <w:ind w:right="20" w:firstLine="896"/>
        <w:spacing w:after="0" w:line="267"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(the “Sarbanes Oxley Act”), the Dodd-Frank Wall Street Reform and Consumer Protection Act, the listing requirements of Nasdaq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If, notwithstanding our efforts to comply with new or changing laws, regulations and standards, we fail to comply, regulatory authorities may initiate legal proceedings against us, and our business may be harmed. Further, failure to comply with these laws, regulations and standards may make it more difficult and more expensive for us to obtain directors’ and officers’ liability insurance, which could make it more difficult for us to attract and retain qualified members to serve on our board of directors or committees or as members of senior management. We cannot predict or estimate the amount of additional costs we will incur as a public company or the timing of such costs.</w:t>
      </w:r>
    </w:p>
    <w:p>
      <w:pPr>
        <w:spacing w:after="0" w:line="139" w:lineRule="exact"/>
        <w:rPr>
          <w:sz w:val="20"/>
          <w:szCs w:val="20"/>
          <w:color w:val="auto"/>
        </w:rPr>
      </w:pPr>
    </w:p>
    <w:p>
      <w:pPr>
        <w:jc w:val="both"/>
        <w:ind w:right="280" w:firstLine="896"/>
        <w:spacing w:after="0" w:line="259" w:lineRule="auto"/>
        <w:rPr>
          <w:sz w:val="20"/>
          <w:szCs w:val="20"/>
          <w:color w:val="auto"/>
        </w:rPr>
      </w:pPr>
      <w:r>
        <w:rPr>
          <w:rFonts w:ascii="Arial" w:cs="Arial" w:eastAsia="Arial" w:hAnsi="Arial"/>
          <w:sz w:val="18"/>
          <w:szCs w:val="18"/>
          <w:color w:val="auto"/>
        </w:rPr>
        <w:t>As a result of becoming a public company, we will be obligated to develop and maintain proper and effective internal controls over financial reporting and any failure to maintain the adequacy of these internal controls may adversely affect investor confidence in our company and, as a result, the value of our common shares.</w:t>
      </w:r>
    </w:p>
    <w:p>
      <w:pPr>
        <w:spacing w:after="0" w:line="146" w:lineRule="exact"/>
        <w:rPr>
          <w:sz w:val="20"/>
          <w:szCs w:val="20"/>
          <w:color w:val="auto"/>
        </w:rPr>
      </w:pPr>
    </w:p>
    <w:p>
      <w:pPr>
        <w:ind w:right="180" w:firstLine="896"/>
        <w:spacing w:after="0" w:line="259" w:lineRule="auto"/>
        <w:rPr>
          <w:sz w:val="20"/>
          <w:szCs w:val="20"/>
          <w:color w:val="auto"/>
        </w:rPr>
      </w:pPr>
      <w:r>
        <w:rPr>
          <w:rFonts w:ascii="Arial" w:cs="Arial" w:eastAsia="Arial" w:hAnsi="Arial"/>
          <w:sz w:val="18"/>
          <w:szCs w:val="18"/>
          <w:color w:val="auto"/>
        </w:rPr>
        <w:t>We will be required, pursuant to Section 404 of the Sarbanes Oxley Act (“Section 404”), to furnish a report by management on, among other things, the effectiveness of our internal controls over financial reporting for the fiscal year beginning January 1, 2022. This assessment will need to include disclosure of any material</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weaknesses identified by our management in our internal controls over financial reporting. Our independent registered public accounting firm will not be required to attest to the effectiveness of our internal controls over financial reporting until our first annual report required to be filed with the SEC following the date we are no longer an emerging growth company, as defined in the JOBS Act. At such time as we are required to obtain auditor attestation, if we then have a material weakness, we would receive an adverse opinion regarding our internal control over financial reporting from our independent registered public accounting firm. We will be required to disclose significant changes made in our internal controls procedures on a quarterly basis.</w:t>
      </w:r>
    </w:p>
    <w:p>
      <w:pPr>
        <w:spacing w:after="0" w:line="134" w:lineRule="exact"/>
        <w:rPr>
          <w:sz w:val="20"/>
          <w:szCs w:val="20"/>
          <w:color w:val="auto"/>
        </w:rPr>
      </w:pPr>
    </w:p>
    <w:p>
      <w:pPr>
        <w:ind w:right="20" w:firstLine="896"/>
        <w:spacing w:after="0" w:line="252" w:lineRule="auto"/>
        <w:rPr>
          <w:sz w:val="20"/>
          <w:szCs w:val="20"/>
          <w:color w:val="auto"/>
        </w:rPr>
      </w:pPr>
      <w:r>
        <w:rPr>
          <w:rFonts w:ascii="Arial" w:cs="Arial" w:eastAsia="Arial" w:hAnsi="Arial"/>
          <w:sz w:val="18"/>
          <w:szCs w:val="18"/>
          <w:color w:val="auto"/>
        </w:rPr>
        <w:t>We are beginning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legal, accounting and other compliance expense and expend significant management efforts. We currently do not have an internal audit group, and we will need to hire additional accounting and finance staff and consultants with appropriate public company experience and technical accounting knowledge and compile the system and process documentation necessary to perform the evaluation needed to comply with Section 404.</w:t>
      </w:r>
    </w:p>
    <w:p>
      <w:pPr>
        <w:spacing w:after="0" w:line="154" w:lineRule="exact"/>
        <w:rPr>
          <w:sz w:val="20"/>
          <w:szCs w:val="20"/>
          <w:color w:val="auto"/>
        </w:rPr>
      </w:pPr>
    </w:p>
    <w:p>
      <w:pPr>
        <w:ind w:firstLine="896"/>
        <w:spacing w:after="0" w:line="286"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effective internal controls over financial reporting could severely inhibit our ability to accurately report our financial condition or results of operations. If we are unable to conclude that our internal controls over financial reporting is effective, or if our independent registered public accounting firm determines we have a material weakness or significant deficiency in our internal controls over financial reporting, we could lose investor confidence in the accuracy and completeness of our financial reports, the market price of our common shares could decline, and we could be subject to sanctions or investigations by Nasdaq, the SEC or other regulatory authorities. Failure to remedy any material weakness in our internal controls over financial reporting, or to implement or maintain other effective control systems required of public companies, could also negatively impact our ability to access to the capital markets.</w:t>
      </w:r>
    </w:p>
    <w:p>
      <w:pPr>
        <w:spacing w:after="0" w:line="126" w:lineRule="exact"/>
        <w:rPr>
          <w:sz w:val="20"/>
          <w:szCs w:val="20"/>
          <w:color w:val="auto"/>
        </w:rPr>
      </w:pPr>
    </w:p>
    <w:p>
      <w:pPr>
        <w:ind w:right="80" w:firstLine="896"/>
        <w:spacing w:after="0" w:line="293" w:lineRule="auto"/>
        <w:rPr>
          <w:sz w:val="20"/>
          <w:szCs w:val="20"/>
          <w:color w:val="auto"/>
        </w:rPr>
      </w:pPr>
      <w:r>
        <w:rPr>
          <w:rFonts w:ascii="Arial" w:cs="Arial" w:eastAsia="Arial" w:hAnsi="Arial"/>
          <w:sz w:val="16"/>
          <w:szCs w:val="16"/>
          <w:color w:val="auto"/>
        </w:rPr>
        <w:t>In addition, effective disclosure controls and procedures enable us to make timely and accurate disclosure of financial and non-financial information that we are required to disclose. As a public company, if our disclosure controls and procedures are ineffective, we may be unable to report our financial results or make other disclosures accurately on a timely basis, which could cause our reported financial results or other disclosures to be materially misstated and result in the loss of investor confidence and cause the market price of our common shares to decline. If we were to subsequently elect instead to comply with these public company effective dates, such election would be irrevocable pursuant to the JOBS Act.</w:t>
      </w:r>
    </w:p>
    <w:p>
      <w:pPr>
        <w:spacing w:after="0" w:line="13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34" w:lineRule="exact"/>
        <w:rPr>
          <w:sz w:val="20"/>
          <w:szCs w:val="20"/>
          <w:color w:val="auto"/>
        </w:rPr>
      </w:pPr>
    </w:p>
    <w:p>
      <w:pPr>
        <w:ind w:right="100" w:firstLine="896"/>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150" w:lineRule="exact"/>
        <w:rPr>
          <w:sz w:val="20"/>
          <w:szCs w:val="20"/>
          <w:color w:val="auto"/>
        </w:rPr>
      </w:pPr>
    </w:p>
    <w:p>
      <w:pPr>
        <w:ind w:right="100" w:firstLine="896"/>
        <w:spacing w:after="0" w:line="270" w:lineRule="auto"/>
        <w:rPr>
          <w:sz w:val="20"/>
          <w:szCs w:val="20"/>
          <w:color w:val="auto"/>
        </w:rPr>
      </w:pPr>
      <w:r>
        <w:rPr>
          <w:rFonts w:ascii="Arial" w:cs="Arial" w:eastAsia="Arial" w:hAnsi="Arial"/>
          <w:sz w:val="17"/>
          <w:szCs w:val="17"/>
          <w:color w:val="auto"/>
        </w:rPr>
        <w:t>For as long as we continue to be an emerging growth company, we also intend to take advantage of certain other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52" w:lineRule="exact"/>
        <w:rPr>
          <w:sz w:val="20"/>
          <w:szCs w:val="20"/>
          <w:color w:val="auto"/>
        </w:rPr>
      </w:pPr>
    </w:p>
    <w:p>
      <w:pPr>
        <w:ind w:right="140" w:firstLine="896"/>
        <w:spacing w:after="0" w:line="259" w:lineRule="auto"/>
        <w:rPr>
          <w:sz w:val="20"/>
          <w:szCs w:val="20"/>
          <w:color w:val="auto"/>
        </w:rPr>
      </w:pPr>
      <w:r>
        <w:rPr>
          <w:rFonts w:ascii="Arial" w:cs="Arial" w:eastAsia="Arial" w:hAnsi="Arial"/>
          <w:sz w:val="18"/>
          <w:szCs w:val="18"/>
          <w:color w:val="auto"/>
        </w:rPr>
        <w:t>We will remain an emerging growth company until the earliest of (i) the last day of the fiscal year in which we have total annual gross revenue of $1.07 billion or more; (ii) the last day of the fiscal year following the fifth anniversary of the date of the closing of our IPO; (iii) the date on which we have issued more than $1.0</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billion in nonconvertible debt during the previous three fiscal years; or (iv) the date on which we are deemed to be a “large accelerated filer” under the rules of the SEC.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1" w:lineRule="exact"/>
        <w:rPr>
          <w:sz w:val="20"/>
          <w:szCs w:val="20"/>
          <w:color w:val="auto"/>
        </w:rPr>
      </w:pPr>
    </w:p>
    <w:p>
      <w:pPr>
        <w:ind w:firstLine="896"/>
        <w:spacing w:after="0" w:line="252" w:lineRule="auto"/>
        <w:rPr>
          <w:sz w:val="20"/>
          <w:szCs w:val="20"/>
          <w:color w:val="auto"/>
        </w:rPr>
      </w:pPr>
      <w:r>
        <w:rPr>
          <w:rFonts w:ascii="Arial" w:cs="Arial" w:eastAsia="Arial" w:hAnsi="Arial"/>
          <w:sz w:val="18"/>
          <w:szCs w:val="18"/>
          <w:color w:val="auto"/>
        </w:rPr>
        <w:t>Our chief executive officer does not have experience managing a public company, interacting with public company investors or complying with the increasingly complex laws pertaining to public companies. Our management team, as a whole,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particularly from our chief executive officer, and could divert their attention away from the day-to-day management of our business, which could adversely affect our revenue, business,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directors, officers and principal stockholders beneficially own a significant percentage of our stock and will be able to exert significant control over matters subject to stockholder approval.</w:t>
      </w:r>
    </w:p>
    <w:p>
      <w:pPr>
        <w:spacing w:after="0" w:line="134" w:lineRule="exact"/>
        <w:rPr>
          <w:sz w:val="20"/>
          <w:szCs w:val="20"/>
          <w:color w:val="auto"/>
        </w:rPr>
      </w:pPr>
    </w:p>
    <w:p>
      <w:pPr>
        <w:ind w:right="240" w:firstLine="896"/>
        <w:spacing w:after="0" w:line="252" w:lineRule="auto"/>
        <w:rPr>
          <w:sz w:val="20"/>
          <w:szCs w:val="20"/>
          <w:color w:val="auto"/>
        </w:rPr>
      </w:pPr>
      <w:r>
        <w:rPr>
          <w:rFonts w:ascii="Arial" w:cs="Arial" w:eastAsia="Arial" w:hAnsi="Arial"/>
          <w:sz w:val="18"/>
          <w:szCs w:val="18"/>
          <w:color w:val="auto"/>
        </w:rPr>
        <w:t>As of December 31, 2020, our directors, officers, five percent or greater stockholders, and their respective affiliates beneficially owned in the aggregate approximately 80% of our outstanding voting stock. As a result,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and approval of any merger, sale of assets or other major corporate transaction. This may prevent or discourage unsolicited acquisition proposals or offers for our common stock that you may feel are in your best interest as one of our stockholders</w:t>
      </w:r>
      <w:r>
        <w:rPr>
          <w:rFonts w:ascii="Arial" w:cs="Arial" w:eastAsia="Arial" w:hAnsi="Arial"/>
          <w:sz w:val="18"/>
          <w:szCs w:val="18"/>
          <w:i w:val="1"/>
          <w:iCs w:val="1"/>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including our directors, officers, or significant shareholders, could cause our share price to fall.</w:t>
      </w:r>
    </w:p>
    <w:p>
      <w:pPr>
        <w:spacing w:after="0" w:line="240" w:lineRule="exact"/>
        <w:rPr>
          <w:sz w:val="20"/>
          <w:szCs w:val="20"/>
          <w:color w:val="auto"/>
        </w:rPr>
      </w:pPr>
    </w:p>
    <w:p>
      <w:pPr>
        <w:ind w:right="60" w:firstLine="896"/>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 Subject to compliance with applicable securities laws, our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w:t>
      </w:r>
    </w:p>
    <w:p>
      <w:pPr>
        <w:spacing w:after="0" w:line="13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34"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1" w:lineRule="exact"/>
        <w:rPr>
          <w:sz w:val="20"/>
          <w:szCs w:val="20"/>
          <w:color w:val="auto"/>
        </w:rPr>
      </w:pPr>
    </w:p>
    <w:p>
      <w:pPr>
        <w:ind w:right="360" w:firstLine="896"/>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322" w:lineRule="exact"/>
        <w:rPr>
          <w:sz w:val="20"/>
          <w:szCs w:val="20"/>
          <w:color w:val="auto"/>
        </w:rPr>
      </w:pPr>
    </w:p>
    <w:p>
      <w:pPr>
        <w:ind w:left="1340" w:hanging="437"/>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development programs;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 or termination of clinical trials;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intellectual property infringement lawsuit in which we may become involved;</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pitolisant;</w:t>
      </w:r>
    </w:p>
    <w:p>
      <w:pPr>
        <w:spacing w:after="0" w:line="39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right="280" w:hanging="437"/>
        <w:spacing w:after="0" w:line="271"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or receive under these arrangements;</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achievement and timing of milestone payments under our existing collaboration and license agreements; and</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underlying demand for WAKIX and customers’ buying patterns.</w:t>
      </w:r>
    </w:p>
    <w:p>
      <w:pPr>
        <w:spacing w:after="0" w:line="368" w:lineRule="exact"/>
        <w:rPr>
          <w:sz w:val="20"/>
          <w:szCs w:val="20"/>
          <w:color w:val="auto"/>
        </w:rPr>
      </w:pPr>
    </w:p>
    <w:p>
      <w:pPr>
        <w:ind w:right="360" w:firstLine="896"/>
        <w:spacing w:after="0" w:line="335"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181" w:lineRule="exact"/>
        <w:rPr>
          <w:sz w:val="20"/>
          <w:szCs w:val="20"/>
          <w:color w:val="auto"/>
        </w:rPr>
      </w:pPr>
    </w:p>
    <w:p>
      <w:pPr>
        <w:ind w:firstLine="896"/>
        <w:spacing w:after="0" w:line="293" w:lineRule="auto"/>
        <w:rPr>
          <w:sz w:val="20"/>
          <w:szCs w:val="20"/>
          <w:color w:val="auto"/>
        </w:rPr>
      </w:pPr>
      <w:r>
        <w:rPr>
          <w:rFonts w:ascii="Arial" w:cs="Arial" w:eastAsia="Arial" w:hAnsi="Arial"/>
          <w:sz w:val="16"/>
          <w:szCs w:val="16"/>
          <w:color w:val="auto"/>
        </w:rPr>
        <w:t>Our common stock only recently began trading on the Nasdaq Global Market, and we can provide no assurance that we will be able to maintain an active trading market on The Nasdaq Global Market or any other exchange in the future. If an active trading market for our common stock is not maintained, or if we fail to satisfy the continued listing standards of The Nasdaq Global Market for any reason and our common stock is delisted, it may be difficult for our stockholders to sell shares without depressing the market price for the shares or at all. An inactive market may also impair our ability to raise capital by selling shares and may impair our ability to acquire other companies or technologies by using our shares as consideration.</w:t>
      </w:r>
    </w:p>
    <w:p>
      <w:pPr>
        <w:spacing w:after="0" w:line="121" w:lineRule="exact"/>
        <w:rPr>
          <w:sz w:val="20"/>
          <w:szCs w:val="20"/>
          <w:color w:val="auto"/>
        </w:rPr>
      </w:pPr>
    </w:p>
    <w:p>
      <w:pPr>
        <w:ind w:right="80"/>
        <w:spacing w:after="0" w:line="417" w:lineRule="auto"/>
        <w:rPr>
          <w:sz w:val="20"/>
          <w:szCs w:val="20"/>
          <w:color w:val="auto"/>
        </w:rPr>
      </w:pPr>
      <w:r>
        <w:rPr>
          <w:rFonts w:ascii="Arial" w:cs="Arial" w:eastAsia="Arial" w:hAnsi="Arial"/>
          <w:sz w:val="14"/>
          <w:szCs w:val="14"/>
          <w:b w:val="1"/>
          <w:bCs w:val="1"/>
          <w:i w:val="1"/>
          <w:iCs w:val="1"/>
          <w:color w:val="auto"/>
        </w:rPr>
        <w:t>Future sales and issuances of our common stock or rights to purchase our common stock, including pursuant to our equity incentive plans, could result in additional dilution of the percentage ownership of our stockholders and could cause the stock price of our common stock to decline.</w:t>
      </w:r>
    </w:p>
    <w:p>
      <w:pPr>
        <w:spacing w:after="0" w:line="56" w:lineRule="exact"/>
        <w:rPr>
          <w:sz w:val="20"/>
          <w:szCs w:val="20"/>
          <w:color w:val="auto"/>
        </w:rPr>
      </w:pPr>
    </w:p>
    <w:p>
      <w:pPr>
        <w:ind w:right="60" w:firstLine="896"/>
        <w:spacing w:after="0" w:line="253"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53"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p>
    <w:p>
      <w:pPr>
        <w:spacing w:after="0" w:line="112" w:lineRule="exact"/>
        <w:rPr>
          <w:sz w:val="20"/>
          <w:szCs w:val="20"/>
          <w:color w:val="auto"/>
        </w:rPr>
      </w:pPr>
    </w:p>
    <w:p>
      <w:pPr>
        <w:ind w:right="40" w:firstLine="896"/>
        <w:spacing w:after="0" w:line="253"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we are party to a Credit Agreement with OrbiMed that contains negative covenants that limit our ability to pay dividends.</w:t>
      </w:r>
    </w:p>
    <w:p>
      <w:pPr>
        <w:spacing w:after="0" w:line="16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34" w:lineRule="exact"/>
        <w:rPr>
          <w:sz w:val="20"/>
          <w:szCs w:val="20"/>
          <w:color w:val="auto"/>
        </w:rPr>
      </w:pPr>
    </w:p>
    <w:p>
      <w:pPr>
        <w:jc w:val="both"/>
        <w:ind w:right="340" w:firstLine="896"/>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333" w:lineRule="exact"/>
        <w:rPr>
          <w:sz w:val="20"/>
          <w:szCs w:val="20"/>
          <w:color w:val="auto"/>
        </w:rPr>
      </w:pPr>
    </w:p>
    <w:p>
      <w:pPr>
        <w:ind w:left="1340" w:hanging="437"/>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368" w:lineRule="exact"/>
        <w:rPr>
          <w:rFonts w:ascii="Arial" w:cs="Arial" w:eastAsia="Arial" w:hAnsi="Arial"/>
          <w:sz w:val="18"/>
          <w:szCs w:val="18"/>
          <w:color w:val="auto"/>
        </w:rPr>
      </w:pPr>
    </w:p>
    <w:p>
      <w:pPr>
        <w:ind w:left="1340" w:right="440" w:hanging="437"/>
        <w:spacing w:after="0" w:line="271"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368" w:lineRule="exact"/>
        <w:rPr>
          <w:rFonts w:ascii="Arial" w:cs="Arial" w:eastAsia="Arial" w:hAnsi="Arial"/>
          <w:sz w:val="18"/>
          <w:szCs w:val="18"/>
          <w:color w:val="auto"/>
        </w:rPr>
      </w:pPr>
    </w:p>
    <w:p>
      <w:pPr>
        <w:ind w:left="1340" w:right="380" w:hanging="437"/>
        <w:spacing w:after="0" w:line="271"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34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right="40" w:hanging="437"/>
        <w:spacing w:after="0" w:line="259"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spacing w:after="0" w:line="332" w:lineRule="exact"/>
        <w:rPr>
          <w:rFonts w:ascii="Arial" w:cs="Arial" w:eastAsia="Arial" w:hAnsi="Arial"/>
          <w:sz w:val="18"/>
          <w:szCs w:val="18"/>
          <w:color w:val="auto"/>
        </w:rPr>
      </w:pPr>
    </w:p>
    <w:p>
      <w:pPr>
        <w:ind w:left="1340" w:hanging="437"/>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368" w:lineRule="exact"/>
        <w:rPr>
          <w:sz w:val="20"/>
          <w:szCs w:val="20"/>
          <w:color w:val="auto"/>
        </w:rPr>
      </w:pPr>
    </w:p>
    <w:p>
      <w:pPr>
        <w:ind w:right="280" w:firstLine="896"/>
        <w:spacing w:after="0" w:line="335"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02" w:lineRule="exact"/>
        <w:rPr>
          <w:sz w:val="20"/>
          <w:szCs w:val="20"/>
          <w:color w:val="auto"/>
        </w:rPr>
      </w:pPr>
    </w:p>
    <w:p>
      <w:pPr>
        <w:jc w:val="both"/>
        <w:ind w:right="220" w:firstLine="896"/>
        <w:spacing w:after="0" w:line="307" w:lineRule="auto"/>
        <w:rPr>
          <w:sz w:val="20"/>
          <w:szCs w:val="20"/>
          <w:color w:val="auto"/>
        </w:rPr>
      </w:pPr>
      <w:r>
        <w:rPr>
          <w:rFonts w:ascii="Arial" w:cs="Arial" w:eastAsia="Arial" w:hAnsi="Arial"/>
          <w:sz w:val="16"/>
          <w:szCs w:val="16"/>
          <w:color w:val="auto"/>
        </w:rPr>
        <w:t>In addition, we are subject to the anti-takeover provisions contained in Section 203 of the Delaware General Corporation Law (the “DGCL”). Under Section 203 of the DGCL,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10" w:lineRule="exact"/>
        <w:rPr>
          <w:sz w:val="20"/>
          <w:szCs w:val="20"/>
          <w:color w:val="auto"/>
        </w:rPr>
      </w:pPr>
    </w:p>
    <w:p>
      <w:pPr>
        <w:jc w:val="both"/>
        <w:ind w:right="140" w:firstLine="896"/>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378" w:lineRule="exact"/>
        <w:rPr>
          <w:sz w:val="20"/>
          <w:szCs w:val="20"/>
          <w:color w:val="auto"/>
        </w:rPr>
      </w:pPr>
    </w:p>
    <w:p>
      <w:pPr>
        <w:ind w:left="1340" w:hanging="437"/>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368" w:lineRule="exact"/>
        <w:rPr>
          <w:rFonts w:ascii="Arial" w:cs="Arial" w:eastAsia="Arial" w:hAnsi="Arial"/>
          <w:sz w:val="18"/>
          <w:szCs w:val="18"/>
          <w:color w:val="auto"/>
        </w:rPr>
      </w:pPr>
    </w:p>
    <w:p>
      <w:pPr>
        <w:ind w:left="1340" w:right="600" w:hanging="437"/>
        <w:spacing w:after="0" w:line="271"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current or former directors, officers, employees or our stockholders;</w:t>
      </w:r>
    </w:p>
    <w:p>
      <w:pPr>
        <w:spacing w:after="0" w:line="321" w:lineRule="exact"/>
        <w:rPr>
          <w:rFonts w:ascii="Arial" w:cs="Arial" w:eastAsia="Arial" w:hAnsi="Arial"/>
          <w:sz w:val="18"/>
          <w:szCs w:val="18"/>
          <w:color w:val="auto"/>
        </w:rPr>
      </w:pPr>
    </w:p>
    <w:p>
      <w:pPr>
        <w:ind w:left="1340" w:hanging="437"/>
        <w:spacing w:after="0" w:line="259"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(as either may be amended from time to time) or as to which the DGCL confers jurisdiction on the Court of Chancery of the State of Delaware; and</w:t>
      </w:r>
    </w:p>
    <w:p>
      <w:pPr>
        <w:spacing w:after="0" w:line="332" w:lineRule="exact"/>
        <w:rPr>
          <w:rFonts w:ascii="Arial" w:cs="Arial" w:eastAsia="Arial" w:hAnsi="Arial"/>
          <w:sz w:val="18"/>
          <w:szCs w:val="18"/>
          <w:color w:val="auto"/>
        </w:rPr>
      </w:pPr>
    </w:p>
    <w:p>
      <w:pPr>
        <w:ind w:left="1340" w:hanging="437"/>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368" w:lineRule="exact"/>
        <w:rPr>
          <w:sz w:val="20"/>
          <w:szCs w:val="20"/>
          <w:color w:val="auto"/>
        </w:rPr>
      </w:pPr>
    </w:p>
    <w:p>
      <w:pPr>
        <w:ind w:right="20" w:firstLine="896"/>
        <w:spacing w:after="0" w:line="293" w:lineRule="auto"/>
        <w:rPr>
          <w:sz w:val="20"/>
          <w:szCs w:val="20"/>
          <w:color w:val="auto"/>
        </w:rPr>
      </w:pPr>
      <w:r>
        <w:rPr>
          <w:rFonts w:ascii="Arial" w:cs="Arial" w:eastAsia="Arial" w:hAnsi="Arial"/>
          <w:sz w:val="16"/>
          <w:szCs w:val="16"/>
          <w:color w:val="auto"/>
        </w:rPr>
        <w:t>Our stockholders are deemed to have notice of and have consented to the provisions of our amended and restated certificate of incorporation related to choice of forum.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3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4" w:lineRule="exact"/>
        <w:rPr>
          <w:sz w:val="20"/>
          <w:szCs w:val="20"/>
          <w:color w:val="auto"/>
        </w:rPr>
      </w:pPr>
    </w:p>
    <w:p>
      <w:pPr>
        <w:ind w:right="560" w:firstLine="896"/>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34" w:lineRule="exact"/>
        <w:rPr>
          <w:sz w:val="20"/>
          <w:szCs w:val="20"/>
          <w:color w:val="auto"/>
        </w:rPr>
      </w:pPr>
    </w:p>
    <w:p>
      <w:pPr>
        <w:ind w:right="460" w:firstLine="896"/>
        <w:spacing w:after="0" w:line="271"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right="20" w:hanging="437"/>
        <w:spacing w:after="0" w:line="297" w:lineRule="auto"/>
        <w:tabs>
          <w:tab w:leader="none" w:pos="1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306" w:lineRule="exact"/>
        <w:rPr>
          <w:rFonts w:ascii="Arial" w:cs="Arial" w:eastAsia="Arial" w:hAnsi="Arial"/>
          <w:sz w:val="16"/>
          <w:szCs w:val="16"/>
          <w:color w:val="auto"/>
        </w:rPr>
      </w:pPr>
    </w:p>
    <w:p>
      <w:pPr>
        <w:ind w:left="1340" w:hanging="437"/>
        <w:spacing w:after="0"/>
        <w:tabs>
          <w:tab w:leader="none" w:pos="1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391" w:lineRule="exact"/>
        <w:rPr>
          <w:rFonts w:ascii="Arial" w:cs="Arial" w:eastAsia="Arial" w:hAnsi="Arial"/>
          <w:sz w:val="16"/>
          <w:szCs w:val="16"/>
          <w:color w:val="auto"/>
        </w:rPr>
      </w:pPr>
    </w:p>
    <w:p>
      <w:pPr>
        <w:ind w:left="1340" w:hanging="437"/>
        <w:spacing w:after="0" w:line="259"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32" w:lineRule="exact"/>
        <w:rPr>
          <w:rFonts w:ascii="Arial" w:cs="Arial" w:eastAsia="Arial" w:hAnsi="Arial"/>
          <w:sz w:val="18"/>
          <w:szCs w:val="18"/>
          <w:color w:val="auto"/>
        </w:rPr>
      </w:pPr>
    </w:p>
    <w:p>
      <w:pPr>
        <w:ind w:left="1340" w:right="20" w:hanging="437"/>
        <w:spacing w:after="0" w:line="259"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332" w:lineRule="exact"/>
        <w:rPr>
          <w:rFonts w:ascii="Arial" w:cs="Arial" w:eastAsia="Arial" w:hAnsi="Arial"/>
          <w:sz w:val="18"/>
          <w:szCs w:val="18"/>
          <w:color w:val="auto"/>
        </w:rPr>
      </w:pPr>
    </w:p>
    <w:p>
      <w:pPr>
        <w:ind w:left="1340" w:right="40" w:hanging="437"/>
        <w:spacing w:after="0" w:line="301" w:lineRule="auto"/>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98" w:lineRule="exact"/>
        <w:rPr>
          <w:rFonts w:ascii="Arial" w:cs="Arial" w:eastAsia="Arial" w:hAnsi="Arial"/>
          <w:sz w:val="17"/>
          <w:szCs w:val="17"/>
          <w:color w:val="auto"/>
        </w:rPr>
      </w:pPr>
    </w:p>
    <w:p>
      <w:pPr>
        <w:ind w:left="1340" w:right="540" w:hanging="437"/>
        <w:spacing w:after="0" w:line="271"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jc w:val="both"/>
        <w:ind w:right="240" w:firstLine="896"/>
        <w:spacing w:after="0" w:line="259" w:lineRule="auto"/>
        <w:rPr>
          <w:sz w:val="20"/>
          <w:szCs w:val="20"/>
          <w:color w:val="auto"/>
        </w:rPr>
      </w:pPr>
      <w:r>
        <w:rPr>
          <w:rFonts w:ascii="Arial" w:cs="Arial" w:eastAsia="Arial" w:hAnsi="Arial"/>
          <w:sz w:val="18"/>
          <w:szCs w:val="18"/>
          <w:color w:val="auto"/>
        </w:rPr>
        <w:t>We do not own any real property. Our corporate headquarters are located in Plymouth Meeting, Pennsylvania. In December 2020, we leased additional office space at this same location, which increased our footprint to approximately 28,638 square feet of space pursuant to a lease that expires in 2024. We believe that our facilities are suitable to meet our current needs.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ind w:right="260" w:firstLine="896"/>
        <w:spacing w:after="0" w:line="275"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 We do not believe that we have any pending litigation that, individually or in the aggregate, would have a material adverse effect on our results of operations, financial condition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1" w:lineRule="exact"/>
        <w:rPr>
          <w:sz w:val="20"/>
          <w:szCs w:val="20"/>
          <w:color w:val="auto"/>
        </w:rPr>
      </w:pPr>
    </w:p>
    <w:p>
      <w:pPr>
        <w:ind w:right="2020"/>
        <w:spacing w:after="0" w:line="459"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60" w:firstLine="896"/>
        <w:spacing w:after="0" w:line="271" w:lineRule="auto"/>
        <w:rPr>
          <w:sz w:val="20"/>
          <w:szCs w:val="20"/>
          <w:color w:val="auto"/>
        </w:rPr>
      </w:pPr>
      <w:r>
        <w:rPr>
          <w:rFonts w:ascii="Arial" w:cs="Arial" w:eastAsia="Arial" w:hAnsi="Arial"/>
          <w:sz w:val="18"/>
          <w:szCs w:val="18"/>
          <w:color w:val="auto"/>
        </w:rPr>
        <w:t>Our common stock began trading on the Nasdaq Global Market under the symbol “HRMY” on August 19, 2020. Prior to that date, there was no public trading market for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94" w:lineRule="exact"/>
        <w:rPr>
          <w:sz w:val="20"/>
          <w:szCs w:val="20"/>
          <w:color w:val="auto"/>
        </w:rPr>
      </w:pPr>
    </w:p>
    <w:p>
      <w:pPr>
        <w:ind w:right="40" w:firstLine="896"/>
        <w:spacing w:after="0" w:line="259" w:lineRule="auto"/>
        <w:rPr>
          <w:sz w:val="20"/>
          <w:szCs w:val="20"/>
          <w:color w:val="auto"/>
        </w:rPr>
      </w:pPr>
      <w:r>
        <w:rPr>
          <w:rFonts w:ascii="Arial" w:cs="Arial" w:eastAsia="Arial" w:hAnsi="Arial"/>
          <w:sz w:val="18"/>
          <w:szCs w:val="18"/>
          <w:color w:val="auto"/>
        </w:rPr>
        <w:t>As of March 15, 2021, we had 53 holders of record of our common stock. Because many of our shares of common stock are held by brokers and other institutions on behalf of shareholders, we are unable to estimate the total number of beneficial owners of our common stock represented by these 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1" w:lineRule="exact"/>
        <w:rPr>
          <w:sz w:val="20"/>
          <w:szCs w:val="20"/>
          <w:color w:val="auto"/>
        </w:rPr>
      </w:pPr>
    </w:p>
    <w:p>
      <w:pPr>
        <w:ind w:firstLine="896"/>
        <w:spacing w:after="0" w:line="252"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future indebtedness, if any, and therefore we do not anticipate declaring or paying any cash dividends on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Summary</w:t>
      </w:r>
    </w:p>
    <w:p>
      <w:pPr>
        <w:spacing w:after="0" w:line="181" w:lineRule="exact"/>
        <w:rPr>
          <w:sz w:val="20"/>
          <w:szCs w:val="20"/>
          <w:color w:val="auto"/>
        </w:rPr>
      </w:pPr>
    </w:p>
    <w:p>
      <w:pPr>
        <w:ind w:right="40" w:firstLine="896"/>
        <w:spacing w:after="0" w:line="267" w:lineRule="auto"/>
        <w:rPr>
          <w:sz w:val="20"/>
          <w:szCs w:val="20"/>
          <w:color w:val="auto"/>
        </w:rPr>
      </w:pPr>
      <w:r>
        <w:rPr>
          <w:rFonts w:ascii="Arial" w:cs="Arial" w:eastAsia="Arial" w:hAnsi="Arial"/>
          <w:sz w:val="17"/>
          <w:szCs w:val="17"/>
          <w:color w:val="auto"/>
        </w:rPr>
        <w:t>On August 21, 2020, we completed the IPO of our common stock, in which we issued and sold 6,151,162 shares, including 802,325 shares pursuant to the underwriters’ over-allotment option at a price of $24.00 per share for an aggregate price of approximately $147.6 million. The shares began trading on the Nasdaq Global Market on August 19, 2020. The offer and sale of the shares in our IPO was registered under the Securities Act pursuant to a registration statement on Form S-1 (File No. 333-240122), which was declared effective by the SEC on August 18, 2020 (the “Registration Statement”). The offering commenced on August 6, 2020 and terminated after the sale of all securities registered pursuant to the Registration Statement. Goldman Sachs &amp; Co. LLC, Jefferies LLC and Piper Sandler &amp; Co. acted as managing underwriters for the offering. We raised approximately $135.4 million, after deducting underwriting discounts and commissions and offering expenses of approximately $12.2 million. None of these expenses consisted of direct or indirect payments made by us to (i) our directors, officers or their associates, (ii) persons owning 10% or more of our common stock or (iii) to our affiliates. There has been no material change in the planned use of proceeds from our IPO as described in the Prospectus. Net proceeds from our IPO have been invested in short-term, interest-bearing, investment grade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94" w:lineRule="exact"/>
        <w:rPr>
          <w:sz w:val="20"/>
          <w:szCs w:val="20"/>
          <w:color w:val="auto"/>
        </w:rPr>
      </w:pPr>
    </w:p>
    <w:p>
      <w:pPr>
        <w:ind w:right="140" w:firstLine="896"/>
        <w:spacing w:after="0" w:line="335" w:lineRule="auto"/>
        <w:rPr>
          <w:sz w:val="20"/>
          <w:szCs w:val="20"/>
          <w:color w:val="auto"/>
        </w:rPr>
      </w:pPr>
      <w:r>
        <w:rPr>
          <w:rFonts w:ascii="Arial" w:cs="Arial" w:eastAsia="Arial" w:hAnsi="Arial"/>
          <w:sz w:val="16"/>
          <w:szCs w:val="16"/>
          <w:color w:val="auto"/>
        </w:rPr>
        <w:t>Between January 1, 2020 and August 17, 2020, we issued to certain employees and directors an aggregate of 21,836 shares of our common stock upon the exercise of options issued under the 2017 Equity Plan at an exercise price of $8.22 per share, for an aggregate exercise price of $0.2 million.</w:t>
      </w:r>
    </w:p>
    <w:p>
      <w:pPr>
        <w:spacing w:after="0" w:line="88" w:lineRule="exact"/>
        <w:rPr>
          <w:sz w:val="20"/>
          <w:szCs w:val="20"/>
          <w:color w:val="auto"/>
        </w:rPr>
      </w:pPr>
    </w:p>
    <w:p>
      <w:pPr>
        <w:ind w:right="80" w:firstLine="896"/>
        <w:spacing w:after="0" w:line="252"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8" w:lineRule="exact"/>
        <w:rPr>
          <w:sz w:val="20"/>
          <w:szCs w:val="20"/>
          <w:color w:val="auto"/>
        </w:rPr>
      </w:pPr>
    </w:p>
    <w:p>
      <w:pPr>
        <w:ind w:right="260" w:firstLine="896"/>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included elsewhere in this Annual Report.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ind w:firstLine="896"/>
        <w:spacing w:after="0" w:line="251"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disorders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5"/>
          <w:szCs w:val="15"/>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 by the Drug Enforcement Administration (the “DEA”).</w:t>
      </w:r>
    </w:p>
    <w:p>
      <w:pPr>
        <w:spacing w:after="0" w:line="170" w:lineRule="exact"/>
        <w:rPr>
          <w:sz w:val="20"/>
          <w:szCs w:val="20"/>
          <w:color w:val="auto"/>
        </w:rPr>
      </w:pPr>
    </w:p>
    <w:p>
      <w:pPr>
        <w:ind w:firstLine="896"/>
        <w:spacing w:after="0" w:line="286" w:lineRule="auto"/>
        <w:rPr>
          <w:sz w:val="20"/>
          <w:szCs w:val="20"/>
          <w:color w:val="auto"/>
        </w:rPr>
      </w:pPr>
      <w:r>
        <w:rPr>
          <w:rFonts w:ascii="Arial" w:cs="Arial" w:eastAsia="Arial" w:hAnsi="Arial"/>
          <w:sz w:val="16"/>
          <w:szCs w:val="16"/>
          <w:color w:val="auto"/>
        </w:rPr>
        <w:t>We plan to pursue label expansion for WAKIX in narcolepsy in pediatric patients and engage with the FDA in pursuit of pediatric exclusivity. We currently expect to initiate a Phase 3 clinical trial in pediatric patients in the second half of 2021 in pursuit of indications for both EDS and cataplexy. We believe that pitolisant’s ability to regulate histamine gives it the potential to provide therapeutic benefit in other rare neurological disorders that are mediated through H</w:t>
      </w:r>
      <w:r>
        <w:rPr>
          <w:rFonts w:ascii="Arial" w:cs="Arial" w:eastAsia="Arial" w:hAnsi="Arial"/>
          <w:sz w:val="13"/>
          <w:szCs w:val="13"/>
          <w:color w:val="auto"/>
        </w:rPr>
        <w:t>3</w:t>
      </w:r>
      <w:r>
        <w:rPr>
          <w:rFonts w:ascii="Arial" w:cs="Arial" w:eastAsia="Arial" w:hAnsi="Arial"/>
          <w:sz w:val="16"/>
          <w:szCs w:val="16"/>
          <w:color w:val="auto"/>
        </w:rPr>
        <w:t xml:space="preserve"> receptors and histamine signaling. We are initially focusing on the treatment of EDS associated with Prader-Willi Syndrome (“PWS”) and myotonic dystrophy, otherwise known as dystrophia myotonica (“DM”). In December 2020, we initiated a Phase 2 clinical trial to evaluate pitolisant for the treatment of EDS and other key symptoms in patients with PWS and anticipate topline results in the first half of 2022. We are also planning to commence a Phase 2 clinical trial in adult patients with DM in the first half of 2021, with topline results expected in the second half of 2022, under our open Investigational New Drug application (“IND”). Beyond these indications, we intend to further explore pitolisant in other rare neurological disorders in which fatigue and cognitive impairment are prominent symptoms with significant impact on daily functioning.</w:t>
      </w:r>
    </w:p>
    <w:p>
      <w:pPr>
        <w:spacing w:after="0" w:line="126" w:lineRule="exact"/>
        <w:rPr>
          <w:sz w:val="20"/>
          <w:szCs w:val="20"/>
          <w:color w:val="auto"/>
        </w:rPr>
      </w:pPr>
    </w:p>
    <w:p>
      <w:pPr>
        <w:ind w:firstLine="896"/>
        <w:spacing w:after="0" w:line="281" w:lineRule="auto"/>
        <w:rPr>
          <w:sz w:val="20"/>
          <w:szCs w:val="20"/>
          <w:color w:val="auto"/>
        </w:rPr>
      </w:pPr>
      <w:r>
        <w:rPr>
          <w:rFonts w:ascii="Arial" w:cs="Arial" w:eastAsia="Arial" w:hAnsi="Arial"/>
          <w:sz w:val="17"/>
          <w:szCs w:val="17"/>
          <w:color w:val="auto"/>
        </w:rPr>
        <w:t>We also seek to expand our pipeline through the acquisition of additional assets that focus on addressing the unmet needs of patients with neurological disorders. We intend to target assets that will be complementary to WAKIX and our expanding list of potential new indications for WAKIX, and assets that will allow us to further leverage the expertise and infrastructure that we have successfully built at Harmony.</w:t>
      </w:r>
    </w:p>
    <w:p>
      <w:pPr>
        <w:spacing w:after="0" w:line="129" w:lineRule="exact"/>
        <w:rPr>
          <w:sz w:val="20"/>
          <w:szCs w:val="20"/>
          <w:color w:val="auto"/>
        </w:rPr>
      </w:pPr>
    </w:p>
    <w:p>
      <w:pPr>
        <w:ind w:right="80" w:firstLine="896"/>
        <w:spacing w:after="0" w:line="290" w:lineRule="auto"/>
        <w:rPr>
          <w:sz w:val="20"/>
          <w:szCs w:val="20"/>
          <w:color w:val="auto"/>
        </w:rPr>
      </w:pPr>
      <w:r>
        <w:rPr>
          <w:rFonts w:ascii="Arial" w:cs="Arial" w:eastAsia="Arial" w:hAnsi="Arial"/>
          <w:sz w:val="16"/>
          <w:szCs w:val="16"/>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 See “Part I—Item 1. Business.—Strategic Agreement—License and Commercialization Agreement with Bioprojet” for further information regarding the Bioprojet License Agreement.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37" w:lineRule="exact"/>
        <w:rPr>
          <w:sz w:val="20"/>
          <w:szCs w:val="20"/>
          <w:color w:val="auto"/>
        </w:rPr>
      </w:pPr>
    </w:p>
    <w:p>
      <w:pPr>
        <w:ind w:right="120" w:firstLine="896"/>
        <w:spacing w:after="0" w:line="269" w:lineRule="auto"/>
        <w:rPr>
          <w:sz w:val="20"/>
          <w:szCs w:val="20"/>
          <w:color w:val="auto"/>
        </w:rPr>
      </w:pPr>
      <w:r>
        <w:rPr>
          <w:rFonts w:ascii="Arial" w:cs="Arial" w:eastAsia="Arial" w:hAnsi="Arial"/>
          <w:sz w:val="17"/>
          <w:szCs w:val="17"/>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IND for pitolisant, initiating an Expanded Access Program (“EAP”) for pitolisant for appropriate patients in the United States, preparing and submitting our NDA for pitolisant, gaining NDA approval for WAKIX for the treatment of EDS or cataplexy in adult patients with narcolepsy, and launching and commercializing WAKIX in the United States. In addition, we have initiated or intend to initiate clinical development programs in PWS, DM and pediatric narcolepsy to pursue potential new indications.</w:t>
      </w:r>
    </w:p>
    <w:p>
      <w:pPr>
        <w:spacing w:after="0" w:line="17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4" w:lineRule="exact"/>
        <w:rPr>
          <w:sz w:val="20"/>
          <w:szCs w:val="20"/>
          <w:color w:val="auto"/>
        </w:rPr>
      </w:pPr>
    </w:p>
    <w:p>
      <w:pPr>
        <w:ind w:firstLine="896"/>
        <w:spacing w:after="0" w:line="288" w:lineRule="auto"/>
        <w:rPr>
          <w:sz w:val="20"/>
          <w:szCs w:val="20"/>
          <w:color w:val="auto"/>
        </w:rPr>
      </w:pPr>
      <w:r>
        <w:rPr>
          <w:rFonts w:ascii="Arial" w:cs="Arial" w:eastAsia="Arial" w:hAnsi="Arial"/>
          <w:sz w:val="16"/>
          <w:szCs w:val="16"/>
          <w:color w:val="auto"/>
        </w:rPr>
        <w:t>On August 21, 2020, we completed the initial public offering (“IPO”) of our common stock, in which we sold 6,151,162 shares, including 802,325 shares pursuant to the underwriters’ over-allotment option. The shares began trading on the Nasdaq Global Market on August 19, 2020. The shares were sold at an IPO price of $24.00 per share for net proceeds of approximately $135.4 million, after deducting underwriting discounts and commissions and offering expenses of approximately $12.2 million. Upon the closing of the IPO, all outstanding shares of our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our convertible preferred stock, and warrants exercisable for convertible preferred stock were automatically converted into warrants exercisable for a total of 410,239 shares of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Sources of Funding</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the year ended December 31, 2020, we generated $159.7 million of net product revenues. We have financed our operations primarily with</w:t>
      </w:r>
    </w:p>
    <w:p>
      <w:pPr>
        <w:spacing w:after="0" w:line="43" w:lineRule="exact"/>
        <w:rPr>
          <w:sz w:val="20"/>
          <w:szCs w:val="20"/>
          <w:color w:val="auto"/>
        </w:rPr>
      </w:pPr>
    </w:p>
    <w:p>
      <w:pPr>
        <w:jc w:val="both"/>
        <w:ind w:right="60" w:firstLine="7"/>
        <w:spacing w:after="0" w:line="270" w:lineRule="auto"/>
        <w:tabs>
          <w:tab w:leader="none" w:pos="242"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proceeds from sales of our convertible preferred stock, (b) borrowings under (i) our multi-draw term loan agreement (the “Loan Agreement”) with CRG Servicing LLC (“CRG”) and (ii) our credit agreement (the “Credit Agreement”) with OrbiMed Royalty &amp; Credit Opportunities III, LP (“OrbiMed”), and (c) proceeds from our IPO. As of December 31, 2020, we had cash, cash equivalents and restricted cash of $229.4 million and accumulated deficit of $488.2 million. As of December 31, 2020, we had outstanding debt, net of issuance costs, of $194.3 million.</w:t>
      </w:r>
    </w:p>
    <w:p>
      <w:pPr>
        <w:spacing w:after="0" w:line="151" w:lineRule="exact"/>
        <w:rPr>
          <w:sz w:val="20"/>
          <w:szCs w:val="20"/>
          <w:color w:val="auto"/>
        </w:rPr>
      </w:pPr>
    </w:p>
    <w:p>
      <w:pPr>
        <w:ind w:right="140" w:firstLine="896"/>
        <w:spacing w:after="0" w:line="281" w:lineRule="auto"/>
        <w:rPr>
          <w:sz w:val="20"/>
          <w:szCs w:val="20"/>
          <w:color w:val="auto"/>
        </w:rPr>
      </w:pPr>
      <w:r>
        <w:rPr>
          <w:rFonts w:ascii="Arial" w:cs="Arial" w:eastAsia="Arial" w:hAnsi="Arial"/>
          <w:sz w:val="17"/>
          <w:szCs w:val="17"/>
          <w:color w:val="auto"/>
        </w:rPr>
        <w:t>We believe that our anticipated cash from operating and financing activities and existing cash and cash equivalents will enable us to meet our operational liquidity needs and fund planned investing activities for the next twelve months. We have based this estimate on assumptions that may prove to be incorrect, and we could use our capital resources sooner than we expect. See “—Liquidity and Capital Resources.”</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revenues and expenses in future quarters may differ from our expectations as we:</w:t>
      </w:r>
    </w:p>
    <w:p>
      <w:pPr>
        <w:spacing w:after="0" w:line="368" w:lineRule="exact"/>
        <w:rPr>
          <w:sz w:val="20"/>
          <w:szCs w:val="20"/>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commercialize WAKIX in the United States for the treatment of EDS or cataplexy in adult patients with narcolepsy;</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sales and marketing costs to support the commercialization of WAKIX and any additional product candidates;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 royalties and make milestone payments to Bioprojet for the license of WAKIX;</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manufacturing costs for WAKIX and any additional product candidates;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implement post-approval requirements related to WAKIX;</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 clinical trials in PWS, DM, and potential new indications for pitolisant or any additional product candidates;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conduct a pediatric narcolepsy program in pursuit of an indication and extension of our patents based on pediatric exclusivity;</w:t>
      </w:r>
    </w:p>
    <w:p>
      <w:pPr>
        <w:spacing w:after="0" w:line="379" w:lineRule="exact"/>
        <w:rPr>
          <w:rFonts w:ascii="Arial" w:cs="Arial" w:eastAsia="Arial" w:hAnsi="Arial"/>
          <w:sz w:val="17"/>
          <w:szCs w:val="17"/>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 earlier stage research and development activities for pitolisant;</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support independent investigator-initiated research for which there is a valid scientific rationale;</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interest expenses in conjunction with our debt facility;</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seek regulatory approvals for pitolisant or any additional product candidates that successfully complete clinical development;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7613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right="160" w:hanging="437"/>
        <w:spacing w:after="0" w:line="271"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additional clinical trials in pursuit of potential new indications for pitolisant; acquire or in-license other assets and technologies; and</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additional costs associated with being a public company.</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Launch Metrics</w:t>
      </w:r>
    </w:p>
    <w:p>
      <w:pPr>
        <w:spacing w:after="0" w:line="221" w:lineRule="exact"/>
        <w:rPr>
          <w:sz w:val="20"/>
          <w:szCs w:val="20"/>
          <w:color w:val="auto"/>
        </w:rPr>
      </w:pPr>
    </w:p>
    <w:p>
      <w:pPr>
        <w:ind w:right="20" w:firstLine="896"/>
        <w:spacing w:after="0" w:line="272" w:lineRule="auto"/>
        <w:rPr>
          <w:sz w:val="20"/>
          <w:szCs w:val="20"/>
          <w:color w:val="auto"/>
        </w:rPr>
      </w:pPr>
      <w:r>
        <w:rPr>
          <w:rFonts w:ascii="Arial" w:cs="Arial" w:eastAsia="Arial" w:hAnsi="Arial"/>
          <w:sz w:val="17"/>
          <w:szCs w:val="17"/>
          <w:color w:val="auto"/>
        </w:rPr>
        <w:t>As of December 31, 2020, over 2,400 unique healthcare professionals (“HCPs”) (out of a total of approximately 8,000 HCPs who treat approximately 90% of diagnosed narcolepsy patients) have prescribed WAKIX since it became available in November 2019. The average number of patients on WAKIX at the end of 2020 was approximately 2,500. We have secured formulary access for approximately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221" w:lineRule="exact"/>
        <w:rPr>
          <w:sz w:val="20"/>
          <w:szCs w:val="20"/>
          <w:color w:val="auto"/>
        </w:rPr>
      </w:pPr>
    </w:p>
    <w:p>
      <w:pPr>
        <w:ind w:right="80" w:firstLine="896"/>
        <w:spacing w:after="0" w:line="335" w:lineRule="auto"/>
        <w:rPr>
          <w:sz w:val="20"/>
          <w:szCs w:val="20"/>
          <w:color w:val="auto"/>
        </w:rPr>
      </w:pPr>
      <w:r>
        <w:rPr>
          <w:rFonts w:ascii="Arial" w:cs="Arial" w:eastAsia="Arial" w:hAnsi="Arial"/>
          <w:sz w:val="16"/>
          <w:szCs w:val="16"/>
          <w:color w:val="auto"/>
        </w:rPr>
        <w:t>With the global impact of the COVID-19 pandemic, we have developed a response strategy that includes establishing cross-functional response teams and implementing business continuity plans to manage the impact of the pandemic on our employees, patients, HCPs, and our business.</w:t>
      </w:r>
    </w:p>
    <w:p>
      <w:pPr>
        <w:spacing w:after="0" w:line="128" w:lineRule="exact"/>
        <w:rPr>
          <w:sz w:val="20"/>
          <w:szCs w:val="20"/>
          <w:color w:val="auto"/>
        </w:rPr>
      </w:pPr>
    </w:p>
    <w:p>
      <w:pPr>
        <w:ind w:right="120" w:firstLine="896"/>
        <w:spacing w:after="0" w:line="293" w:lineRule="auto"/>
        <w:rPr>
          <w:sz w:val="20"/>
          <w:szCs w:val="20"/>
          <w:color w:val="auto"/>
        </w:rPr>
      </w:pPr>
      <w:r>
        <w:rPr>
          <w:rFonts w:ascii="Arial" w:cs="Arial" w:eastAsia="Arial" w:hAnsi="Arial"/>
          <w:sz w:val="16"/>
          <w:szCs w:val="16"/>
          <w:color w:val="auto"/>
        </w:rPr>
        <w:t>Despite our response strategy, the COVID-19 pandemic is having an effect on our business and the pharmaceutical industry in general, and is impacting the way stakeholders interact with one another during this pandemic. We continue to leverage technology and virtual engagement initiatives to offset our reduced in-person access to HCPs. The COVID-19 pandemic, which has led to high unemployment and corresponding loss of medical insurance, has caused a change in relationship dynamics between patients and their HCPs and has impacted the way patients take, or do not take, their medication. Based on these factors, we expect that the revenue growth rate in possible future quarters may be adversely impacted by the ongoing COVID-19 pandemic.</w:t>
      </w:r>
    </w:p>
    <w:p>
      <w:pPr>
        <w:spacing w:after="0" w:line="161" w:lineRule="exact"/>
        <w:rPr>
          <w:sz w:val="20"/>
          <w:szCs w:val="20"/>
          <w:color w:val="auto"/>
        </w:rPr>
      </w:pPr>
    </w:p>
    <w:p>
      <w:pPr>
        <w:ind w:right="120" w:firstLine="896"/>
        <w:spacing w:after="0" w:line="301" w:lineRule="auto"/>
        <w:rPr>
          <w:sz w:val="20"/>
          <w:szCs w:val="20"/>
          <w:color w:val="auto"/>
        </w:rPr>
      </w:pPr>
      <w:r>
        <w:rPr>
          <w:rFonts w:ascii="Arial" w:cs="Arial" w:eastAsia="Arial" w:hAnsi="Arial"/>
          <w:sz w:val="17"/>
          <w:szCs w:val="17"/>
          <w:color w:val="auto"/>
        </w:rPr>
        <w:t>We continue to identify new and innovative ways to maintain meaningful engagement, generate awareness and educate our patients, HCPs and payors to minimize the pressure from the COVID-19 pandemic on our business and support our commercial launch performance.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221" w:lineRule="exact"/>
        <w:rPr>
          <w:sz w:val="20"/>
          <w:szCs w:val="20"/>
          <w:color w:val="auto"/>
        </w:rPr>
      </w:pPr>
    </w:p>
    <w:p>
      <w:pPr>
        <w:ind w:right="20" w:firstLine="896"/>
        <w:spacing w:after="0" w:line="267" w:lineRule="auto"/>
        <w:rPr>
          <w:sz w:val="20"/>
          <w:szCs w:val="20"/>
          <w:color w:val="auto"/>
        </w:rPr>
      </w:pPr>
      <w:r>
        <w:rPr>
          <w:rFonts w:ascii="Arial" w:cs="Arial" w:eastAsia="Arial" w:hAnsi="Arial"/>
          <w:sz w:val="17"/>
          <w:szCs w:val="17"/>
          <w:color w:val="auto"/>
        </w:rPr>
        <w:t>With respect to our commercialization activities, we believe the COVID-19 pandemic is putting pressure on top-line prescription demand for WAKIX, primarily due to (i) our field sales team’s reduced ability to access HCPs in person, and (ii) fewer patients seeing HCPs for prescriptions or treatments. The impact on demand for WAKIX may also be related to a reduced ability of prescribers to diagnose narcolepsy patients given the limitations in access to sleep testing, the reduced ability to see patients due to (i) cancelled appointments and (ii) the reprioritization of healthcare resources toward the treatment of COVID-19, both of which lead to fewer prescriptions. Despite these challenges, we continue to engage and educate HCPs virtually on the overall benefit/risk profile of WAKIX and continue to provide support for people living with narcolepsy. As offices, clinics and institutions have begun to allow limited in-person interactions pursuant to health authority and local government guidelines, our field teams continue to re-initiate in-person interactions with HCPs and customers, but the timing and level of engagement vary by account and region and may be adversely impacted in the future where reemergence or future outbreaks of COVID-19 may occur.</w:t>
      </w:r>
    </w:p>
    <w:p>
      <w:pPr>
        <w:spacing w:after="0" w:line="183" w:lineRule="exact"/>
        <w:rPr>
          <w:sz w:val="20"/>
          <w:szCs w:val="20"/>
          <w:color w:val="auto"/>
        </w:rPr>
      </w:pPr>
    </w:p>
    <w:p>
      <w:pPr>
        <w:ind w:firstLine="896"/>
        <w:spacing w:after="0" w:line="272" w:lineRule="auto"/>
        <w:rPr>
          <w:sz w:val="20"/>
          <w:szCs w:val="20"/>
          <w:color w:val="auto"/>
        </w:rPr>
      </w:pPr>
      <w:r>
        <w:rPr>
          <w:rFonts w:ascii="Arial" w:cs="Arial" w:eastAsia="Arial" w:hAnsi="Arial"/>
          <w:sz w:val="17"/>
          <w:szCs w:val="17"/>
          <w:color w:val="auto"/>
        </w:rPr>
        <w:t>High unemployment and the corresponding loss of health insurance is causing some eligible patients to shift from commercial insurance to free goods and patient assistance programs, which impacts our ability to convert demand to revenue. Depending on the scale and ultimate duration of the COVID-19 pandemic and the extent of an economic slowdown, widespread unemployment and resulting loss of employer-sponsored insurance coverage, we may experience a shift from commercial payor coverage to government payor coverage or continued/increased demand for patient assistance and/or free drug programs, which could further impact our net revenue in the coming quarters.</w:t>
      </w:r>
    </w:p>
    <w:p>
      <w:pPr>
        <w:spacing w:after="0" w:line="17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w:t>
      </w:r>
    </w:p>
    <w:p>
      <w:pPr>
        <w:spacing w:after="0" w:line="221" w:lineRule="exact"/>
        <w:rPr>
          <w:sz w:val="20"/>
          <w:szCs w:val="20"/>
          <w:color w:val="auto"/>
        </w:rPr>
      </w:pPr>
    </w:p>
    <w:p>
      <w:pPr>
        <w:ind w:right="180" w:firstLine="896"/>
        <w:spacing w:after="0" w:line="272" w:lineRule="auto"/>
        <w:rPr>
          <w:sz w:val="20"/>
          <w:szCs w:val="20"/>
          <w:color w:val="auto"/>
        </w:rPr>
      </w:pPr>
      <w:r>
        <w:rPr>
          <w:rFonts w:ascii="Arial" w:cs="Arial" w:eastAsia="Arial" w:hAnsi="Arial"/>
          <w:sz w:val="17"/>
          <w:szCs w:val="17"/>
          <w:color w:val="auto"/>
        </w:rPr>
        <w:t>We currently expect to have adequate supply of WAKIX through the first half of 2022, with additional API on-hand inventory to support 12 to 18 months beyond this time frame. We are working closely with our third-party manufacturers, distributors and other partners to manage our supply chain activities and mitigate potential disruptions to our product supplies as a result of the COVID-19 pandemic. We believe that our access to the required production lines to produce additional API and WAKIX finished product throughout the next 12-18 months will not be directly impacted by the potential need to reprioritize manufacturing resources due to the production of materials utilized for COVID-19 vaccines.</w:t>
      </w:r>
    </w:p>
    <w:p>
      <w:pPr>
        <w:spacing w:after="0" w:line="176" w:lineRule="exact"/>
        <w:rPr>
          <w:sz w:val="20"/>
          <w:szCs w:val="20"/>
          <w:color w:val="auto"/>
        </w:rPr>
      </w:pPr>
    </w:p>
    <w:p>
      <w:pPr>
        <w:jc w:val="both"/>
        <w:ind w:right="400" w:firstLine="896"/>
        <w:spacing w:after="0" w:line="281" w:lineRule="auto"/>
        <w:rPr>
          <w:sz w:val="20"/>
          <w:szCs w:val="20"/>
          <w:color w:val="auto"/>
        </w:rPr>
      </w:pPr>
      <w:r>
        <w:rPr>
          <w:rFonts w:ascii="Arial" w:cs="Arial" w:eastAsia="Arial" w:hAnsi="Arial"/>
          <w:sz w:val="17"/>
          <w:szCs w:val="17"/>
          <w:color w:val="auto"/>
        </w:rPr>
        <w:t>Our manufacturing partners in France and the United States continue to be operational. If the COVID-19 pandemic persists for an extended period of time and/or begins to impact essential distribution systems such as transatlantic freight, FedEx, UPS and postal delivery, we could experience disruptions to our supply chain and operations with associated delays in the manufacturing and supply of our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p>
      <w:pPr>
        <w:ind w:right="20" w:firstLine="896"/>
        <w:spacing w:after="0" w:line="266" w:lineRule="auto"/>
        <w:rPr>
          <w:sz w:val="20"/>
          <w:szCs w:val="20"/>
          <w:color w:val="auto"/>
        </w:rPr>
      </w:pPr>
      <w:r>
        <w:rPr>
          <w:rFonts w:ascii="Arial" w:cs="Arial" w:eastAsia="Arial" w:hAnsi="Arial"/>
          <w:sz w:val="17"/>
          <w:szCs w:val="17"/>
          <w:color w:val="auto"/>
        </w:rPr>
        <w:t>The COVID-19 pandemic has negatively impacted the pharmaceutical industry’s ability to conduct clinical trials. While we initially experienced some challenges due to the COVID-19 pandemic, we have taken measures and put contingency plans in place in order to advance our clinical development programs. We have implemented remote and virtual approaches to clinical trials, including using telemedicine for remote clinic visits to perform efficacy assessments and sending out licensed HCPs to each patient to collect safety assessments (e.g. labs, electrocardiograms) as required by the protocols. We are also performing remote site visits and data monitoring where possible. These measures are being instituted with the intent of maintaining patient safety and trial continuity while preserving study integrity. One unique challenge we are facing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or reemerges in the future, we could experience significant delays in our clinical development timelines, which would adversely affect our business, financial condition, results of operations and growth prospects.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Development and Other Financial Impacts</w:t>
      </w:r>
    </w:p>
    <w:p>
      <w:pPr>
        <w:spacing w:after="0" w:line="221" w:lineRule="exact"/>
        <w:rPr>
          <w:sz w:val="20"/>
          <w:szCs w:val="20"/>
          <w:color w:val="auto"/>
        </w:rPr>
      </w:pPr>
    </w:p>
    <w:p>
      <w:pPr>
        <w:ind w:right="20" w:firstLine="896"/>
        <w:spacing w:after="0" w:line="255" w:lineRule="auto"/>
        <w:rPr>
          <w:sz w:val="20"/>
          <w:szCs w:val="20"/>
          <w:color w:val="auto"/>
        </w:rPr>
      </w:pPr>
      <w:r>
        <w:rPr>
          <w:rFonts w:ascii="Arial" w:cs="Arial" w:eastAsia="Arial" w:hAnsi="Arial"/>
          <w:sz w:val="18"/>
          <w:szCs w:val="18"/>
          <w:color w:val="auto"/>
        </w:rPr>
        <w:t>The COVID-19 pandemic continues to rapidly evolve and has already resulted in a significant disruption of domestic and global financial markets. If the disruption persists and/or worsens, we may be unable to access additional capital, which could negatively affect our ability to execute on certain corporate development transactions or other important investment opportunities. The pandemic could also impact our ability to conduct in-person due diligence, negotiations, and other interactions to identify new opportunities.</w:t>
      </w:r>
    </w:p>
    <w:p>
      <w:pPr>
        <w:spacing w:after="0" w:line="190" w:lineRule="exact"/>
        <w:rPr>
          <w:sz w:val="20"/>
          <w:szCs w:val="20"/>
          <w:color w:val="auto"/>
        </w:rPr>
      </w:pPr>
    </w:p>
    <w:p>
      <w:pPr>
        <w:ind w:right="20" w:firstLine="896"/>
        <w:spacing w:after="0" w:line="252" w:lineRule="auto"/>
        <w:rPr>
          <w:sz w:val="20"/>
          <w:szCs w:val="20"/>
          <w:color w:val="auto"/>
        </w:rPr>
      </w:pPr>
      <w:r>
        <w:rPr>
          <w:rFonts w:ascii="Arial" w:cs="Arial" w:eastAsia="Arial" w:hAnsi="Arial"/>
          <w:sz w:val="18"/>
          <w:szCs w:val="18"/>
          <w:color w:val="auto"/>
        </w:rPr>
        <w:t>The COVID-19 pandemic has also affected, and continues to affect, our business operations and financial results. The extent of the impact of the COVID-19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or reemergence of outbreaks, governmental travel restrictions, quarantines, social distancing and business closure requirements in the United States, France, and other countries, and the effectiveness of actions taken globally to contain and treat COVID-19.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Responsibility Impact</w:t>
      </w:r>
    </w:p>
    <w:p>
      <w:pPr>
        <w:spacing w:after="0" w:line="221"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We continue to provide support to our local communities, patient-focused organizations and other charitable organizations during the COVID-19 pandemic with relief efforts, including corporate donations, supplying food, medical supplies and other resources. For the safety and well-being of our employees, consultants and their families, during the COVID-19 pandemic, we have abided by the government issued work from home orders. We continue to clean and sanitize our offices on a regular basis and have implemented COVID-19 screening procedures and social distancing guidelines before allowing employees or guests to enter our offices.</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1" w:lineRule="exact"/>
        <w:rPr>
          <w:sz w:val="20"/>
          <w:szCs w:val="20"/>
          <w:color w:val="auto"/>
        </w:rPr>
      </w:pPr>
    </w:p>
    <w:p>
      <w:pPr>
        <w:ind w:right="20" w:firstLine="896"/>
        <w:spacing w:after="0" w:line="255" w:lineRule="auto"/>
        <w:rPr>
          <w:sz w:val="20"/>
          <w:szCs w:val="20"/>
          <w:color w:val="auto"/>
        </w:rPr>
      </w:pPr>
      <w:r>
        <w:rPr>
          <w:rFonts w:ascii="Arial" w:cs="Arial" w:eastAsia="Arial" w:hAnsi="Arial"/>
          <w:sz w:val="18"/>
          <w:szCs w:val="18"/>
          <w:color w:val="auto"/>
        </w:rPr>
        <w:t>We did not generate any revenue from inception until the fourth quarter of 2019. Our current product, WAKIX, was approved by the FDA for the treatment of EDS in adult patients with narcolepsy in August 2019, became commercially available in November 2019 and was approved by the FDA for the treatment of cataplexy in adult patients with narcolepsy in October 2020. For the years ended December 31, 2020 and 2019, we had $159.7 million and $6.0 million, respectively, of net product revenue.</w:t>
      </w:r>
    </w:p>
    <w:p>
      <w:pPr>
        <w:spacing w:after="0" w:line="150" w:lineRule="exact"/>
        <w:rPr>
          <w:sz w:val="20"/>
          <w:szCs w:val="20"/>
          <w:color w:val="auto"/>
        </w:rPr>
      </w:pPr>
    </w:p>
    <w:p>
      <w:pPr>
        <w:ind w:right="60" w:firstLine="896"/>
        <w:spacing w:after="0" w:line="253" w:lineRule="auto"/>
        <w:rPr>
          <w:sz w:val="20"/>
          <w:szCs w:val="20"/>
          <w:color w:val="auto"/>
        </w:rPr>
      </w:pPr>
      <w:r>
        <w:rPr>
          <w:rFonts w:ascii="Arial" w:cs="Arial" w:eastAsia="Arial" w:hAnsi="Arial"/>
          <w:sz w:val="18"/>
          <w:szCs w:val="18"/>
          <w:color w:val="auto"/>
        </w:rPr>
        <w:t>Total revenue consists of net sales of WAKIX. Net sales represent the gross sales of WAKIX less provisions for product sales discounts and allowances. At this time, these provisions include trade allowances, rebates to government and commercial entities, and discounts. Although we expect net sales to increase over time, the provisions for product sales discounts and allowances may fluctuate based on the mix of sales to different customer segments and/or changes in our accrual estimates. For further discussion of the components of Revenue, see “—Critical Accounting Policies and Significant Judgments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81" w:lineRule="exact"/>
        <w:rPr>
          <w:sz w:val="20"/>
          <w:szCs w:val="20"/>
          <w:color w:val="auto"/>
        </w:rPr>
      </w:pPr>
    </w:p>
    <w:p>
      <w:pPr>
        <w:ind w:right="180" w:firstLine="896"/>
        <w:spacing w:after="0" w:line="293" w:lineRule="auto"/>
        <w:rPr>
          <w:sz w:val="20"/>
          <w:szCs w:val="20"/>
          <w:color w:val="auto"/>
        </w:rPr>
      </w:pPr>
      <w:r>
        <w:rPr>
          <w:rFonts w:ascii="Arial" w:cs="Arial" w:eastAsia="Arial" w:hAnsi="Arial"/>
          <w:sz w:val="16"/>
          <w:szCs w:val="16"/>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began capitalizing inventory upon FDA approval of WAKIX. A portion of the inventory sold during the year ended December 31, 2020 was produced prior to FDA approval and, therefore, expensed previously as research and development expense in 2019 in the amount of $1.3 million. Excluded from cost of product sold is amortization of acquired developed technology of $9.8 million and $2.8 million in the years ended December 31, 2020 and 2019, respectively.</w:t>
      </w:r>
    </w:p>
    <w:p>
      <w:pPr>
        <w:spacing w:after="0" w:line="121" w:lineRule="exact"/>
        <w:rPr>
          <w:sz w:val="20"/>
          <w:szCs w:val="20"/>
          <w:color w:val="auto"/>
        </w:rPr>
      </w:pPr>
    </w:p>
    <w:p>
      <w:pPr>
        <w:ind w:right="200" w:firstLine="896"/>
        <w:spacing w:after="0" w:line="253" w:lineRule="auto"/>
        <w:rPr>
          <w:sz w:val="20"/>
          <w:szCs w:val="20"/>
          <w:color w:val="auto"/>
        </w:rPr>
      </w:pPr>
      <w:r>
        <w:rPr>
          <w:rFonts w:ascii="Arial" w:cs="Arial" w:eastAsia="Arial" w:hAnsi="Arial"/>
          <w:sz w:val="18"/>
          <w:szCs w:val="18"/>
          <w:color w:val="auto"/>
        </w:rPr>
        <w:t>Previously expensed inventory that was manufactured in anticipation for commercialization preapproval has not had a material impact on our historical results of operations and is not expected to have a material impact on future results of operations. Further, previously expensed inventory has not had a material impact on our gross margin percentage historically, and we do not anticipate a material impact on our gross margin percentage once our previously expensed inventories have been exhausted. Our cost of product sales is increasing moderately as we continue to ramp up production and sales infrastructure to meet expected demand for WAKIX.</w:t>
      </w:r>
    </w:p>
    <w:p>
      <w:pPr>
        <w:spacing w:after="0" w:line="166" w:lineRule="exact"/>
        <w:rPr>
          <w:sz w:val="20"/>
          <w:szCs w:val="20"/>
          <w:color w:val="auto"/>
        </w:rPr>
      </w:pPr>
    </w:p>
    <w:p>
      <w:pPr>
        <w:ind w:right="120" w:firstLine="896"/>
        <w:spacing w:after="0" w:line="259" w:lineRule="auto"/>
        <w:rPr>
          <w:sz w:val="20"/>
          <w:szCs w:val="20"/>
          <w:color w:val="auto"/>
        </w:rPr>
      </w:pPr>
      <w:r>
        <w:rPr>
          <w:rFonts w:ascii="Arial" w:cs="Arial" w:eastAsia="Arial" w:hAnsi="Arial"/>
          <w:sz w:val="18"/>
          <w:szCs w:val="18"/>
          <w:color w:val="auto"/>
        </w:rPr>
        <w:t>The shelf life of our product is three years from date of manufacture, with the earliest expiration of current inventory expected to be May 2022. As of December 31, 2020, we expect our existing inventory to have minimal obsolescence. We will continue to assess obsolescence in future periods as demand for WAKIX and the rate of inventory turnover evolves.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1" w:lineRule="exact"/>
        <w:rPr>
          <w:sz w:val="20"/>
          <w:szCs w:val="20"/>
          <w:color w:val="auto"/>
        </w:rPr>
      </w:pPr>
    </w:p>
    <w:p>
      <w:pPr>
        <w:ind w:firstLine="896"/>
        <w:spacing w:after="0" w:line="268" w:lineRule="auto"/>
        <w:rPr>
          <w:sz w:val="20"/>
          <w:szCs w:val="20"/>
          <w:color w:val="auto"/>
        </w:rPr>
      </w:pPr>
      <w:r>
        <w:rPr>
          <w:rFonts w:ascii="Arial" w:cs="Arial" w:eastAsia="Arial" w:hAnsi="Arial"/>
          <w:sz w:val="17"/>
          <w:szCs w:val="17"/>
          <w:color w:val="auto"/>
        </w:rPr>
        <w:t>Our research and development expenses have primarily been limited to the license of the rights to pitolisant, the establishment of an EAP to provide appropriate patients with pitolisant at no cost as part of a clinical trial to assess safety prior to the approval of WAKIX, the preparation of the NDA, and the initiation of a development program for new indications for pitolisant in patients with PWS, DM and pediatric narcolepsy. We also have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clinical data presentations to payors upon request. Research and development costs are expensed as incurred. We expect to significantly increase our research and development efforts as we advance our clinical programs in patients with PWS, DM and pediatric narcolepsy, and continue to expand our product-candidate pipeline. Research and development expenses include:</w:t>
      </w:r>
    </w:p>
    <w:p>
      <w:pPr>
        <w:spacing w:after="0" w:line="327" w:lineRule="exact"/>
        <w:rPr>
          <w:sz w:val="20"/>
          <w:szCs w:val="20"/>
          <w:color w:val="auto"/>
        </w:rPr>
      </w:pPr>
    </w:p>
    <w:p>
      <w:pPr>
        <w:ind w:left="1340" w:right="280" w:hanging="437"/>
        <w:spacing w:after="0" w:line="271" w:lineRule="auto"/>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 third-party costs such as expenses incurred under agreements with CROs, and contract manufacturing organizations (“CMOs”);</w:t>
      </w:r>
    </w:p>
    <w:p>
      <w:pPr>
        <w:spacing w:after="0" w:line="391" w:lineRule="exact"/>
        <w:rPr>
          <w:rFonts w:ascii="Arial" w:cs="Arial" w:eastAsia="Arial" w:hAnsi="Arial"/>
          <w:sz w:val="16"/>
          <w:szCs w:val="16"/>
          <w:color w:val="auto"/>
        </w:rPr>
      </w:pPr>
    </w:p>
    <w:p>
      <w:pPr>
        <w:ind w:left="1340" w:right="560" w:hanging="437"/>
        <w:spacing w:after="0" w:line="271" w:lineRule="auto"/>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 costs in connection with producing materials for use in conducting clinical trials; other third-party expenses directly attributable to the development of our product candidates; and</w:t>
      </w:r>
    </w:p>
    <w:p>
      <w:pPr>
        <w:spacing w:after="0" w:line="36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340" w:hanging="437"/>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amortization expense for assets used in research and development activities.</w:t>
      </w:r>
    </w:p>
    <w:p>
      <w:pPr>
        <w:spacing w:after="0" w:line="368" w:lineRule="exact"/>
        <w:rPr>
          <w:sz w:val="20"/>
          <w:szCs w:val="20"/>
          <w:color w:val="auto"/>
        </w:rPr>
      </w:pPr>
    </w:p>
    <w:p>
      <w:pPr>
        <w:ind w:right="80" w:firstLine="896"/>
        <w:spacing w:after="0" w:line="255" w:lineRule="auto"/>
        <w:rPr>
          <w:sz w:val="20"/>
          <w:szCs w:val="20"/>
          <w:color w:val="auto"/>
        </w:rPr>
      </w:pPr>
      <w:r>
        <w:rPr>
          <w:rFonts w:ascii="Arial" w:cs="Arial" w:eastAsia="Arial" w:hAnsi="Arial"/>
          <w:sz w:val="18"/>
          <w:szCs w:val="18"/>
          <w:color w:val="auto"/>
        </w:rPr>
        <w:t>Currently, WAKIX is our only product and we do not currently track our internal research and development expenses on an indication-by-indication basis as they primarily relate to personnel, early research and consumable costs, which are deployed across multiple programs. A significant portion of our research and development costs are external costs, such as fees paid to CROs and CMOs, central laboratories, contractors, and consultants in connection with our clinical development activities.</w:t>
      </w:r>
    </w:p>
    <w:p>
      <w:pPr>
        <w:spacing w:after="0" w:line="163"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as well as potential new product candidates.</w:t>
      </w:r>
    </w:p>
    <w:p>
      <w:pPr>
        <w:spacing w:after="0" w:line="153" w:lineRule="exact"/>
        <w:rPr>
          <w:sz w:val="20"/>
          <w:szCs w:val="20"/>
          <w:color w:val="auto"/>
        </w:rPr>
      </w:pPr>
    </w:p>
    <w:p>
      <w:pPr>
        <w:jc w:val="both"/>
        <w:ind w:firstLine="896"/>
        <w:spacing w:after="0" w:line="259"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333" w:lineRule="exact"/>
        <w:rPr>
          <w:sz w:val="20"/>
          <w:szCs w:val="20"/>
          <w:color w:val="auto"/>
        </w:rPr>
      </w:pPr>
    </w:p>
    <w:p>
      <w:pPr>
        <w:ind w:left="1340" w:right="80" w:hanging="437"/>
        <w:spacing w:after="0" w:line="271"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368" w:lineRule="exact"/>
        <w:rPr>
          <w:rFonts w:ascii="Arial" w:cs="Arial" w:eastAsia="Arial" w:hAnsi="Arial"/>
          <w:sz w:val="18"/>
          <w:szCs w:val="18"/>
          <w:color w:val="auto"/>
        </w:rPr>
      </w:pPr>
    </w:p>
    <w:p>
      <w:pPr>
        <w:ind w:left="1340" w:right="20" w:hanging="437"/>
        <w:spacing w:after="0" w:line="259"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332"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receiving Bioprojet’s consent to pursue additional indications for pitolisant;</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successful and timely enrollment and completion of clinical trials;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successful completion of preclinical studies and clinical trials;</w:t>
      </w:r>
    </w:p>
    <w:p>
      <w:pPr>
        <w:spacing w:after="0" w:line="368" w:lineRule="exact"/>
        <w:rPr>
          <w:rFonts w:ascii="Arial" w:cs="Arial" w:eastAsia="Arial" w:hAnsi="Arial"/>
          <w:sz w:val="18"/>
          <w:szCs w:val="18"/>
          <w:color w:val="auto"/>
        </w:rPr>
      </w:pPr>
    </w:p>
    <w:p>
      <w:pPr>
        <w:ind w:left="1340" w:right="540" w:hanging="437"/>
        <w:spacing w:after="0" w:line="271"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368" w:lineRule="exact"/>
        <w:rPr>
          <w:rFonts w:ascii="Arial" w:cs="Arial" w:eastAsia="Arial" w:hAnsi="Arial"/>
          <w:sz w:val="18"/>
          <w:szCs w:val="18"/>
          <w:color w:val="auto"/>
        </w:rPr>
      </w:pPr>
    </w:p>
    <w:p>
      <w:pPr>
        <w:ind w:left="1340" w:right="280" w:hanging="437"/>
        <w:spacing w:after="0" w:line="271"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368" w:lineRule="exact"/>
        <w:rPr>
          <w:sz w:val="20"/>
          <w:szCs w:val="20"/>
          <w:color w:val="auto"/>
        </w:rPr>
      </w:pPr>
    </w:p>
    <w:p>
      <w:pPr>
        <w:ind w:firstLine="896"/>
        <w:spacing w:after="0" w:line="259"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ectPr>
          <w:pgSz w:w="11900" w:h="16838" w:orient="portrait"/>
          <w:cols w:equalWidth="0" w:num="1">
            <w:col w:w="11160"/>
          </w:cols>
          <w:pgMar w:left="320" w:top="121" w:right="419" w:bottom="1440" w:gutter="0" w:footer="0" w:header="0"/>
        </w:sectPr>
      </w:pP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761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94" w:lineRule="exact"/>
        <w:rPr>
          <w:sz w:val="20"/>
          <w:szCs w:val="20"/>
          <w:color w:val="auto"/>
        </w:rPr>
      </w:pPr>
    </w:p>
    <w:p>
      <w:pPr>
        <w:ind w:right="80" w:firstLine="896"/>
        <w:spacing w:after="0" w:line="253" w:lineRule="auto"/>
        <w:rPr>
          <w:sz w:val="20"/>
          <w:szCs w:val="20"/>
          <w:color w:val="auto"/>
        </w:rPr>
      </w:pPr>
      <w:r>
        <w:rPr>
          <w:rFonts w:ascii="Arial" w:cs="Arial" w:eastAsia="Arial" w:hAnsi="Arial"/>
          <w:sz w:val="18"/>
          <w:szCs w:val="18"/>
          <w:color w:val="auto"/>
        </w:rPr>
        <w:t>Our sales and marketing expenses have primarily been limited to the market development and launch activities of WAKIX for the treatment of EDS in adult patients with narcolepsy and cataplexy in adult patients with narcolepsy. Market development and commercial launch activities account for a significant portion of the overall company operating expenses and are expensed as they are incurred. Our sales and marketing expenses are increasing in the near- and mid-term to support our indications for the treatment of EDS or cataplexy in adult patients with narcolepsy and to expand our portfolio with the anticipated growth from potential additional indications.</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and marketing expenses include:</w:t>
      </w:r>
    </w:p>
    <w:p>
      <w:pPr>
        <w:spacing w:after="0" w:line="368" w:lineRule="exact"/>
        <w:rPr>
          <w:sz w:val="20"/>
          <w:szCs w:val="20"/>
          <w:color w:val="auto"/>
        </w:rPr>
      </w:pPr>
    </w:p>
    <w:p>
      <w:pPr>
        <w:ind w:left="1340" w:right="700" w:hanging="437"/>
        <w:spacing w:after="0" w:line="271"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321" w:lineRule="exact"/>
        <w:rPr>
          <w:rFonts w:ascii="Arial" w:cs="Arial" w:eastAsia="Arial" w:hAnsi="Arial"/>
          <w:sz w:val="18"/>
          <w:szCs w:val="18"/>
          <w:color w:val="auto"/>
        </w:rPr>
      </w:pPr>
    </w:p>
    <w:p>
      <w:pPr>
        <w:ind w:left="1340" w:right="140" w:hanging="437"/>
        <w:spacing w:after="0" w:line="271"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321" w:lineRule="exact"/>
        <w:rPr>
          <w:rFonts w:ascii="Arial" w:cs="Arial" w:eastAsia="Arial" w:hAnsi="Arial"/>
          <w:sz w:val="18"/>
          <w:szCs w:val="18"/>
          <w:color w:val="auto"/>
        </w:rPr>
      </w:pPr>
    </w:p>
    <w:p>
      <w:pPr>
        <w:ind w:left="1340" w:right="520" w:hanging="437"/>
        <w:spacing w:after="0" w:line="271"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321" w:lineRule="exact"/>
        <w:rPr>
          <w:rFonts w:ascii="Arial" w:cs="Arial" w:eastAsia="Arial" w:hAnsi="Arial"/>
          <w:sz w:val="18"/>
          <w:szCs w:val="18"/>
          <w:color w:val="auto"/>
        </w:rPr>
      </w:pPr>
    </w:p>
    <w:p>
      <w:pPr>
        <w:ind w:left="1340" w:hanging="437"/>
        <w:spacing w:after="0" w:line="271"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368" w:lineRule="exact"/>
        <w:rPr>
          <w:sz w:val="20"/>
          <w:szCs w:val="20"/>
          <w:color w:val="auto"/>
        </w:rPr>
      </w:pPr>
    </w:p>
    <w:p>
      <w:pPr>
        <w:ind w:right="700" w:firstLine="896"/>
        <w:spacing w:after="0" w:line="335" w:lineRule="auto"/>
        <w:rPr>
          <w:sz w:val="20"/>
          <w:szCs w:val="20"/>
          <w:color w:val="auto"/>
        </w:rPr>
      </w:pPr>
      <w:r>
        <w:rPr>
          <w:rFonts w:ascii="Arial" w:cs="Arial" w:eastAsia="Arial" w:hAnsi="Arial"/>
          <w:sz w:val="16"/>
          <w:szCs w:val="16"/>
          <w:color w:val="auto"/>
        </w:rPr>
        <w:t>In addition, these expenses include external costs such as website development, media placement fees, agency fees for patient, medical education and promotional expenses, market research, analysis of secondary data, conference fees, consulting fees and travel expenses.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1" w:lineRule="exact"/>
        <w:rPr>
          <w:sz w:val="20"/>
          <w:szCs w:val="20"/>
          <w:color w:val="auto"/>
        </w:rPr>
      </w:pPr>
    </w:p>
    <w:p>
      <w:pPr>
        <w:ind w:right="180" w:firstLine="896"/>
        <w:spacing w:after="0" w:line="368" w:lineRule="auto"/>
        <w:rPr>
          <w:sz w:val="20"/>
          <w:szCs w:val="20"/>
          <w:color w:val="auto"/>
        </w:rPr>
      </w:pPr>
      <w:r>
        <w:rPr>
          <w:rFonts w:ascii="Arial" w:cs="Arial" w:eastAsia="Arial" w:hAnsi="Arial"/>
          <w:sz w:val="14"/>
          <w:szCs w:val="14"/>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89" w:lineRule="exact"/>
        <w:rPr>
          <w:sz w:val="20"/>
          <w:szCs w:val="20"/>
          <w:color w:val="auto"/>
        </w:rPr>
      </w:pPr>
    </w:p>
    <w:p>
      <w:pPr>
        <w:ind w:right="180" w:firstLine="896"/>
        <w:spacing w:after="0" w:line="251"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include increased costs related to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Paragon Agreements</w:t>
      </w:r>
    </w:p>
    <w:p>
      <w:pPr>
        <w:spacing w:after="0" w:line="181" w:lineRule="exact"/>
        <w:rPr>
          <w:sz w:val="20"/>
          <w:szCs w:val="20"/>
          <w:color w:val="auto"/>
        </w:rPr>
      </w:pPr>
    </w:p>
    <w:p>
      <w:pPr>
        <w:ind w:firstLine="896"/>
        <w:spacing w:after="0" w:line="297" w:lineRule="auto"/>
        <w:rPr>
          <w:sz w:val="20"/>
          <w:szCs w:val="20"/>
          <w:color w:val="auto"/>
        </w:rPr>
      </w:pPr>
      <w:r>
        <w:rPr>
          <w:rFonts w:ascii="Arial" w:cs="Arial" w:eastAsia="Arial" w:hAnsi="Arial"/>
          <w:sz w:val="16"/>
          <w:szCs w:val="16"/>
          <w:color w:val="auto"/>
        </w:rPr>
        <w:t>We were party to a management services agreement (the “Management Services Agreement”) with Paragon Biosciences, LLC (“Paragon”), entered into on September 22, 2017, pursuant to which Paragon provided us with certain professional services. In exchange for services provided to us under the Management Services Agreement, we paid Paragon a management fee of $0.3 million per each calendar month. We terminated the Management Services Agreement upon the consummation of our IPO. In connection with such termination, we paid Paragon a termination fee of $2.6 million.</w:t>
      </w:r>
    </w:p>
    <w:p>
      <w:pPr>
        <w:spacing w:after="0" w:line="132" w:lineRule="exact"/>
        <w:rPr>
          <w:sz w:val="20"/>
          <w:szCs w:val="20"/>
          <w:color w:val="auto"/>
        </w:rPr>
      </w:pPr>
    </w:p>
    <w:p>
      <w:pPr>
        <w:ind w:right="580" w:firstLine="896"/>
        <w:spacing w:after="0" w:line="301" w:lineRule="auto"/>
        <w:rPr>
          <w:sz w:val="20"/>
          <w:szCs w:val="20"/>
          <w:color w:val="auto"/>
        </w:rPr>
      </w:pPr>
      <w:r>
        <w:rPr>
          <w:rFonts w:ascii="Arial" w:cs="Arial" w:eastAsia="Arial" w:hAnsi="Arial"/>
          <w:sz w:val="17"/>
          <w:szCs w:val="17"/>
          <w:color w:val="auto"/>
        </w:rPr>
        <w:t>We are also party to a right-of-use agreement with Paragon whereby we have access to and the right to use certain office space leased by Paragon in Chicago, Illinois. For the year ended December 31, 2020, we paid fees of $0.3 million pursuant to this agreement.</w:t>
      </w:r>
    </w:p>
    <w:p>
      <w:pPr>
        <w:spacing w:after="0" w:line="15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94" w:lineRule="exact"/>
        <w:rPr>
          <w:sz w:val="20"/>
          <w:szCs w:val="20"/>
          <w:color w:val="auto"/>
        </w:rPr>
      </w:pPr>
    </w:p>
    <w:p>
      <w:pPr>
        <w:ind w:right="760" w:firstLine="896"/>
        <w:spacing w:after="0" w:line="271" w:lineRule="auto"/>
        <w:rPr>
          <w:sz w:val="20"/>
          <w:szCs w:val="20"/>
          <w:color w:val="auto"/>
        </w:rPr>
      </w:pPr>
      <w:r>
        <w:rPr>
          <w:rFonts w:ascii="Arial" w:cs="Arial" w:eastAsia="Arial" w:hAnsi="Arial"/>
          <w:sz w:val="18"/>
          <w:szCs w:val="18"/>
          <w:color w:val="auto"/>
        </w:rPr>
        <w:t>Loss on debt extinguishment consists primarily of costs of extinguishment of debt during the period related to the prepayment of Loan Agreement with CRG.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 Net</w:t>
      </w:r>
    </w:p>
    <w:p>
      <w:pPr>
        <w:spacing w:after="0" w:line="181" w:lineRule="exact"/>
        <w:rPr>
          <w:sz w:val="20"/>
          <w:szCs w:val="20"/>
          <w:color w:val="auto"/>
        </w:rPr>
      </w:pPr>
    </w:p>
    <w:p>
      <w:pPr>
        <w:ind w:right="260" w:firstLine="896"/>
        <w:spacing w:after="0" w:line="271" w:lineRule="auto"/>
        <w:rPr>
          <w:sz w:val="20"/>
          <w:szCs w:val="20"/>
          <w:color w:val="auto"/>
        </w:rPr>
      </w:pPr>
      <w:r>
        <w:rPr>
          <w:rFonts w:ascii="Arial" w:cs="Arial" w:eastAsia="Arial" w:hAnsi="Arial"/>
          <w:sz w:val="18"/>
          <w:szCs w:val="18"/>
          <w:color w:val="auto"/>
        </w:rPr>
        <w:t>Other income / expense, net consists primarily of costs of the fair value of the warrants associated with the Credit Agreement we entered into with OrbiMed.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Interest Expense</w:t>
      </w:r>
    </w:p>
    <w:p>
      <w:pPr>
        <w:spacing w:after="0" w:line="181" w:lineRule="exact"/>
        <w:rPr>
          <w:sz w:val="20"/>
          <w:szCs w:val="20"/>
          <w:color w:val="auto"/>
        </w:rPr>
      </w:pPr>
    </w:p>
    <w:p>
      <w:pPr>
        <w:ind w:right="200" w:firstLine="896"/>
        <w:spacing w:after="0" w:line="271" w:lineRule="auto"/>
        <w:rPr>
          <w:sz w:val="20"/>
          <w:szCs w:val="20"/>
          <w:color w:val="auto"/>
        </w:rPr>
      </w:pPr>
      <w:r>
        <w:rPr>
          <w:rFonts w:ascii="Arial" w:cs="Arial" w:eastAsia="Arial" w:hAnsi="Arial"/>
          <w:sz w:val="18"/>
          <w:szCs w:val="18"/>
          <w:color w:val="auto"/>
        </w:rPr>
        <w:t>Interest income / expense, net consists primarily of interest expense on debt facilities and amortization of debt issuance costs offset by interest income earned on our cash balances.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selected items in our consolidated statements of operations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5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r>
      <w:tr>
        <w:trPr>
          <w:trHeight w:val="232"/>
        </w:trPr>
        <w:tc>
          <w:tcPr>
            <w:tcW w:w="5380" w:type="dxa"/>
            <w:vAlign w:val="bottom"/>
          </w:tcPr>
          <w:p>
            <w:pPr>
              <w:spacing w:after="0"/>
              <w:rPr>
                <w:sz w:val="20"/>
                <w:szCs w:val="20"/>
                <w:color w:val="auto"/>
              </w:rPr>
            </w:pPr>
          </w:p>
        </w:tc>
        <w:tc>
          <w:tcPr>
            <w:tcW w:w="3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1"/>
        </w:trPr>
        <w:tc>
          <w:tcPr>
            <w:tcW w:w="5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product revenue</w:t>
            </w:r>
          </w:p>
        </w:tc>
        <w:tc>
          <w:tcPr>
            <w:tcW w:w="3300" w:type="dxa"/>
            <w:vAlign w:val="bottom"/>
            <w:gridSpan w:val="2"/>
            <w:shd w:val="clear" w:color="auto" w:fill="CFF0FC"/>
          </w:tcPr>
          <w:p>
            <w:pPr>
              <w:jc w:val="right"/>
              <w:ind w:right="771"/>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159,742</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120" w:type="dxa"/>
            <w:vAlign w:val="bottom"/>
            <w:shd w:val="clear" w:color="auto" w:fill="CFF0FC"/>
          </w:tcPr>
          <w:p>
            <w:pPr>
              <w:spacing w:after="0"/>
              <w:rPr>
                <w:sz w:val="19"/>
                <w:szCs w:val="19"/>
                <w:color w:val="auto"/>
              </w:rPr>
            </w:pPr>
          </w:p>
        </w:tc>
      </w:tr>
      <w:tr>
        <w:trPr>
          <w:trHeight w:val="227"/>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sales</w:t>
            </w:r>
          </w:p>
        </w:tc>
        <w:tc>
          <w:tcPr>
            <w:tcW w:w="23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FF0FC"/>
            </w:tcBorders>
          </w:tcPr>
          <w:p>
            <w:pPr>
              <w:spacing w:after="0"/>
              <w:rPr>
                <w:sz w:val="19"/>
                <w:szCs w:val="19"/>
                <w:color w:val="auto"/>
              </w:rPr>
            </w:pPr>
          </w:p>
        </w:tc>
      </w:tr>
      <w:tr>
        <w:trPr>
          <w:trHeight w:val="221"/>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132,004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20" w:type="dxa"/>
            <w:vAlign w:val="bottom"/>
            <w:shd w:val="clear" w:color="auto" w:fill="CFF0FC"/>
          </w:tcPr>
          <w:p>
            <w:pPr>
              <w:spacing w:after="0"/>
              <w:rPr>
                <w:sz w:val="19"/>
                <w:szCs w:val="19"/>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69,595</w:t>
            </w:r>
          </w:p>
        </w:tc>
        <w:tc>
          <w:tcPr>
            <w:tcW w:w="120" w:type="dxa"/>
            <w:vAlign w:val="bottom"/>
            <w:shd w:val="clear" w:color="auto" w:fill="CFF0FC"/>
          </w:tcPr>
          <w:p>
            <w:pPr>
              <w:spacing w:after="0"/>
              <w:rPr>
                <w:sz w:val="19"/>
                <w:szCs w:val="19"/>
                <w:color w:val="auto"/>
              </w:rPr>
            </w:pPr>
          </w:p>
        </w:tc>
      </w:tr>
      <w:tr>
        <w:trPr>
          <w:trHeight w:val="227"/>
        </w:trPr>
        <w:tc>
          <w:tcPr>
            <w:tcW w:w="53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55,824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44,318</w:t>
            </w:r>
          </w:p>
        </w:tc>
        <w:tc>
          <w:tcPr>
            <w:tcW w:w="120" w:type="dxa"/>
            <w:vAlign w:val="bottom"/>
          </w:tcPr>
          <w:p>
            <w:pPr>
              <w:spacing w:after="0"/>
              <w:rPr>
                <w:sz w:val="19"/>
                <w:szCs w:val="19"/>
                <w:color w:val="auto"/>
              </w:rPr>
            </w:pPr>
          </w:p>
        </w:tc>
      </w:tr>
      <w:tr>
        <w:trPr>
          <w:trHeight w:val="228"/>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39,746</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36,409</w:t>
            </w:r>
          </w:p>
        </w:tc>
        <w:tc>
          <w:tcPr>
            <w:tcW w:w="120" w:type="dxa"/>
            <w:vAlign w:val="bottom"/>
            <w:shd w:val="clear" w:color="auto" w:fill="CFF0FC"/>
          </w:tcPr>
          <w:p>
            <w:pPr>
              <w:spacing w:after="0"/>
              <w:rPr>
                <w:sz w:val="19"/>
                <w:szCs w:val="19"/>
                <w:color w:val="auto"/>
              </w:rPr>
            </w:pPr>
          </w:p>
        </w:tc>
      </w:tr>
      <w:tr>
        <w:trPr>
          <w:trHeight w:val="220"/>
        </w:trPr>
        <w:tc>
          <w:tcPr>
            <w:tcW w:w="5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115,018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150,322</w:t>
            </w:r>
          </w:p>
        </w:tc>
        <w:tc>
          <w:tcPr>
            <w:tcW w:w="120" w:type="dxa"/>
            <w:vAlign w:val="bottom"/>
          </w:tcPr>
          <w:p>
            <w:pPr>
              <w:spacing w:after="0"/>
              <w:rPr>
                <w:sz w:val="19"/>
                <w:szCs w:val="19"/>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(145,904)</w:t>
            </w:r>
          </w:p>
        </w:tc>
      </w:tr>
      <w:tr>
        <w:trPr>
          <w:trHeight w:val="227"/>
        </w:trPr>
        <w:tc>
          <w:tcPr>
            <w:tcW w:w="5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(22,639)</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Other expense, net</w:t>
            </w:r>
          </w:p>
        </w:tc>
        <w:tc>
          <w:tcPr>
            <w:tcW w:w="2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(3,071)</w:t>
            </w:r>
          </w:p>
        </w:tc>
        <w:tc>
          <w:tcPr>
            <w:tcW w:w="5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(28,220)</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(6,073)</w:t>
            </w:r>
          </w:p>
        </w:tc>
      </w:tr>
      <w:tr>
        <w:trPr>
          <w:trHeight w:val="220"/>
        </w:trPr>
        <w:tc>
          <w:tcPr>
            <w:tcW w:w="538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2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(36,944)</w:t>
            </w: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(151,977)</w:t>
            </w:r>
          </w:p>
        </w:tc>
        <w:tc>
          <w:tcPr>
            <w:tcW w:w="120" w:type="dxa"/>
            <w:vAlign w:val="bottom"/>
          </w:tcPr>
          <w:p>
            <w:pPr>
              <w:spacing w:after="0"/>
              <w:rPr>
                <w:sz w:val="19"/>
                <w:szCs w:val="19"/>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(36,944)</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(151,977)</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248" w:lineRule="exact"/>
        <w:rPr>
          <w:sz w:val="20"/>
          <w:szCs w:val="20"/>
          <w:color w:val="auto"/>
        </w:rPr>
      </w:pPr>
    </w:p>
    <w:p>
      <w:pPr>
        <w:ind w:right="760" w:firstLine="896"/>
        <w:spacing w:after="0" w:line="271" w:lineRule="auto"/>
        <w:rPr>
          <w:sz w:val="20"/>
          <w:szCs w:val="20"/>
          <w:color w:val="auto"/>
        </w:rPr>
      </w:pPr>
      <w:r>
        <w:rPr>
          <w:rFonts w:ascii="Arial" w:cs="Arial" w:eastAsia="Arial" w:hAnsi="Arial"/>
          <w:sz w:val="18"/>
          <w:szCs w:val="18"/>
          <w:color w:val="auto"/>
        </w:rPr>
        <w:t>Net product revenue increased by $153.7 million, or 2,564.6%, for the year ended December 31, 2020 compared to the same period in 2019. The increase was due to the growing commercial sales of WAKIX which was launched on November 1,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48" w:lineRule="exact"/>
        <w:rPr>
          <w:sz w:val="20"/>
          <w:szCs w:val="20"/>
          <w:color w:val="auto"/>
        </w:rPr>
      </w:pPr>
    </w:p>
    <w:p>
      <w:pPr>
        <w:ind w:firstLine="896"/>
        <w:spacing w:after="0" w:line="259" w:lineRule="auto"/>
        <w:rPr>
          <w:sz w:val="20"/>
          <w:szCs w:val="20"/>
          <w:color w:val="auto"/>
        </w:rPr>
      </w:pPr>
      <w:r>
        <w:rPr>
          <w:rFonts w:ascii="Arial" w:cs="Arial" w:eastAsia="Arial" w:hAnsi="Arial"/>
          <w:sz w:val="18"/>
          <w:szCs w:val="18"/>
          <w:color w:val="auto"/>
        </w:rPr>
        <w:t>Cost of product sales increased by $26.2 million, or 1,658.9%, for the year ended December 31, 2020 compared to the same period in 2019. The increase was due to the growing commercial sales of WAKIX, which was launched on November 1, 2019. Cost of product sales is primarily comprised of the royalty payment to Bioprojet.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8" w:lineRule="exact"/>
        <w:rPr>
          <w:sz w:val="20"/>
          <w:szCs w:val="20"/>
          <w:color w:val="auto"/>
        </w:rPr>
      </w:pPr>
    </w:p>
    <w:p>
      <w:pPr>
        <w:jc w:val="both"/>
        <w:ind w:right="380" w:firstLine="896"/>
        <w:spacing w:after="0" w:line="259" w:lineRule="auto"/>
        <w:rPr>
          <w:sz w:val="20"/>
          <w:szCs w:val="20"/>
          <w:color w:val="auto"/>
        </w:rPr>
      </w:pPr>
      <w:r>
        <w:rPr>
          <w:rFonts w:ascii="Arial" w:cs="Arial" w:eastAsia="Arial" w:hAnsi="Arial"/>
          <w:sz w:val="18"/>
          <w:szCs w:val="18"/>
          <w:color w:val="auto"/>
        </w:rPr>
        <w:t>Research and development expenses decreased by $50.1 million, or 72.1%, for the year ended December 31, 2020 as compared to the same period in 2019. The decrease was primarily due to a milestone payment in February 2019 upon the acceptance of our NDA for WAKIX by the FDA in accordance with the Bioprojet License Agreement.</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48" w:lineRule="exact"/>
        <w:rPr>
          <w:sz w:val="20"/>
          <w:szCs w:val="20"/>
          <w:color w:val="auto"/>
        </w:rPr>
      </w:pPr>
    </w:p>
    <w:p>
      <w:pPr>
        <w:ind w:right="20" w:firstLine="1015"/>
        <w:spacing w:after="0" w:line="259" w:lineRule="auto"/>
        <w:rPr>
          <w:sz w:val="20"/>
          <w:szCs w:val="20"/>
          <w:color w:val="auto"/>
        </w:rPr>
      </w:pPr>
      <w:r>
        <w:rPr>
          <w:rFonts w:ascii="Arial" w:cs="Arial" w:eastAsia="Arial" w:hAnsi="Arial"/>
          <w:sz w:val="18"/>
          <w:szCs w:val="18"/>
          <w:color w:val="auto"/>
        </w:rPr>
        <w:t>Sales and marketing expenses increased by $11.5 million, or 26.0%, for the year ended December 31, 2020 as compared to the same period in 2019. The increase was primarily due to field sales force personnel expenses and related field sales operations associated with the commercialization of WAKIX and patient engagement and marketing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8" w:lineRule="exact"/>
        <w:rPr>
          <w:sz w:val="20"/>
          <w:szCs w:val="20"/>
          <w:color w:val="auto"/>
        </w:rPr>
      </w:pPr>
    </w:p>
    <w:p>
      <w:pPr>
        <w:ind w:firstLine="896"/>
        <w:spacing w:after="0" w:line="255" w:lineRule="auto"/>
        <w:rPr>
          <w:sz w:val="20"/>
          <w:szCs w:val="20"/>
          <w:color w:val="auto"/>
        </w:rPr>
      </w:pPr>
      <w:r>
        <w:rPr>
          <w:rFonts w:ascii="Arial" w:cs="Arial" w:eastAsia="Arial" w:hAnsi="Arial"/>
          <w:sz w:val="18"/>
          <w:szCs w:val="18"/>
          <w:color w:val="auto"/>
        </w:rPr>
        <w:t>General and administrative expenses increased by $3.3 million, or 9.2%, for the year ended December 31, 2020 as compared to the same period in 2019. This is primarily due to intangible asset amortization for a full year in 2020 and the amortization of the Cataplexy Milestone, additional fees associated with our IPO and expenses related to becoming a public company in 2020 and the termination fee in connection with the Management Services Agreement, offset by employee stock awards and the legal settlement with our former CEO.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48" w:lineRule="exact"/>
        <w:rPr>
          <w:sz w:val="20"/>
          <w:szCs w:val="20"/>
          <w:color w:val="auto"/>
        </w:rPr>
      </w:pPr>
    </w:p>
    <w:p>
      <w:pPr>
        <w:ind w:right="80" w:firstLine="896"/>
        <w:spacing w:after="0" w:line="271" w:lineRule="auto"/>
        <w:rPr>
          <w:sz w:val="20"/>
          <w:szCs w:val="20"/>
          <w:color w:val="auto"/>
        </w:rPr>
      </w:pPr>
      <w:r>
        <w:rPr>
          <w:rFonts w:ascii="Arial" w:cs="Arial" w:eastAsia="Arial" w:hAnsi="Arial"/>
          <w:sz w:val="18"/>
          <w:szCs w:val="18"/>
          <w:color w:val="auto"/>
        </w:rPr>
        <w:t>Loss on debt extinguishment increased $22.6 million, or 100%, for the year ended December 31, 2020 as compared to the same period in 2019 due to costs of extinguishment of debt during the period related to the prepayment of the Loan Agreement with CRG.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8" w:lineRule="exact"/>
        <w:rPr>
          <w:sz w:val="20"/>
          <w:szCs w:val="20"/>
          <w:color w:val="auto"/>
        </w:rPr>
      </w:pPr>
    </w:p>
    <w:p>
      <w:pPr>
        <w:ind w:right="620" w:firstLine="896"/>
        <w:spacing w:after="0" w:line="271" w:lineRule="auto"/>
        <w:rPr>
          <w:sz w:val="20"/>
          <w:szCs w:val="20"/>
          <w:color w:val="auto"/>
        </w:rPr>
      </w:pPr>
      <w:r>
        <w:rPr>
          <w:rFonts w:ascii="Arial" w:cs="Arial" w:eastAsia="Arial" w:hAnsi="Arial"/>
          <w:sz w:val="18"/>
          <w:szCs w:val="18"/>
          <w:color w:val="auto"/>
        </w:rPr>
        <w:t>Other expense, net increased by $3.1 million, or 100%, for the year ended December 31, 2020, as compared to the same period in 2019 primarily due to the change in the fair value of warrants issued during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48" w:lineRule="exact"/>
        <w:rPr>
          <w:sz w:val="20"/>
          <w:szCs w:val="20"/>
          <w:color w:val="auto"/>
        </w:rPr>
      </w:pPr>
    </w:p>
    <w:p>
      <w:pPr>
        <w:ind w:right="420" w:firstLine="896"/>
        <w:spacing w:after="0" w:line="307" w:lineRule="auto"/>
        <w:rPr>
          <w:sz w:val="20"/>
          <w:szCs w:val="20"/>
          <w:color w:val="auto"/>
        </w:rPr>
      </w:pPr>
      <w:r>
        <w:rPr>
          <w:rFonts w:ascii="Arial" w:cs="Arial" w:eastAsia="Arial" w:hAnsi="Arial"/>
          <w:sz w:val="16"/>
          <w:szCs w:val="16"/>
          <w:color w:val="auto"/>
        </w:rPr>
        <w:t>Interest expense increased by $22.1 million, or 364.7%, for the year ended December 31, 2020, as compared to the same period in 2019 primarily due to payment of interest on the Loan Agreement and amortization of debt issuance costs compared to the payment of interest on the Credit Agreement and amortization of debt issuance costs. This was partially offset by interest income earned on our cash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8" w:lineRule="exact"/>
        <w:rPr>
          <w:sz w:val="20"/>
          <w:szCs w:val="20"/>
          <w:color w:val="auto"/>
        </w:rPr>
      </w:pPr>
    </w:p>
    <w:p>
      <w:pPr>
        <w:ind w:right="260" w:firstLine="896"/>
        <w:spacing w:after="0" w:line="259" w:lineRule="auto"/>
        <w:rPr>
          <w:sz w:val="20"/>
          <w:szCs w:val="20"/>
          <w:color w:val="auto"/>
        </w:rPr>
      </w:pPr>
      <w:r>
        <w:rPr>
          <w:rFonts w:ascii="Arial" w:cs="Arial" w:eastAsia="Arial" w:hAnsi="Arial"/>
          <w:sz w:val="18"/>
          <w:szCs w:val="18"/>
          <w:color w:val="auto"/>
        </w:rPr>
        <w:t>For interim periods, we estimate the annual effective income tax rate and apply the estimated rate to the year-to-date income or loss before income taxes. The effective income tax rate was 0.0% for all periods. Currently, we have recorded a full valuation allowance against our net deferred tax assets, primarily related to federal and state net operating losses.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8" w:lineRule="exact"/>
        <w:rPr>
          <w:sz w:val="20"/>
          <w:szCs w:val="20"/>
          <w:color w:val="auto"/>
        </w:rPr>
      </w:pPr>
    </w:p>
    <w:p>
      <w:pPr>
        <w:ind w:right="20" w:firstLine="896"/>
        <w:spacing w:after="0" w:line="288" w:lineRule="auto"/>
        <w:rPr>
          <w:sz w:val="20"/>
          <w:szCs w:val="20"/>
          <w:color w:val="auto"/>
        </w:rPr>
      </w:pPr>
      <w:r>
        <w:rPr>
          <w:rFonts w:ascii="Arial" w:cs="Arial" w:eastAsia="Arial" w:hAnsi="Arial"/>
          <w:sz w:val="16"/>
          <w:szCs w:val="16"/>
          <w:color w:val="auto"/>
        </w:rPr>
        <w:t>To date, we have financed our operations primarily with (a) proceeds from sales of our convertible preferred stock, (b) borrowings under (i) our Loan Agreement with CRG and (ii) our Credit Agreement with OrbiMed, and (c) the proceeds from our IPO. From our inception through December 31, 2020, we have received aggregate proceeds of $345.0 million from sales of our convertible preferred stock. On August 21, 2020, we completed the IPO of our common stock, in which we sold 6,151,162 shares of our common stock, including 802,325 shares of our common stock pursuant to the underwriters’ over-allotment option. The shares began trading on the Nasdaq Global Market on August 19, 2020. The shares were sold at a price of $24.00 per share for net proceeds of approximately $135.4 million. As of December 31, 2020, we had cash, cash equivalents and restricted cash of $229.4 million and accumulated deficit of $488.2 million. As of December 31, 2020, we had outstanding debt, net of issuance costs, of $194.3 million.</w:t>
      </w:r>
    </w:p>
    <w:p>
      <w:pPr>
        <w:spacing w:after="0" w:line="193" w:lineRule="exact"/>
        <w:rPr>
          <w:sz w:val="20"/>
          <w:szCs w:val="20"/>
          <w:color w:val="auto"/>
        </w:rPr>
      </w:pPr>
    </w:p>
    <w:p>
      <w:pPr>
        <w:ind w:right="160" w:firstLine="770"/>
        <w:spacing w:after="0" w:line="271" w:lineRule="auto"/>
        <w:rPr>
          <w:sz w:val="20"/>
          <w:szCs w:val="20"/>
          <w:color w:val="auto"/>
        </w:rPr>
      </w:pPr>
      <w:r>
        <w:rPr>
          <w:rFonts w:ascii="Arial" w:cs="Arial" w:eastAsia="Arial" w:hAnsi="Arial"/>
          <w:sz w:val="18"/>
          <w:szCs w:val="18"/>
          <w:color w:val="auto"/>
        </w:rPr>
        <w:t>The consolidated financial statements have been prepared as though we will continue as a going concern, which contemplates the realization of assets and satisfaction of liabilities in the normal course of</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business. We have incurred operating losses and negative cash flows from operations since inception resulting in an accumulated deficit of $488.2 million as of December 31, 2020.</w:t>
      </w:r>
    </w:p>
    <w:p>
      <w:pPr>
        <w:spacing w:after="0" w:line="201" w:lineRule="exact"/>
        <w:rPr>
          <w:sz w:val="20"/>
          <w:szCs w:val="20"/>
          <w:color w:val="auto"/>
        </w:rPr>
      </w:pPr>
    </w:p>
    <w:p>
      <w:pPr>
        <w:jc w:val="both"/>
        <w:ind w:right="180" w:firstLine="896"/>
        <w:spacing w:after="0" w:line="307" w:lineRule="auto"/>
        <w:rPr>
          <w:sz w:val="20"/>
          <w:szCs w:val="20"/>
          <w:color w:val="auto"/>
        </w:rPr>
      </w:pPr>
      <w:r>
        <w:rPr>
          <w:rFonts w:ascii="Arial" w:cs="Arial" w:eastAsia="Arial" w:hAnsi="Arial"/>
          <w:sz w:val="16"/>
          <w:szCs w:val="16"/>
          <w:color w:val="auto"/>
        </w:rPr>
        <w:t>We believe that our anticipated cash from operating and financing activities and existing cash and cash equivalents will enable us to meet our operational liquidity needs and fund our planned investing activities for the next 12 months. We have based this estimate on assumptions that may prove to be incorrect, and we could use our capital resources sooner than we expect. See “—Overview—Liquidity and Sources of Funding.”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OrbiMed Credit Agreement</w:t>
      </w:r>
    </w:p>
    <w:p>
      <w:pPr>
        <w:spacing w:after="0" w:line="355" w:lineRule="exact"/>
        <w:rPr>
          <w:sz w:val="20"/>
          <w:szCs w:val="20"/>
          <w:color w:val="auto"/>
        </w:rPr>
      </w:pPr>
    </w:p>
    <w:p>
      <w:pPr>
        <w:ind w:firstLine="761"/>
        <w:spacing w:after="0" w:line="283" w:lineRule="auto"/>
        <w:rPr>
          <w:sz w:val="20"/>
          <w:szCs w:val="20"/>
          <w:color w:val="auto"/>
        </w:rPr>
      </w:pPr>
      <w:r>
        <w:rPr>
          <w:rFonts w:ascii="Arial" w:cs="Arial" w:eastAsia="Arial" w:hAnsi="Arial"/>
          <w:sz w:val="16"/>
          <w:szCs w:val="16"/>
          <w:color w:val="auto"/>
        </w:rPr>
        <w:t>On February 28, 2019, we entered into the Loan Agreement with CRG for an aggregate of $200.0 million of which $102.5 million was outstanding as of December 31, 2019. On January 9, 2020, we entered into the Credit Agreement with OrbiMed for an aggregate of $200.0 million and paid off all of our obligations under the Loan Agreement. Borrowings under the Credit Agreement are collateralized by all of the Company’s assets, excluding the intellectual property licensed through the Bioprojet License Agreement. At the time of prepayment or repayment of all or any portion of the principal of the OrbiMed Loan, the Company is required to pay an exit fee of 7.0% of the principal amount of the OrbiMed Loan prepaid, repaid, or required to be prepaid or repaid. The Credit Agreement matures on January 9, 2026 and bears an interest rate of the greater of (a) LIBOR or (b) 2.00% per annum, plus 11.00% per annum. When the LIBOR rate is no longer used post-2021, the Prime Rate will be used in the determination of the interest rate. The Credit Agreement requires compliance with certain financial covenants, including minimum net revenue thresholds and cash balance requirements (which include maintaining minimum liquidity of $12.5 million), and financial reporting requirements. We have been in compliance with the financial covenants under the Credit Agreement since it was entered into on January 9, 2020. The Credit Agreement also contains certain negative restrictive covenants that either limit our ability to, or require a mandatory prepayment in the event we, engage in new lines of business, incur additional indebtedness or liens, make certain investments, make certain payments, pay cash dividends, merge with other companies or consummate certain changes of control, acquire other companies, transfer or dispose of certain assets, liquidate or dissolve, amend certain material agreements, enter into sale and leaseback transactions, enter into various other specified transactions, and change our name, location, executive office or executive management without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Milestone Payment</w:t>
      </w:r>
    </w:p>
    <w:p>
      <w:pPr>
        <w:spacing w:after="0" w:line="248" w:lineRule="exact"/>
        <w:rPr>
          <w:sz w:val="20"/>
          <w:szCs w:val="20"/>
          <w:color w:val="auto"/>
        </w:rPr>
      </w:pPr>
    </w:p>
    <w:p>
      <w:pPr>
        <w:ind w:right="540" w:firstLine="896"/>
        <w:spacing w:after="0" w:line="255" w:lineRule="auto"/>
        <w:rPr>
          <w:sz w:val="20"/>
          <w:szCs w:val="20"/>
          <w:color w:val="auto"/>
        </w:rPr>
      </w:pPr>
      <w:r>
        <w:rPr>
          <w:rFonts w:ascii="Arial" w:cs="Arial" w:eastAsia="Arial" w:hAnsi="Arial"/>
          <w:sz w:val="18"/>
          <w:szCs w:val="18"/>
          <w:color w:val="auto"/>
        </w:rPr>
        <w:t>Upon the Cataplexy Milestone Trigger Date, we became obligated to make the $100.0 million Cataplexy Milestone Payment to Bioprojet pursuant to the terms of the Bioprojet License Agreement. In October 2020, we made a payment to Bioprojet of $2.0 million to extend the Cataplexy Milestone Payment due date to within 90 days of the Cataplexy Milestone Trigger Date. On January 6, 2021, we made the $100.0 million Cataplexy Milestone Payment in full to Bioprojet.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a summary of our cash flows for the years ended December 31, 2020 and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Year Ended December 31,</w:t>
            </w:r>
          </w:p>
        </w:tc>
      </w:tr>
      <w:tr>
        <w:trPr>
          <w:trHeight w:val="221"/>
        </w:trPr>
        <w:tc>
          <w:tcPr>
            <w:tcW w:w="1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21"/>
        </w:trPr>
        <w:tc>
          <w:tcPr>
            <w:tcW w:w="1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87"/>
        </w:trPr>
        <w:tc>
          <w:tcPr>
            <w:tcW w:w="4860" w:type="dxa"/>
            <w:vAlign w:val="bottom"/>
            <w:gridSpan w:val="2"/>
            <w:shd w:val="clear" w:color="auto" w:fill="CFF0FC"/>
          </w:tcPr>
          <w:p>
            <w:pPr>
              <w:spacing w:after="0" w:line="188" w:lineRule="exact"/>
              <w:rPr>
                <w:sz w:val="20"/>
                <w:szCs w:val="20"/>
                <w:color w:val="auto"/>
              </w:rPr>
            </w:pPr>
            <w:r>
              <w:rPr>
                <w:rFonts w:ascii="Arial" w:cs="Arial" w:eastAsia="Arial" w:hAnsi="Arial"/>
                <w:sz w:val="18"/>
                <w:szCs w:val="18"/>
                <w:b w:val="1"/>
                <w:bCs w:val="1"/>
                <w:color w:val="auto"/>
              </w:rPr>
              <w:t>Selected cash flow data</w:t>
            </w:r>
          </w:p>
        </w:tc>
        <w:tc>
          <w:tcPr>
            <w:tcW w:w="28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
        </w:trPr>
        <w:tc>
          <w:tcPr>
            <w:tcW w:w="1760" w:type="dxa"/>
            <w:vAlign w:val="bottom"/>
            <w:tcBorders>
              <w:top w:val="single" w:sz="8" w:color="auto"/>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27"/>
        </w:trPr>
        <w:tc>
          <w:tcPr>
            <w:tcW w:w="4860" w:type="dxa"/>
            <w:vAlign w:val="bottom"/>
            <w:gridSpan w:val="2"/>
          </w:tcPr>
          <w:p>
            <w:pPr>
              <w:spacing w:after="0"/>
              <w:rPr>
                <w:sz w:val="20"/>
                <w:szCs w:val="20"/>
                <w:color w:val="auto"/>
              </w:rPr>
            </w:pPr>
            <w:r>
              <w:rPr>
                <w:rFonts w:ascii="Arial" w:cs="Arial" w:eastAsia="Arial" w:hAnsi="Arial"/>
                <w:sz w:val="18"/>
                <w:szCs w:val="18"/>
                <w:color w:val="auto"/>
              </w:rPr>
              <w:t>Cash provided by (used in):</w:t>
            </w: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3820" w:type="dxa"/>
            <w:vAlign w:val="bottom"/>
            <w:gridSpan w:val="2"/>
            <w:shd w:val="clear" w:color="auto" w:fill="CFF0FC"/>
          </w:tcPr>
          <w:p>
            <w:pPr>
              <w:jc w:val="right"/>
              <w:ind w:right="7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(2,985)</w:t>
            </w:r>
          </w:p>
        </w:tc>
        <w:tc>
          <w:tcPr>
            <w:tcW w:w="6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(75,436)</w:t>
            </w:r>
          </w:p>
        </w:tc>
      </w:tr>
      <w:tr>
        <w:trPr>
          <w:trHeight w:val="227"/>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Investing activities</w:t>
            </w: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(2,002)</w:t>
            </w:r>
          </w:p>
        </w:tc>
        <w:tc>
          <w:tcPr>
            <w:tcW w:w="6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(127,149)</w:t>
            </w:r>
          </w:p>
        </w:tc>
      </w:tr>
      <w:tr>
        <w:trPr>
          <w:trHeight w:val="228"/>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Financing activities</w:t>
            </w:r>
          </w:p>
        </w:tc>
        <w:tc>
          <w:tcPr>
            <w:tcW w:w="28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86"/>
              </w:rPr>
              <w:t>209,161</w:t>
            </w: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143,769</w:t>
            </w:r>
          </w:p>
        </w:tc>
        <w:tc>
          <w:tcPr>
            <w:tcW w:w="120" w:type="dxa"/>
            <w:vAlign w:val="bottom"/>
            <w:shd w:val="clear" w:color="auto" w:fill="CFF0FC"/>
          </w:tcPr>
          <w:p>
            <w:pPr>
              <w:spacing w:after="0"/>
              <w:rPr>
                <w:sz w:val="19"/>
                <w:szCs w:val="19"/>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8" w:lineRule="exact"/>
        <w:rPr>
          <w:sz w:val="20"/>
          <w:szCs w:val="20"/>
          <w:color w:val="auto"/>
        </w:rPr>
      </w:pPr>
    </w:p>
    <w:p>
      <w:pPr>
        <w:ind w:right="80" w:firstLine="896"/>
        <w:spacing w:after="0" w:line="259" w:lineRule="auto"/>
        <w:rPr>
          <w:sz w:val="20"/>
          <w:szCs w:val="20"/>
          <w:color w:val="auto"/>
        </w:rPr>
      </w:pPr>
      <w:r>
        <w:rPr>
          <w:rFonts w:ascii="Arial" w:cs="Arial" w:eastAsia="Arial" w:hAnsi="Arial"/>
          <w:sz w:val="18"/>
          <w:szCs w:val="18"/>
          <w:color w:val="auto"/>
        </w:rPr>
        <w:t>Net cash used in operating activities decreased to $3.0 million for the year ended December 31, 2020 as compared to $75.4 million for the same period in 2019. This decrease was primarily attributable to company revenue growth associated with the commercialization of WAKIX for a full year in 2020.</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896"/>
        <w:spacing w:after="0" w:line="335" w:lineRule="auto"/>
        <w:rPr>
          <w:sz w:val="20"/>
          <w:szCs w:val="20"/>
          <w:color w:val="auto"/>
        </w:rPr>
      </w:pPr>
      <w:r>
        <w:rPr>
          <w:rFonts w:ascii="Arial" w:cs="Arial" w:eastAsia="Arial" w:hAnsi="Arial"/>
          <w:sz w:val="16"/>
          <w:szCs w:val="16"/>
          <w:color w:val="auto"/>
        </w:rPr>
        <w:t>Net cash used in operating activities for the year ended December 31, 2020 consisted of our net loss of $36.9 million adjusted for non-cash items of $22.6 million associated with loss on extinguishment of debt and $13.0 million related to intangible amortization and fair value of warrants.</w:t>
      </w:r>
    </w:p>
    <w:p>
      <w:pPr>
        <w:spacing w:after="0" w:line="102" w:lineRule="exact"/>
        <w:rPr>
          <w:sz w:val="20"/>
          <w:szCs w:val="20"/>
          <w:color w:val="auto"/>
        </w:rPr>
      </w:pPr>
    </w:p>
    <w:p>
      <w:pPr>
        <w:ind w:right="60" w:firstLine="896"/>
        <w:spacing w:after="0" w:line="281" w:lineRule="auto"/>
        <w:rPr>
          <w:sz w:val="20"/>
          <w:szCs w:val="20"/>
          <w:color w:val="auto"/>
        </w:rPr>
      </w:pPr>
      <w:r>
        <w:rPr>
          <w:rFonts w:ascii="Arial" w:cs="Arial" w:eastAsia="Arial" w:hAnsi="Arial"/>
          <w:sz w:val="17"/>
          <w:szCs w:val="17"/>
          <w:color w:val="auto"/>
        </w:rPr>
        <w:t>Net cash used in operating activities for the year ended December 31, 2019 consisted of net loss of $152.0 million adjusted for a reclassification of $52.0 million to investing activities related to a milestone payment associated with the Bioprojet License Agreement, $9.9 million related to stock compensation expense, and $2.8 million of intangible amortization. Net working capital excluding cash increased $8.2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1" w:lineRule="exact"/>
        <w:rPr>
          <w:sz w:val="20"/>
          <w:szCs w:val="20"/>
          <w:color w:val="auto"/>
        </w:rPr>
      </w:pPr>
    </w:p>
    <w:p>
      <w:pPr>
        <w:ind w:firstLine="896"/>
        <w:spacing w:after="0" w:line="259" w:lineRule="auto"/>
        <w:rPr>
          <w:sz w:val="20"/>
          <w:szCs w:val="20"/>
          <w:color w:val="auto"/>
        </w:rPr>
      </w:pPr>
      <w:r>
        <w:rPr>
          <w:rFonts w:ascii="Arial" w:cs="Arial" w:eastAsia="Arial" w:hAnsi="Arial"/>
          <w:sz w:val="18"/>
          <w:szCs w:val="18"/>
          <w:color w:val="auto"/>
        </w:rPr>
        <w:t>Net cash used in investing activities decreased to $2.0 million for the year ended December 31, 2020 as compared to $127.1 million for the same period in 2019. This change was primarily attributable to $50.0 million and $75.0 million of milestone payments associated with the Bioprojet License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8" w:lineRule="exact"/>
        <w:rPr>
          <w:sz w:val="20"/>
          <w:szCs w:val="20"/>
          <w:color w:val="auto"/>
        </w:rPr>
      </w:pPr>
    </w:p>
    <w:p>
      <w:pPr>
        <w:ind w:right="120" w:firstLine="896"/>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was $209.2 million, which primarily consisted of $194.2 million associated with the OrbiMed Credit Agreement net of issuance costs and net proceeds from our IPO of $135.4 million, offset with $120.9 million of repayment and exit fees associated with the CRG Loan Agreement.</w:t>
      </w:r>
    </w:p>
    <w:p>
      <w:pPr>
        <w:spacing w:after="0" w:line="146" w:lineRule="exact"/>
        <w:rPr>
          <w:sz w:val="20"/>
          <w:szCs w:val="20"/>
          <w:color w:val="auto"/>
        </w:rPr>
      </w:pPr>
    </w:p>
    <w:p>
      <w:pPr>
        <w:ind w:right="80" w:firstLine="896"/>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2019 was $143.8 million, which primarily consisted of $94.8 million associated with the CRG Loan Agreement net of issuance costs and $48.9 million in proceeds from the issuance of our Series C Preferred Stock net of issuance costs.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As of and for the years ended December 31, 2020 and 2019, we did not have any off-balance sheet arrangements, as defined under SEC rules.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98" w:lineRule="exact"/>
        <w:rPr>
          <w:sz w:val="20"/>
          <w:szCs w:val="20"/>
          <w:color w:val="auto"/>
        </w:rPr>
      </w:pPr>
    </w:p>
    <w:p>
      <w:pPr>
        <w:ind w:right="20" w:firstLine="89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36" w:lineRule="exact"/>
        <w:rPr>
          <w:sz w:val="20"/>
          <w:szCs w:val="20"/>
          <w:color w:val="auto"/>
        </w:rPr>
      </w:pPr>
    </w:p>
    <w:p>
      <w:pPr>
        <w:ind w:right="40" w:firstLine="896"/>
        <w:spacing w:after="0" w:line="297" w:lineRule="auto"/>
        <w:rPr>
          <w:sz w:val="20"/>
          <w:szCs w:val="20"/>
          <w:color w:val="auto"/>
        </w:rPr>
      </w:pPr>
      <w:r>
        <w:rPr>
          <w:rFonts w:ascii="Arial" w:cs="Arial" w:eastAsia="Arial" w:hAnsi="Arial"/>
          <w:sz w:val="16"/>
          <w:szCs w:val="16"/>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19" w:lineRule="exact"/>
        <w:rPr>
          <w:sz w:val="20"/>
          <w:szCs w:val="20"/>
          <w:color w:val="auto"/>
        </w:rPr>
      </w:pPr>
    </w:p>
    <w:p>
      <w:pPr>
        <w:jc w:val="both"/>
        <w:ind w:right="180" w:firstLine="896"/>
        <w:spacing w:after="0" w:line="284" w:lineRule="auto"/>
        <w:rPr>
          <w:sz w:val="20"/>
          <w:szCs w:val="20"/>
          <w:color w:val="auto"/>
        </w:rPr>
      </w:pPr>
      <w:r>
        <w:rPr>
          <w:rFonts w:ascii="Arial" w:cs="Arial" w:eastAsia="Arial" w:hAnsi="Arial"/>
          <w:sz w:val="16"/>
          <w:szCs w:val="16"/>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While our accounting policies are more fully described in Note 3 to our financial statements included herein under “Part II—Item 8.</w:t>
      </w:r>
    </w:p>
    <w:p>
      <w:pPr>
        <w:spacing w:after="0" w:line="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Financial Statements and Supplementary Data.”, we believe the following are the critical accounting policies used in the preparation of our consolidated financial statements that require significant estimates and judgments.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1" w:lineRule="exact"/>
        <w:rPr>
          <w:sz w:val="20"/>
          <w:szCs w:val="20"/>
          <w:color w:val="auto"/>
        </w:rPr>
      </w:pPr>
    </w:p>
    <w:p>
      <w:pPr>
        <w:ind w:right="120" w:firstLine="896"/>
        <w:spacing w:after="0" w:line="271" w:lineRule="auto"/>
        <w:rPr>
          <w:sz w:val="20"/>
          <w:szCs w:val="20"/>
          <w:color w:val="auto"/>
        </w:rPr>
      </w:pPr>
      <w:r>
        <w:rPr>
          <w:rFonts w:ascii="Arial" w:cs="Arial" w:eastAsia="Arial" w:hAnsi="Arial"/>
          <w:sz w:val="18"/>
          <w:szCs w:val="18"/>
          <w:color w:val="auto"/>
        </w:rPr>
        <w:t>Effective January 1, 2019, we adopted ASC 606, Revenue from Contracts with Customers (ASC 606), or ASC 606. This standard applies to all contracts with customers, except for contracts that are within the scope</w:t>
      </w:r>
    </w:p>
    <w:p>
      <w:pPr>
        <w:spacing w:after="0" w:line="17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right="100" w:firstLine="7"/>
        <w:spacing w:after="0" w:line="265" w:lineRule="auto"/>
        <w:tabs>
          <w:tab w:leader="none" w:pos="302"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We then recognize as revenue the amount of the transaction price that is allocated to the respective performance obligation when (or as) the performance obligation is satisfied. We have determined that the delivery of our product to our customer constitutes a single performance obligation as there are no other promises to deliver goods or services. Shipping and handling activities are considered to be fulfilment activities and are not considered to be a separate performance obligation. We have assessed the existence of a significant financing component in the agreements with our customers. The trade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81" w:lineRule="exact"/>
        <w:rPr>
          <w:sz w:val="20"/>
          <w:szCs w:val="20"/>
          <w:color w:val="auto"/>
        </w:rPr>
      </w:pPr>
    </w:p>
    <w:p>
      <w:pPr>
        <w:ind w:firstLine="896"/>
        <w:spacing w:after="0" w:line="271" w:lineRule="auto"/>
        <w:rPr>
          <w:sz w:val="20"/>
          <w:szCs w:val="20"/>
          <w:color w:val="auto"/>
        </w:rPr>
      </w:pPr>
      <w:r>
        <w:rPr>
          <w:rFonts w:ascii="Arial" w:cs="Arial" w:eastAsia="Arial" w:hAnsi="Arial"/>
          <w:sz w:val="18"/>
          <w:szCs w:val="18"/>
          <w:color w:val="auto"/>
        </w:rPr>
        <w:t>We began commercial sales of WAKIX in November 2019. We sell WAKIX to our customers (a limited number of specialty distributors) that, in turn, distribute WAKIX to patients.</w:t>
      </w:r>
    </w:p>
    <w:p>
      <w:pPr>
        <w:spacing w:after="0" w:line="134" w:lineRule="exact"/>
        <w:rPr>
          <w:sz w:val="20"/>
          <w:szCs w:val="20"/>
          <w:color w:val="auto"/>
        </w:rPr>
      </w:pPr>
    </w:p>
    <w:p>
      <w:pPr>
        <w:ind w:right="40" w:firstLine="896"/>
        <w:spacing w:after="0" w:line="290" w:lineRule="auto"/>
        <w:rPr>
          <w:sz w:val="20"/>
          <w:szCs w:val="20"/>
          <w:color w:val="auto"/>
        </w:rPr>
      </w:pPr>
      <w:r>
        <w:rPr>
          <w:rFonts w:ascii="Arial" w:cs="Arial" w:eastAsia="Arial" w:hAnsi="Arial"/>
          <w:sz w:val="16"/>
          <w:szCs w:val="16"/>
          <w:color w:val="auto"/>
        </w:rPr>
        <w:t>We recognize revenue on sales of WAKIX when the customer obtains control of the product, which occurs at a point in time, typically upon delivery. Product revenues are recorded at the product’s wholesale acquisition costs, net of applicable reserves for variable consideration that are offered within contracts between us and our customers, payors, and other indirect customers relating to the sale of WAKIX. Components of variable consideration include government and commercial contracts, product returns, commercial co-payment assistance program transactions, and distribution service fees. These deductions, as detailed below, are based on the amounts earned, or to be claimed on the related sales, and are classified as a current liability or reduction of receivables, based on the expected value method and a range of outcomes and are probability weighted in accordance with ASC 606.</w:t>
      </w:r>
    </w:p>
    <w:p>
      <w:pPr>
        <w:spacing w:after="0" w:line="137" w:lineRule="exact"/>
        <w:rPr>
          <w:sz w:val="20"/>
          <w:szCs w:val="20"/>
          <w:color w:val="auto"/>
        </w:rPr>
      </w:pPr>
    </w:p>
    <w:p>
      <w:pPr>
        <w:ind w:right="100" w:firstLine="896"/>
        <w:spacing w:after="0" w:line="253" w:lineRule="auto"/>
        <w:rPr>
          <w:sz w:val="20"/>
          <w:szCs w:val="20"/>
          <w:color w:val="auto"/>
        </w:rPr>
      </w:pPr>
      <w:r>
        <w:rPr>
          <w:rFonts w:ascii="Arial" w:cs="Arial" w:eastAsia="Arial" w:hAnsi="Arial"/>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181" w:lineRule="exact"/>
        <w:rPr>
          <w:sz w:val="20"/>
          <w:szCs w:val="20"/>
          <w:color w:val="auto"/>
        </w:rPr>
      </w:pPr>
    </w:p>
    <w:p>
      <w:pPr>
        <w:ind w:right="160" w:firstLine="896"/>
        <w:spacing w:after="0" w:line="293" w:lineRule="auto"/>
        <w:rPr>
          <w:sz w:val="20"/>
          <w:szCs w:val="20"/>
          <w:color w:val="auto"/>
        </w:rPr>
      </w:pPr>
      <w:r>
        <w:rPr>
          <w:rFonts w:ascii="Arial" w:cs="Arial" w:eastAsia="Arial" w:hAnsi="Arial"/>
          <w:sz w:val="16"/>
          <w:szCs w:val="16"/>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These reserves are recorded in the same period the revenue is recognized, resulting in a reduction of product revenue and the establishment of a current liability, which is included in accounts payable or accrued expenses. For Medicare Part D, we estimate the number of patients in the prescription drug coverage gap for whom we will owe a payment under the Medicare Part D program.</w:t>
      </w:r>
    </w:p>
    <w:p>
      <w:pPr>
        <w:spacing w:after="0" w:line="134" w:lineRule="exact"/>
        <w:rPr>
          <w:sz w:val="20"/>
          <w:szCs w:val="20"/>
          <w:color w:val="auto"/>
        </w:rPr>
      </w:pPr>
    </w:p>
    <w:p>
      <w:pPr>
        <w:ind w:right="160" w:firstLine="896"/>
        <w:spacing w:after="0" w:line="253" w:lineRule="auto"/>
        <w:rPr>
          <w:sz w:val="20"/>
          <w:szCs w:val="20"/>
          <w:color w:val="auto"/>
        </w:rPr>
      </w:pPr>
      <w:r>
        <w:rPr>
          <w:rFonts w:ascii="Arial" w:cs="Arial" w:eastAsia="Arial" w:hAnsi="Arial"/>
          <w:sz w:val="18"/>
          <w:szCs w:val="18"/>
          <w:color w:val="auto"/>
        </w:rPr>
        <w:t>We estimate the rebates that we will provide to Government Payors for those programs that require rebates. These rebate estimates are based upon (i) the government-mandated discounts applicable to government-funded programs, (ii) information obtained from its customers and (iii) information obtained from other third parties regarding the payor mix for WAKIX. The liability for these rebates consists of estimates of claims for the current year and estimated future claims that will be made for product shipments that have been recognized as revenue but remain in the distribution channel inventories at the end of each reporting period.</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94" w:lineRule="exact"/>
        <w:rPr>
          <w:sz w:val="20"/>
          <w:szCs w:val="20"/>
          <w:color w:val="auto"/>
        </w:rPr>
      </w:pPr>
    </w:p>
    <w:p>
      <w:pPr>
        <w:ind w:right="60" w:firstLine="896"/>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and some require advanced payments. We make estimates of our accrued expenses of each balance sheet date in our financial statements based on facts and circumstances known to us at that time. Examples of estimated accrued research and development expenses include fees paid to:</w:t>
      </w:r>
    </w:p>
    <w:p>
      <w:pPr>
        <w:spacing w:after="0" w:line="312" w:lineRule="exact"/>
        <w:rPr>
          <w:sz w:val="20"/>
          <w:szCs w:val="20"/>
          <w:color w:val="auto"/>
        </w:rPr>
      </w:pPr>
    </w:p>
    <w:p>
      <w:pPr>
        <w:ind w:left="1340" w:hanging="437"/>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on our behalf and any clinical trials;</w:t>
      </w:r>
    </w:p>
    <w:p>
      <w:pPr>
        <w:spacing w:after="0" w:line="368" w:lineRule="exact"/>
        <w:rPr>
          <w:rFonts w:ascii="Arial" w:cs="Arial" w:eastAsia="Arial" w:hAnsi="Arial"/>
          <w:sz w:val="18"/>
          <w:szCs w:val="18"/>
          <w:color w:val="auto"/>
        </w:rPr>
      </w:pPr>
    </w:p>
    <w:p>
      <w:pPr>
        <w:ind w:left="1340" w:hanging="437"/>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studies and any clinical trials;</w:t>
      </w:r>
    </w:p>
    <w:p>
      <w:pPr>
        <w:spacing w:after="0" w:line="368" w:lineRule="exact"/>
        <w:rPr>
          <w:rFonts w:ascii="Arial" w:cs="Arial" w:eastAsia="Arial" w:hAnsi="Arial"/>
          <w:sz w:val="18"/>
          <w:szCs w:val="18"/>
          <w:color w:val="auto"/>
        </w:rPr>
      </w:pPr>
    </w:p>
    <w:p>
      <w:pPr>
        <w:ind w:left="1340" w:right="540" w:hanging="437"/>
        <w:spacing w:after="0" w:line="271" w:lineRule="auto"/>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vendors in connections with the preparation of our NDA file, market and patient awareness programs, website development, market research and analysis and medical education;</w:t>
      </w:r>
    </w:p>
    <w:p>
      <w:pPr>
        <w:spacing w:after="0" w:line="321" w:lineRule="exact"/>
        <w:rPr>
          <w:rFonts w:ascii="Arial" w:cs="Arial" w:eastAsia="Arial" w:hAnsi="Arial"/>
          <w:sz w:val="18"/>
          <w:szCs w:val="18"/>
          <w:color w:val="auto"/>
        </w:rPr>
      </w:pPr>
    </w:p>
    <w:p>
      <w:pPr>
        <w:ind w:left="1340" w:hanging="437"/>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w:t>
      </w:r>
    </w:p>
    <w:p>
      <w:pPr>
        <w:spacing w:after="0" w:line="368" w:lineRule="exact"/>
        <w:rPr>
          <w:sz w:val="20"/>
          <w:szCs w:val="20"/>
          <w:color w:val="auto"/>
        </w:rPr>
      </w:pPr>
    </w:p>
    <w:p>
      <w:pPr>
        <w:ind w:right="20" w:firstLine="896"/>
        <w:spacing w:after="0" w:line="287" w:lineRule="auto"/>
        <w:rPr>
          <w:sz w:val="20"/>
          <w:szCs w:val="20"/>
          <w:color w:val="auto"/>
        </w:rPr>
      </w:pPr>
      <w:r>
        <w:rPr>
          <w:rFonts w:ascii="Arial" w:cs="Arial" w:eastAsia="Arial" w:hAnsi="Arial"/>
          <w:sz w:val="16"/>
          <w:szCs w:val="16"/>
          <w:color w:val="auto"/>
        </w:rPr>
        <w:t>We base our expenses for services rendered on our estimates of the services received and efforts expended pursuant to quotes, contracts and communicating with our vendors. The financial terms of these agreements are subject to negotiation, vary from contract to contract and may result in uneven payments. There may be instances in which payments made to our vendors will exceed the level of services provided and result in a prepayment of the expense. In accruing service fees, we estimate the time period over which services will be performed and level of effort to be expended in each period. If the actual timing of the performance of services or the level of effort varies from our estimate, we adjust the accrual or amount of prepaid or accrued expenses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1" w:lineRule="exact"/>
        <w:rPr>
          <w:sz w:val="20"/>
          <w:szCs w:val="20"/>
          <w:color w:val="auto"/>
        </w:rPr>
      </w:pPr>
    </w:p>
    <w:p>
      <w:pPr>
        <w:ind w:firstLine="896"/>
        <w:spacing w:after="0" w:line="287" w:lineRule="auto"/>
        <w:rPr>
          <w:sz w:val="20"/>
          <w:szCs w:val="20"/>
          <w:color w:val="auto"/>
        </w:rPr>
      </w:pPr>
      <w:r>
        <w:rPr>
          <w:rFonts w:ascii="Arial" w:cs="Arial" w:eastAsia="Arial" w:hAnsi="Arial"/>
          <w:sz w:val="16"/>
          <w:szCs w:val="16"/>
          <w:color w:val="auto"/>
        </w:rPr>
        <w:t>We recognize stock-based compensation expense related to stock options granted to employees based on the estimated fair value of the awards on the date of grant. We estimate the grant date fair value, and the resulting stock-based compensation expense, for stock options that only have service vesting requirements or performance-based vesting requirements without market conditions using the Black- Scholes option-pricing model. The grant date fair value of the stock-based awards with service vesting requirements is generally recognized on a straight-line basis over the requisite service period, which is generally the vesting period of the respective awards. Determining the appropriate amount to expense for performance-based awards based on the achievement of stated goals requires judgment. The estimate of expense is revised periodically based on the probability of achieving the required performance targets and adjustments are made as appropriate. The cumulative impact of any revisions is reflected in the period of change. If any applicable financial performance goals are not met, no compensation cost is recognized and any previously recognized compensation cost is reversed.</w:t>
      </w:r>
    </w:p>
    <w:p>
      <w:pPr>
        <w:spacing w:after="0" w:line="126" w:lineRule="exact"/>
        <w:rPr>
          <w:sz w:val="20"/>
          <w:szCs w:val="20"/>
          <w:color w:val="auto"/>
        </w:rPr>
      </w:pPr>
    </w:p>
    <w:p>
      <w:pPr>
        <w:ind w:right="20" w:firstLine="896"/>
        <w:spacing w:after="0" w:line="253" w:lineRule="auto"/>
        <w:rPr>
          <w:sz w:val="20"/>
          <w:szCs w:val="20"/>
          <w:color w:val="auto"/>
        </w:rPr>
      </w:pPr>
      <w:r>
        <w:rPr>
          <w:rFonts w:ascii="Arial" w:cs="Arial" w:eastAsia="Arial" w:hAnsi="Arial"/>
          <w:sz w:val="18"/>
          <w:szCs w:val="18"/>
          <w:color w:val="auto"/>
        </w:rPr>
        <w:t>We recognize stock-based compensation expense related to stock options granted to non-employees issued in exchange for services based on the estimated fair value of the awards on the date of grant. We estimate the grant date fair value, and the resulting share-based compensation expense, using the Black-Scholes option-pricing model; however, the fair value of the stock options granted to non-employees is remeasured each reporting period until the service is complete, and the resulting increase or decrease in value, if any, is recognized as expense or a reduction in previously recognized expense, respectively, during the period the related services are rendered.</w:t>
      </w:r>
    </w:p>
    <w:p>
      <w:pPr>
        <w:spacing w:after="0" w:line="166" w:lineRule="exact"/>
        <w:rPr>
          <w:sz w:val="20"/>
          <w:szCs w:val="20"/>
          <w:color w:val="auto"/>
        </w:rPr>
      </w:pPr>
    </w:p>
    <w:p>
      <w:pPr>
        <w:ind w:right="480" w:firstLine="896"/>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share- based awards. These assumptions include:</w:t>
      </w:r>
    </w:p>
    <w:p>
      <w:pPr>
        <w:spacing w:after="0" w:line="134" w:lineRule="exact"/>
        <w:rPr>
          <w:sz w:val="20"/>
          <w:szCs w:val="20"/>
          <w:color w:val="auto"/>
        </w:rPr>
      </w:pPr>
    </w:p>
    <w:p>
      <w:pPr>
        <w:ind w:right="100" w:firstLine="896"/>
        <w:spacing w:after="0" w:line="271"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Our expected term represents the period that our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end of the contractual term). For stock- based awards granted to non-employees, the expected term represents the contractual term of the award.</w:t>
      </w:r>
    </w:p>
    <w:p>
      <w:pPr>
        <w:spacing w:after="0" w:line="206" w:lineRule="exact"/>
        <w:rPr>
          <w:sz w:val="20"/>
          <w:szCs w:val="20"/>
          <w:color w:val="auto"/>
        </w:rPr>
      </w:pPr>
    </w:p>
    <w:p>
      <w:pPr>
        <w:ind w:right="200" w:firstLine="896"/>
        <w:spacing w:after="0" w:line="259" w:lineRule="auto"/>
        <w:rPr>
          <w:sz w:val="20"/>
          <w:szCs w:val="20"/>
          <w:color w:val="auto"/>
        </w:rPr>
      </w:pPr>
      <w:r>
        <w:rPr>
          <w:rFonts w:ascii="Arial" w:cs="Arial" w:eastAsia="Arial" w:hAnsi="Arial"/>
          <w:sz w:val="18"/>
          <w:szCs w:val="18"/>
          <w:i w:val="1"/>
          <w:iCs w:val="1"/>
          <w:color w:val="auto"/>
        </w:rPr>
        <w:t xml:space="preserve">Common stock price. </w:t>
      </w:r>
      <w:r>
        <w:rPr>
          <w:rFonts w:ascii="Arial" w:cs="Arial" w:eastAsia="Arial" w:hAnsi="Arial"/>
          <w:sz w:val="18"/>
          <w:szCs w:val="18"/>
          <w:color w:val="auto"/>
        </w:rPr>
        <w:t>Our board of directors determines the fair value of each share of underlying common stock based on the closing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as reported on the date of grant. Future expense amounts for any particular period could be affected by changes in our assumptions or market conditions.</w:t>
      </w:r>
    </w:p>
    <w:p>
      <w:pPr>
        <w:spacing w:after="0" w:line="146" w:lineRule="exact"/>
        <w:rPr>
          <w:sz w:val="20"/>
          <w:szCs w:val="20"/>
          <w:color w:val="auto"/>
        </w:rPr>
      </w:pPr>
    </w:p>
    <w:p>
      <w:pPr>
        <w:ind w:right="40" w:firstLine="896"/>
        <w:spacing w:after="0" w:line="255"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Prior to the initial public offering of our common stock, we were a privately held company and did not have any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history for our common stock and the expected volatility was estimated using weighted-average measures of implied volatility and the historical volatility of our peer group of companies for a period equal to the expected life of the stock options. Our peer group of publicly traded biopharmaceutical companies was chosen based on their similar size, stage in the life cycle or area of specialty.</w:t>
      </w:r>
    </w:p>
    <w:p>
      <w:pPr>
        <w:spacing w:after="0" w:line="150" w:lineRule="exact"/>
        <w:rPr>
          <w:sz w:val="20"/>
          <w:szCs w:val="20"/>
          <w:color w:val="auto"/>
        </w:rPr>
      </w:pPr>
    </w:p>
    <w:p>
      <w:pPr>
        <w:ind w:right="180" w:firstLine="896"/>
        <w:spacing w:after="0" w:line="27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rates paid on securities issued by the U.S. Treasury with a term approximating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life of the stock options.</w:t>
      </w:r>
    </w:p>
    <w:p>
      <w:pPr>
        <w:spacing w:after="0" w:line="148" w:lineRule="exact"/>
        <w:rPr>
          <w:sz w:val="20"/>
          <w:szCs w:val="20"/>
          <w:color w:val="auto"/>
        </w:rPr>
      </w:pPr>
    </w:p>
    <w:p>
      <w:pPr>
        <w:ind w:right="240" w:firstLine="896"/>
        <w:spacing w:after="0" w:line="271"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We have never paid, and do not anticipate paying, cash dividends on our common stock. Therefore, the expected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yield was assumed to be zero.</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20" w:type="dxa"/>
            <w:vAlign w:val="bottom"/>
            <w:gridSpan w:val="2"/>
          </w:tcPr>
          <w:p>
            <w:pPr>
              <w:ind w:left="900"/>
              <w:spacing w:after="0"/>
              <w:rPr>
                <w:sz w:val="20"/>
                <w:szCs w:val="20"/>
                <w:color w:val="auto"/>
              </w:rPr>
            </w:pPr>
            <w:r>
              <w:rPr>
                <w:rFonts w:ascii="Arial" w:cs="Arial" w:eastAsia="Arial" w:hAnsi="Arial"/>
                <w:sz w:val="18"/>
                <w:szCs w:val="18"/>
                <w:color w:val="auto"/>
                <w:w w:val="90"/>
              </w:rPr>
              <w:t>The following table reflects the range of assumptions used to estimate the fair value of awards.</w:t>
            </w:r>
          </w:p>
        </w:tc>
        <w:tc>
          <w:tcPr>
            <w:tcW w:w="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7720" w:type="dxa"/>
            <w:vAlign w:val="bottom"/>
            <w:gridSpan w:val="2"/>
          </w:tcPr>
          <w:p>
            <w:pPr>
              <w:ind w:left="7320"/>
              <w:spacing w:after="0"/>
              <w:rPr>
                <w:sz w:val="20"/>
                <w:szCs w:val="20"/>
                <w:color w:val="auto"/>
              </w:rPr>
            </w:pPr>
            <w:r>
              <w:rPr>
                <w:rFonts w:ascii="Arial" w:cs="Arial" w:eastAsia="Arial" w:hAnsi="Arial"/>
                <w:sz w:val="18"/>
                <w:szCs w:val="18"/>
                <w:b w:val="1"/>
                <w:bCs w:val="1"/>
                <w:color w:val="auto"/>
                <w:w w:val="94"/>
              </w:rPr>
              <w:t>2020</w:t>
            </w:r>
          </w:p>
        </w:tc>
        <w:tc>
          <w:tcPr>
            <w:tcW w:w="620" w:type="dxa"/>
            <w:vAlign w:val="bottom"/>
          </w:tcPr>
          <w:p>
            <w:pPr>
              <w:spacing w:after="0"/>
              <w:rPr>
                <w:sz w:val="24"/>
                <w:szCs w:val="24"/>
                <w:color w:val="auto"/>
              </w:rPr>
            </w:pPr>
          </w:p>
        </w:tc>
        <w:tc>
          <w:tcPr>
            <w:tcW w:w="2900" w:type="dxa"/>
            <w:vAlign w:val="bottom"/>
          </w:tcPr>
          <w:p>
            <w:pPr>
              <w:jc w:val="right"/>
              <w:ind w:right="8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5980" w:type="dxa"/>
            <w:vAlign w:val="bottom"/>
            <w:vMerge w:val="restart"/>
          </w:tcPr>
          <w:p>
            <w:pPr>
              <w:spacing w:after="0"/>
              <w:rPr>
                <w:sz w:val="20"/>
                <w:szCs w:val="20"/>
                <w:color w:val="auto"/>
              </w:rPr>
            </w:pPr>
            <w:r>
              <w:rPr>
                <w:rFonts w:ascii="Arial" w:cs="Arial" w:eastAsia="Arial" w:hAnsi="Arial"/>
                <w:sz w:val="18"/>
                <w:szCs w:val="18"/>
                <w:color w:val="auto"/>
              </w:rPr>
              <w:t>Dividend yield</w:t>
            </w:r>
          </w:p>
        </w:tc>
        <w:tc>
          <w:tcPr>
            <w:tcW w:w="1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98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00" w:type="dxa"/>
            <w:vAlign w:val="bottom"/>
          </w:tcPr>
          <w:p>
            <w:pPr>
              <w:jc w:val="right"/>
              <w:ind w:right="1671"/>
              <w:spacing w:after="0" w:line="180" w:lineRule="exact"/>
              <w:rPr>
                <w:sz w:val="20"/>
                <w:szCs w:val="20"/>
                <w:color w:val="auto"/>
              </w:rPr>
            </w:pPr>
            <w:r>
              <w:rPr>
                <w:rFonts w:ascii="Arial" w:cs="Arial" w:eastAsia="Arial" w:hAnsi="Arial"/>
                <w:sz w:val="18"/>
                <w:szCs w:val="18"/>
                <w:color w:val="auto"/>
              </w:rPr>
              <w:t>0.00%0.00%</w:t>
            </w:r>
          </w:p>
        </w:tc>
        <w:tc>
          <w:tcPr>
            <w:tcW w:w="0" w:type="dxa"/>
            <w:vAlign w:val="bottom"/>
          </w:tcPr>
          <w:p>
            <w:pPr>
              <w:spacing w:after="0"/>
              <w:rPr>
                <w:sz w:val="1"/>
                <w:szCs w:val="1"/>
                <w:color w:val="auto"/>
              </w:rPr>
            </w:pPr>
          </w:p>
        </w:tc>
      </w:tr>
      <w:tr>
        <w:trPr>
          <w:trHeight w:val="214"/>
        </w:trPr>
        <w:tc>
          <w:tcPr>
            <w:tcW w:w="77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55.00%</w:t>
            </w:r>
          </w:p>
        </w:tc>
        <w:tc>
          <w:tcPr>
            <w:tcW w:w="2900" w:type="dxa"/>
            <w:vAlign w:val="bottom"/>
          </w:tcPr>
          <w:p>
            <w:pPr>
              <w:jc w:val="right"/>
              <w:ind w:right="891"/>
              <w:spacing w:after="0"/>
              <w:rPr>
                <w:sz w:val="20"/>
                <w:szCs w:val="20"/>
                <w:color w:val="auto"/>
              </w:rPr>
            </w:pPr>
            <w:r>
              <w:rPr>
                <w:rFonts w:ascii="Arial" w:cs="Arial" w:eastAsia="Arial" w:hAnsi="Arial"/>
                <w:sz w:val="18"/>
                <w:szCs w:val="18"/>
                <w:color w:val="auto"/>
                <w:w w:val="90"/>
              </w:rPr>
              <w:t>- 95.80%95.30% - 99.30%</w:t>
            </w:r>
          </w:p>
        </w:tc>
        <w:tc>
          <w:tcPr>
            <w:tcW w:w="0" w:type="dxa"/>
            <w:vAlign w:val="bottom"/>
          </w:tcPr>
          <w:p>
            <w:pPr>
              <w:spacing w:after="0"/>
              <w:rPr>
                <w:sz w:val="1"/>
                <w:szCs w:val="1"/>
                <w:color w:val="auto"/>
              </w:rPr>
            </w:pPr>
          </w:p>
        </w:tc>
      </w:tr>
      <w:tr>
        <w:trPr>
          <w:trHeight w:val="214"/>
        </w:trPr>
        <w:tc>
          <w:tcPr>
            <w:tcW w:w="77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gridSpan w:val="2"/>
          </w:tcPr>
          <w:p>
            <w:pPr>
              <w:jc w:val="right"/>
              <w:ind w:right="1051"/>
              <w:spacing w:after="0"/>
              <w:rPr>
                <w:sz w:val="20"/>
                <w:szCs w:val="20"/>
                <w:color w:val="auto"/>
              </w:rPr>
            </w:pPr>
            <w:r>
              <w:rPr>
                <w:rFonts w:ascii="Arial" w:cs="Arial" w:eastAsia="Arial" w:hAnsi="Arial"/>
                <w:sz w:val="18"/>
                <w:szCs w:val="18"/>
                <w:color w:val="auto"/>
                <w:w w:val="99"/>
              </w:rPr>
              <w:t>0.32% - 0.56%1.60% - 2.59%</w:t>
            </w:r>
          </w:p>
        </w:tc>
        <w:tc>
          <w:tcPr>
            <w:tcW w:w="0" w:type="dxa"/>
            <w:vAlign w:val="bottom"/>
          </w:tcPr>
          <w:p>
            <w:pPr>
              <w:spacing w:after="0"/>
              <w:rPr>
                <w:sz w:val="1"/>
                <w:szCs w:val="1"/>
                <w:color w:val="auto"/>
              </w:rPr>
            </w:pPr>
          </w:p>
        </w:tc>
      </w:tr>
      <w:tr>
        <w:trPr>
          <w:trHeight w:val="214"/>
        </w:trPr>
        <w:tc>
          <w:tcPr>
            <w:tcW w:w="7720" w:type="dxa"/>
            <w:vAlign w:val="bottom"/>
            <w:gridSpan w:val="2"/>
          </w:tcPr>
          <w:p>
            <w:pPr>
              <w:spacing w:after="0"/>
              <w:rPr>
                <w:sz w:val="20"/>
                <w:szCs w:val="20"/>
                <w:color w:val="auto"/>
              </w:rPr>
            </w:pPr>
            <w:r>
              <w:rPr>
                <w:rFonts w:ascii="Arial" w:cs="Arial" w:eastAsia="Arial" w:hAnsi="Arial"/>
                <w:sz w:val="18"/>
                <w:szCs w:val="18"/>
                <w:color w:val="auto"/>
              </w:rPr>
              <w:t>Lack of marketability discount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2900" w:type="dxa"/>
            <w:vAlign w:val="bottom"/>
          </w:tcPr>
          <w:p>
            <w:pPr>
              <w:jc w:val="right"/>
              <w:ind w:right="891"/>
              <w:spacing w:after="0"/>
              <w:rPr>
                <w:sz w:val="20"/>
                <w:szCs w:val="20"/>
                <w:color w:val="auto"/>
              </w:rPr>
            </w:pPr>
            <w:r>
              <w:rPr>
                <w:rFonts w:ascii="Arial" w:cs="Arial" w:eastAsia="Arial" w:hAnsi="Arial"/>
                <w:sz w:val="18"/>
                <w:szCs w:val="18"/>
                <w:color w:val="auto"/>
                <w:w w:val="90"/>
              </w:rPr>
              <w:t>- 20.48%26.00% - 31.00%</w:t>
            </w:r>
          </w:p>
        </w:tc>
        <w:tc>
          <w:tcPr>
            <w:tcW w:w="0" w:type="dxa"/>
            <w:vAlign w:val="bottom"/>
          </w:tcPr>
          <w:p>
            <w:pPr>
              <w:spacing w:after="0"/>
              <w:rPr>
                <w:sz w:val="1"/>
                <w:szCs w:val="1"/>
                <w:color w:val="auto"/>
              </w:rPr>
            </w:pPr>
          </w:p>
        </w:tc>
      </w:tr>
      <w:tr>
        <w:trPr>
          <w:trHeight w:val="227"/>
        </w:trPr>
        <w:tc>
          <w:tcPr>
            <w:tcW w:w="77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3520" w:type="dxa"/>
            <w:vAlign w:val="bottom"/>
            <w:gridSpan w:val="2"/>
          </w:tcPr>
          <w:p>
            <w:pPr>
              <w:jc w:val="right"/>
              <w:ind w:right="1811"/>
              <w:spacing w:after="0"/>
              <w:rPr>
                <w:sz w:val="20"/>
                <w:szCs w:val="20"/>
                <w:color w:val="auto"/>
              </w:rPr>
            </w:pPr>
            <w:r>
              <w:rPr>
                <w:rFonts w:ascii="Arial" w:cs="Arial" w:eastAsia="Arial" w:hAnsi="Arial"/>
                <w:sz w:val="18"/>
                <w:szCs w:val="18"/>
                <w:color w:val="auto"/>
              </w:rPr>
              <w:t>5.40 - 6.506.50</w:t>
            </w: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81" w:lineRule="exact"/>
        <w:rPr>
          <w:sz w:val="20"/>
          <w:szCs w:val="20"/>
          <w:color w:val="auto"/>
        </w:rPr>
      </w:pPr>
    </w:p>
    <w:p>
      <w:pPr>
        <w:ind w:firstLine="896"/>
        <w:spacing w:after="0" w:line="266" w:lineRule="auto"/>
        <w:rPr>
          <w:sz w:val="20"/>
          <w:szCs w:val="20"/>
          <w:color w:val="auto"/>
        </w:rPr>
      </w:pPr>
      <w:r>
        <w:rPr>
          <w:rFonts w:ascii="Arial" w:cs="Arial" w:eastAsia="Arial" w:hAnsi="Arial"/>
          <w:sz w:val="17"/>
          <w:szCs w:val="17"/>
          <w:color w:val="auto"/>
        </w:rPr>
        <w:t>Prior to the consummation of our IPO, our common stock was not publicly traded. As such, we were required to estimate the fair value of our common stock. Our board of directors exercised reasonable judgment and considered a number of objective and subjective factors to determine the best estimate of the fair value of our common stock, including our stage of development or commercial performance; our actual operating results and financial performance; the progress of our commercialization and research and development efforts; conditions in the industry and economy in general; the rights, preferences and privileges of our convertible preferred stock relative to those of our common stock; the likelihood of achieving a liquidity event for the holders of our common stock, such as an initial public offering or a sale of our company, given prevailing market conditions; equity market conditions affecting comparable public companies; the lack of marketability of our common stock and the results of independent third party valuations. Our board of directors also took into consideration the valuations of our common stock that were prepared by an independent third-party valuation firm in accordance with the guidance provided by the American Institute of Certified Public Accountants 2013 Practice Aid, Valuation of Privately-Held-Company Equity Securities Issued as Compensation. 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42" w:lineRule="exact"/>
        <w:rPr>
          <w:sz w:val="20"/>
          <w:szCs w:val="20"/>
          <w:color w:val="auto"/>
        </w:rPr>
      </w:pPr>
    </w:p>
    <w:p>
      <w:pPr>
        <w:ind w:firstLine="896"/>
        <w:spacing w:after="0" w:line="287" w:lineRule="auto"/>
        <w:rPr>
          <w:sz w:val="20"/>
          <w:szCs w:val="20"/>
          <w:color w:val="auto"/>
        </w:rPr>
      </w:pPr>
      <w:r>
        <w:rPr>
          <w:rFonts w:ascii="Arial" w:cs="Arial" w:eastAsia="Arial" w:hAnsi="Arial"/>
          <w:sz w:val="16"/>
          <w:szCs w:val="16"/>
          <w:color w:val="auto"/>
        </w:rPr>
        <w:t>For our valuations performed as of, and prior to, December 31, 2018, we used the Option Pricing Model Backsolve method to estimate the fair value of our common stock. In an option pricing method, or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For our February 13, 2019 valuation, we used an income-based approach of a Discounted Cash Flow, or DCF, method to estimate the fair value of our common stock. The DCF method is based upon the theory that the value of a business is equal to the present value of its projected future cash flows. For our valuations performed August 14, 2019 through December 31, 2019, we used a combination of both, Backsolve and DCF, to estimate the fair value of our common stock. For our valuations performed as of March 31, 2020 and June 30, 2020, we used a DCF to estimate the fair value of our common stock. Furthermore, as of each of the valuation dates and even being an</w:t>
      </w:r>
    </w:p>
    <w:p>
      <w:pPr>
        <w:spacing w:after="0" w:line="16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early-stage commercial company, the future liquidity events were difficult to forecast. We applied a discount for lack of marketability to account for a lack of access to an active public market.</w:t>
      </w:r>
    </w:p>
    <w:p>
      <w:pPr>
        <w:spacing w:after="0" w:line="148" w:lineRule="exact"/>
        <w:rPr>
          <w:sz w:val="20"/>
          <w:szCs w:val="20"/>
          <w:color w:val="auto"/>
        </w:rPr>
      </w:pPr>
    </w:p>
    <w:p>
      <w:pPr>
        <w:ind w:right="280" w:firstLine="896"/>
        <w:spacing w:after="0" w:line="259" w:lineRule="auto"/>
        <w:rPr>
          <w:sz w:val="20"/>
          <w:szCs w:val="20"/>
          <w:color w:val="auto"/>
        </w:rPr>
      </w:pPr>
      <w:r>
        <w:rPr>
          <w:rFonts w:ascii="Arial" w:cs="Arial" w:eastAsia="Arial" w:hAnsi="Arial"/>
          <w:sz w:val="18"/>
          <w:szCs w:val="18"/>
          <w:color w:val="auto"/>
        </w:rPr>
        <w:t>For valuations after the completion of the IPO,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w:t>
      </w:r>
    </w:p>
    <w:p>
      <w:pPr>
        <w:spacing w:after="0" w:line="181" w:lineRule="exact"/>
        <w:rPr>
          <w:sz w:val="20"/>
          <w:szCs w:val="20"/>
          <w:color w:val="auto"/>
        </w:rPr>
      </w:pPr>
    </w:p>
    <w:p>
      <w:pPr>
        <w:ind w:right="240" w:firstLine="896"/>
        <w:spacing w:after="0" w:line="259" w:lineRule="auto"/>
        <w:rPr>
          <w:sz w:val="20"/>
          <w:szCs w:val="20"/>
          <w:color w:val="auto"/>
        </w:rPr>
      </w:pPr>
      <w:r>
        <w:rPr>
          <w:rFonts w:ascii="Arial" w:cs="Arial" w:eastAsia="Arial" w:hAnsi="Arial"/>
          <w:sz w:val="18"/>
          <w:szCs w:val="18"/>
          <w:color w:val="auto"/>
        </w:rPr>
        <w:t>The following table sets forth by grant date the number of shares of common stock subject to options granted from January 1, 2019 through December 31, 2020, the per share exercise price of the options, the per share fair value of the shares of common stock on each grant date and the per share estimated fair value of the options on each grant date: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18"/>
                <w:szCs w:val="18"/>
                <w:color w:val="auto"/>
              </w:rPr>
            </w:pPr>
          </w:p>
        </w:tc>
        <w:tc>
          <w:tcPr>
            <w:tcW w:w="3080" w:type="dxa"/>
            <w:vAlign w:val="bottom"/>
          </w:tcPr>
          <w:p>
            <w:pPr>
              <w:jc w:val="center"/>
              <w:ind w:left="1571"/>
              <w:spacing w:after="0"/>
              <w:rPr>
                <w:sz w:val="20"/>
                <w:szCs w:val="20"/>
                <w:color w:val="auto"/>
              </w:rPr>
            </w:pPr>
            <w:r>
              <w:rPr>
                <w:rFonts w:ascii="Arial" w:cs="Arial" w:eastAsia="Arial" w:hAnsi="Arial"/>
                <w:sz w:val="18"/>
                <w:szCs w:val="18"/>
                <w:b w:val="1"/>
                <w:bCs w:val="1"/>
                <w:color w:val="auto"/>
                <w:w w:val="88"/>
              </w:rPr>
              <w:t>Number of Shares</w:t>
            </w: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8"/>
                <w:szCs w:val="18"/>
                <w:b w:val="1"/>
                <w:bCs w:val="1"/>
                <w:color w:val="auto"/>
                <w:w w:val="91"/>
              </w:rPr>
              <w:t>Per Share Estimated</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18"/>
                <w:szCs w:val="18"/>
                <w:color w:val="auto"/>
              </w:rPr>
            </w:pPr>
          </w:p>
        </w:tc>
        <w:tc>
          <w:tcPr>
            <w:tcW w:w="3080" w:type="dxa"/>
            <w:vAlign w:val="bottom"/>
          </w:tcPr>
          <w:p>
            <w:pPr>
              <w:jc w:val="center"/>
              <w:ind w:left="1571"/>
              <w:spacing w:after="0"/>
              <w:rPr>
                <w:sz w:val="20"/>
                <w:szCs w:val="20"/>
                <w:color w:val="auto"/>
              </w:rPr>
            </w:pPr>
            <w:r>
              <w:rPr>
                <w:rFonts w:ascii="Arial" w:cs="Arial" w:eastAsia="Arial" w:hAnsi="Arial"/>
                <w:sz w:val="18"/>
                <w:szCs w:val="18"/>
                <w:b w:val="1"/>
                <w:bCs w:val="1"/>
                <w:color w:val="auto"/>
                <w:w w:val="88"/>
              </w:rPr>
              <w:t>Subject to Options</w:t>
            </w:r>
          </w:p>
        </w:tc>
        <w:tc>
          <w:tcPr>
            <w:tcW w:w="1620" w:type="dxa"/>
            <w:vAlign w:val="bottom"/>
          </w:tcPr>
          <w:p>
            <w:pPr>
              <w:ind w:left="120"/>
              <w:spacing w:after="0"/>
              <w:rPr>
                <w:sz w:val="20"/>
                <w:szCs w:val="20"/>
                <w:color w:val="auto"/>
              </w:rPr>
            </w:pPr>
            <w:r>
              <w:rPr>
                <w:rFonts w:ascii="Arial" w:cs="Arial" w:eastAsia="Arial" w:hAnsi="Arial"/>
                <w:sz w:val="18"/>
                <w:szCs w:val="18"/>
                <w:b w:val="1"/>
                <w:bCs w:val="1"/>
                <w:color w:val="auto"/>
                <w:w w:val="90"/>
              </w:rPr>
              <w:t>Per Share Exercise</w:t>
            </w:r>
          </w:p>
        </w:tc>
        <w:tc>
          <w:tcPr>
            <w:tcW w:w="344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Fair Value per Share Fair Value of Options</w:t>
            </w:r>
          </w:p>
        </w:tc>
        <w:tc>
          <w:tcPr>
            <w:tcW w:w="20" w:type="dxa"/>
            <w:vAlign w:val="bottom"/>
          </w:tcPr>
          <w:p>
            <w:pPr>
              <w:spacing w:after="0"/>
              <w:rPr>
                <w:sz w:val="18"/>
                <w:szCs w:val="18"/>
                <w:color w:val="auto"/>
              </w:rPr>
            </w:pPr>
          </w:p>
        </w:tc>
      </w:tr>
      <w:tr>
        <w:trPr>
          <w:trHeight w:val="239"/>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3080" w:type="dxa"/>
            <w:vAlign w:val="bottom"/>
            <w:tcBorders>
              <w:bottom w:val="single" w:sz="8" w:color="auto"/>
            </w:tcBorders>
          </w:tcPr>
          <w:p>
            <w:pPr>
              <w:jc w:val="center"/>
              <w:ind w:left="1571"/>
              <w:spacing w:after="0"/>
              <w:rPr>
                <w:sz w:val="20"/>
                <w:szCs w:val="20"/>
                <w:color w:val="auto"/>
              </w:rPr>
            </w:pPr>
            <w:r>
              <w:rPr>
                <w:rFonts w:ascii="Arial" w:cs="Arial" w:eastAsia="Arial" w:hAnsi="Arial"/>
                <w:sz w:val="18"/>
                <w:szCs w:val="18"/>
                <w:b w:val="1"/>
                <w:bCs w:val="1"/>
                <w:color w:val="auto"/>
                <w:w w:val="95"/>
              </w:rPr>
              <w:t>Granted</w:t>
            </w:r>
          </w:p>
        </w:tc>
        <w:tc>
          <w:tcPr>
            <w:tcW w:w="16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Price of Options</w:t>
            </w:r>
          </w:p>
        </w:tc>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on Grant Date</w:t>
            </w:r>
          </w:p>
        </w:tc>
        <w:tc>
          <w:tcPr>
            <w:tcW w:w="1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on Grant Date</w:t>
            </w:r>
          </w:p>
        </w:tc>
        <w:tc>
          <w:tcPr>
            <w:tcW w:w="20" w:type="dxa"/>
            <w:vAlign w:val="bottom"/>
          </w:tcPr>
          <w:p>
            <w:pPr>
              <w:spacing w:after="0"/>
              <w:rPr>
                <w:sz w:val="20"/>
                <w:szCs w:val="20"/>
                <w:color w:val="auto"/>
              </w:rPr>
            </w:pPr>
          </w:p>
        </w:tc>
      </w:tr>
      <w:tr>
        <w:trPr>
          <w:trHeight w:val="200"/>
        </w:trPr>
        <w:tc>
          <w:tcPr>
            <w:tcW w:w="3100" w:type="dxa"/>
            <w:vAlign w:val="bottom"/>
          </w:tcPr>
          <w:p>
            <w:pPr>
              <w:spacing w:after="0" w:line="200" w:lineRule="exact"/>
              <w:rPr>
                <w:sz w:val="20"/>
                <w:szCs w:val="20"/>
                <w:color w:val="auto"/>
              </w:rPr>
            </w:pPr>
            <w:r>
              <w:rPr>
                <w:rFonts w:ascii="Arial" w:cs="Arial" w:eastAsia="Arial" w:hAnsi="Arial"/>
                <w:sz w:val="18"/>
                <w:szCs w:val="18"/>
                <w:color w:val="auto"/>
              </w:rPr>
              <w:t>January 7, 2019</w:t>
            </w:r>
          </w:p>
        </w:tc>
        <w:tc>
          <w:tcPr>
            <w:tcW w:w="3080" w:type="dxa"/>
            <w:vAlign w:val="bottom"/>
          </w:tcPr>
          <w:p>
            <w:pPr>
              <w:ind w:left="1660"/>
              <w:spacing w:after="0" w:line="200" w:lineRule="exact"/>
              <w:rPr>
                <w:sz w:val="20"/>
                <w:szCs w:val="20"/>
                <w:color w:val="auto"/>
              </w:rPr>
            </w:pPr>
            <w:r>
              <w:rPr>
                <w:rFonts w:ascii="Arial" w:cs="Arial" w:eastAsia="Arial" w:hAnsi="Arial"/>
                <w:sz w:val="18"/>
                <w:szCs w:val="18"/>
                <w:color w:val="auto"/>
              </w:rPr>
              <w:t>40,166</w:t>
            </w:r>
          </w:p>
        </w:tc>
        <w:tc>
          <w:tcPr>
            <w:tcW w:w="1620" w:type="dxa"/>
            <w:vAlign w:val="bottom"/>
          </w:tcPr>
          <w:p>
            <w:pPr>
              <w:spacing w:after="0" w:line="200" w:lineRule="exact"/>
              <w:rPr>
                <w:sz w:val="20"/>
                <w:szCs w:val="20"/>
                <w:color w:val="auto"/>
              </w:rPr>
            </w:pPr>
            <w:r>
              <w:rPr>
                <w:rFonts w:ascii="Arial" w:cs="Arial" w:eastAsia="Arial" w:hAnsi="Arial"/>
                <w:sz w:val="18"/>
                <w:szCs w:val="18"/>
                <w:color w:val="auto"/>
              </w:rPr>
              <w:t>$8.22</w:t>
            </w:r>
          </w:p>
        </w:tc>
        <w:tc>
          <w:tcPr>
            <w:tcW w:w="1600" w:type="dxa"/>
            <w:vAlign w:val="bottom"/>
          </w:tcPr>
          <w:p>
            <w:pPr>
              <w:ind w:left="80"/>
              <w:spacing w:after="0" w:line="200" w:lineRule="exact"/>
              <w:rPr>
                <w:sz w:val="20"/>
                <w:szCs w:val="20"/>
                <w:color w:val="auto"/>
              </w:rPr>
            </w:pPr>
            <w:r>
              <w:rPr>
                <w:rFonts w:ascii="Arial" w:cs="Arial" w:eastAsia="Arial" w:hAnsi="Arial"/>
                <w:sz w:val="18"/>
                <w:szCs w:val="18"/>
                <w:color w:val="auto"/>
              </w:rPr>
              <w:t>$4.28</w:t>
            </w:r>
          </w:p>
        </w:tc>
        <w:tc>
          <w:tcPr>
            <w:tcW w:w="1840" w:type="dxa"/>
            <w:vAlign w:val="bottom"/>
          </w:tcPr>
          <w:p>
            <w:pPr>
              <w:ind w:left="160"/>
              <w:spacing w:after="0" w:line="200" w:lineRule="exact"/>
              <w:rPr>
                <w:sz w:val="20"/>
                <w:szCs w:val="20"/>
                <w:color w:val="auto"/>
              </w:rPr>
            </w:pPr>
            <w:r>
              <w:rPr>
                <w:rFonts w:ascii="Arial" w:cs="Arial" w:eastAsia="Arial" w:hAnsi="Arial"/>
                <w:sz w:val="18"/>
                <w:szCs w:val="18"/>
                <w:color w:val="auto"/>
              </w:rPr>
              <w:t>$3.29</w:t>
            </w:r>
          </w:p>
        </w:tc>
        <w:tc>
          <w:tcPr>
            <w:tcW w:w="20" w:type="dxa"/>
            <w:vAlign w:val="bottom"/>
          </w:tcPr>
          <w:p>
            <w:pPr>
              <w:spacing w:after="0"/>
              <w:rPr>
                <w:sz w:val="17"/>
                <w:szCs w:val="17"/>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January 28,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12,172</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$4.28</w:t>
            </w:r>
          </w:p>
        </w:tc>
        <w:tc>
          <w:tcPr>
            <w:tcW w:w="1840" w:type="dxa"/>
            <w:vAlign w:val="bottom"/>
          </w:tcPr>
          <w:p>
            <w:pPr>
              <w:ind w:left="16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February 11,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2,434</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$4.28</w:t>
            </w:r>
          </w:p>
        </w:tc>
        <w:tc>
          <w:tcPr>
            <w:tcW w:w="1840" w:type="dxa"/>
            <w:vAlign w:val="bottom"/>
          </w:tcPr>
          <w:p>
            <w:pPr>
              <w:ind w:left="16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March 11,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6,086</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March 25,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8,520</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April 8,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4,869</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April 15,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37,734</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April 22,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29,822</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April 29,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21,909</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May 13,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4,869</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May 20,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13,389</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June 17,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120,483</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June 24,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4,868</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July 1,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52,332</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August 5,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8,520</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$5.34</w:t>
            </w:r>
          </w:p>
        </w:tc>
        <w:tc>
          <w:tcPr>
            <w:tcW w:w="1840" w:type="dxa"/>
            <w:vAlign w:val="bottom"/>
          </w:tcPr>
          <w:p>
            <w:pPr>
              <w:ind w:lef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August 26,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608</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$6.66</w:t>
            </w:r>
          </w:p>
        </w:tc>
        <w:tc>
          <w:tcPr>
            <w:tcW w:w="1840" w:type="dxa"/>
            <w:vAlign w:val="bottom"/>
          </w:tcPr>
          <w:p>
            <w:pPr>
              <w:ind w:left="16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September 30,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3,651</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$6.66</w:t>
            </w:r>
          </w:p>
        </w:tc>
        <w:tc>
          <w:tcPr>
            <w:tcW w:w="1840" w:type="dxa"/>
            <w:vAlign w:val="bottom"/>
          </w:tcPr>
          <w:p>
            <w:pPr>
              <w:ind w:left="16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October 21,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3,651</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$6.66</w:t>
            </w:r>
          </w:p>
        </w:tc>
        <w:tc>
          <w:tcPr>
            <w:tcW w:w="1840" w:type="dxa"/>
            <w:vAlign w:val="bottom"/>
          </w:tcPr>
          <w:p>
            <w:pPr>
              <w:ind w:left="16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October 28, 2019</w:t>
            </w:r>
          </w:p>
        </w:tc>
        <w:tc>
          <w:tcPr>
            <w:tcW w:w="3080" w:type="dxa"/>
            <w:vAlign w:val="bottom"/>
          </w:tcPr>
          <w:p>
            <w:pPr>
              <w:ind w:left="1660"/>
              <w:spacing w:after="0"/>
              <w:rPr>
                <w:sz w:val="20"/>
                <w:szCs w:val="20"/>
                <w:color w:val="auto"/>
              </w:rPr>
            </w:pPr>
            <w:r>
              <w:rPr>
                <w:rFonts w:ascii="Arial" w:cs="Arial" w:eastAsia="Arial" w:hAnsi="Arial"/>
                <w:sz w:val="18"/>
                <w:szCs w:val="18"/>
                <w:color w:val="auto"/>
              </w:rPr>
              <w:t>36,518</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$6.66</w:t>
            </w:r>
          </w:p>
        </w:tc>
        <w:tc>
          <w:tcPr>
            <w:tcW w:w="1840" w:type="dxa"/>
            <w:vAlign w:val="bottom"/>
          </w:tcPr>
          <w:p>
            <w:pPr>
              <w:ind w:left="16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January 1,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15,215</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January 13,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608</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January 22,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2,434</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February 26,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3,651</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March 1,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3,043</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March 2,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2,434</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March 4,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114,845</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March 16,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10,346</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March 23,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3,651</w:t>
            </w:r>
          </w:p>
        </w:tc>
        <w:tc>
          <w:tcPr>
            <w:tcW w:w="1620" w:type="dxa"/>
            <w:vAlign w:val="bottom"/>
          </w:tcPr>
          <w:p>
            <w:pPr>
              <w:spacing w:after="0"/>
              <w:rPr>
                <w:sz w:val="20"/>
                <w:szCs w:val="20"/>
                <w:color w:val="auto"/>
              </w:rPr>
            </w:pPr>
            <w:r>
              <w:rPr>
                <w:rFonts w:ascii="Arial" w:cs="Arial" w:eastAsia="Arial" w:hAnsi="Arial"/>
                <w:sz w:val="18"/>
                <w:szCs w:val="18"/>
                <w:color w:val="auto"/>
              </w:rPr>
              <w:t>$8.22</w:t>
            </w:r>
          </w:p>
        </w:tc>
        <w:tc>
          <w:tcPr>
            <w:tcW w:w="1600" w:type="dxa"/>
            <w:vAlign w:val="bottom"/>
          </w:tcPr>
          <w:p>
            <w:pPr>
              <w:ind w:left="80"/>
              <w:spacing w:after="0"/>
              <w:rPr>
                <w:sz w:val="20"/>
                <w:szCs w:val="20"/>
                <w:color w:val="auto"/>
              </w:rPr>
            </w:pPr>
            <w:r>
              <w:rPr>
                <w:rFonts w:ascii="Arial" w:cs="Arial" w:eastAsia="Arial" w:hAnsi="Arial"/>
                <w:sz w:val="18"/>
                <w:szCs w:val="18"/>
                <w:color w:val="auto"/>
              </w:rPr>
              <w:t>$7.15</w:t>
            </w:r>
          </w:p>
        </w:tc>
        <w:tc>
          <w:tcPr>
            <w:tcW w:w="1840" w:type="dxa"/>
            <w:vAlign w:val="bottom"/>
          </w:tcPr>
          <w:p>
            <w:pPr>
              <w:ind w:lef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May 7,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12,172</w:t>
            </w:r>
          </w:p>
        </w:tc>
        <w:tc>
          <w:tcPr>
            <w:tcW w:w="1620" w:type="dxa"/>
            <w:vAlign w:val="bottom"/>
          </w:tcPr>
          <w:p>
            <w:pPr>
              <w:spacing w:after="0"/>
              <w:rPr>
                <w:sz w:val="20"/>
                <w:szCs w:val="20"/>
                <w:color w:val="auto"/>
              </w:rPr>
            </w:pPr>
            <w:r>
              <w:rPr>
                <w:rFonts w:ascii="Arial" w:cs="Arial" w:eastAsia="Arial" w:hAnsi="Arial"/>
                <w:sz w:val="18"/>
                <w:szCs w:val="18"/>
                <w:color w:val="auto"/>
              </w:rPr>
              <w:t>$13.72</w:t>
            </w:r>
          </w:p>
        </w:tc>
        <w:tc>
          <w:tcPr>
            <w:tcW w:w="1600" w:type="dxa"/>
            <w:vAlign w:val="bottom"/>
          </w:tcPr>
          <w:p>
            <w:pPr>
              <w:ind w:left="80"/>
              <w:spacing w:after="0"/>
              <w:rPr>
                <w:sz w:val="20"/>
                <w:szCs w:val="20"/>
                <w:color w:val="auto"/>
              </w:rPr>
            </w:pPr>
            <w:r>
              <w:rPr>
                <w:rFonts w:ascii="Arial" w:cs="Arial" w:eastAsia="Arial" w:hAnsi="Arial"/>
                <w:sz w:val="18"/>
                <w:szCs w:val="18"/>
                <w:color w:val="auto"/>
              </w:rPr>
              <w:t>$13.72</w:t>
            </w:r>
          </w:p>
        </w:tc>
        <w:tc>
          <w:tcPr>
            <w:tcW w:w="1840" w:type="dxa"/>
            <w:vAlign w:val="bottom"/>
          </w:tcPr>
          <w:p>
            <w:pPr>
              <w:ind w:left="160"/>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June 23,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9,129</w:t>
            </w:r>
          </w:p>
        </w:tc>
        <w:tc>
          <w:tcPr>
            <w:tcW w:w="1620" w:type="dxa"/>
            <w:vAlign w:val="bottom"/>
          </w:tcPr>
          <w:p>
            <w:pPr>
              <w:spacing w:after="0"/>
              <w:rPr>
                <w:sz w:val="20"/>
                <w:szCs w:val="20"/>
                <w:color w:val="auto"/>
              </w:rPr>
            </w:pPr>
            <w:r>
              <w:rPr>
                <w:rFonts w:ascii="Arial" w:cs="Arial" w:eastAsia="Arial" w:hAnsi="Arial"/>
                <w:sz w:val="18"/>
                <w:szCs w:val="18"/>
                <w:color w:val="auto"/>
              </w:rPr>
              <w:t>$13.72</w:t>
            </w:r>
          </w:p>
        </w:tc>
        <w:tc>
          <w:tcPr>
            <w:tcW w:w="1600" w:type="dxa"/>
            <w:vAlign w:val="bottom"/>
          </w:tcPr>
          <w:p>
            <w:pPr>
              <w:ind w:left="80"/>
              <w:spacing w:after="0"/>
              <w:rPr>
                <w:sz w:val="20"/>
                <w:szCs w:val="20"/>
                <w:color w:val="auto"/>
              </w:rPr>
            </w:pPr>
            <w:r>
              <w:rPr>
                <w:rFonts w:ascii="Arial" w:cs="Arial" w:eastAsia="Arial" w:hAnsi="Arial"/>
                <w:sz w:val="18"/>
                <w:szCs w:val="18"/>
                <w:color w:val="auto"/>
              </w:rPr>
              <w:t>$13.72</w:t>
            </w:r>
          </w:p>
        </w:tc>
        <w:tc>
          <w:tcPr>
            <w:tcW w:w="1840" w:type="dxa"/>
            <w:vAlign w:val="bottom"/>
          </w:tcPr>
          <w:p>
            <w:pPr>
              <w:ind w:left="160"/>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August 18,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2,560,230</w:t>
            </w:r>
          </w:p>
        </w:tc>
        <w:tc>
          <w:tcPr>
            <w:tcW w:w="1620" w:type="dxa"/>
            <w:vAlign w:val="bottom"/>
          </w:tcPr>
          <w:p>
            <w:pPr>
              <w:spacing w:after="0"/>
              <w:rPr>
                <w:sz w:val="20"/>
                <w:szCs w:val="20"/>
                <w:color w:val="auto"/>
              </w:rPr>
            </w:pPr>
            <w:r>
              <w:rPr>
                <w:rFonts w:ascii="Arial" w:cs="Arial" w:eastAsia="Arial" w:hAnsi="Arial"/>
                <w:sz w:val="18"/>
                <w:szCs w:val="18"/>
                <w:color w:val="auto"/>
              </w:rPr>
              <w:t>$24.00</w:t>
            </w:r>
          </w:p>
        </w:tc>
        <w:tc>
          <w:tcPr>
            <w:tcW w:w="1600" w:type="dxa"/>
            <w:vAlign w:val="bottom"/>
          </w:tcPr>
          <w:p>
            <w:pPr>
              <w:ind w:left="80"/>
              <w:spacing w:after="0"/>
              <w:rPr>
                <w:sz w:val="20"/>
                <w:szCs w:val="20"/>
                <w:color w:val="auto"/>
              </w:rPr>
            </w:pPr>
            <w:r>
              <w:rPr>
                <w:rFonts w:ascii="Arial" w:cs="Arial" w:eastAsia="Arial" w:hAnsi="Arial"/>
                <w:sz w:val="18"/>
                <w:szCs w:val="18"/>
                <w:color w:val="auto"/>
              </w:rPr>
              <w:t>$24.00</w:t>
            </w:r>
          </w:p>
        </w:tc>
        <w:tc>
          <w:tcPr>
            <w:tcW w:w="1840" w:type="dxa"/>
            <w:vAlign w:val="bottom"/>
          </w:tcPr>
          <w:p>
            <w:pPr>
              <w:ind w:left="160"/>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August 18,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65,248</w:t>
            </w:r>
          </w:p>
        </w:tc>
        <w:tc>
          <w:tcPr>
            <w:tcW w:w="1620" w:type="dxa"/>
            <w:vAlign w:val="bottom"/>
          </w:tcPr>
          <w:p>
            <w:pPr>
              <w:spacing w:after="0"/>
              <w:rPr>
                <w:sz w:val="20"/>
                <w:szCs w:val="20"/>
                <w:color w:val="auto"/>
              </w:rPr>
            </w:pPr>
            <w:r>
              <w:rPr>
                <w:rFonts w:ascii="Arial" w:cs="Arial" w:eastAsia="Arial" w:hAnsi="Arial"/>
                <w:sz w:val="18"/>
                <w:szCs w:val="18"/>
                <w:color w:val="auto"/>
              </w:rPr>
              <w:t>$24.00</w:t>
            </w:r>
          </w:p>
        </w:tc>
        <w:tc>
          <w:tcPr>
            <w:tcW w:w="1600" w:type="dxa"/>
            <w:vAlign w:val="bottom"/>
          </w:tcPr>
          <w:p>
            <w:pPr>
              <w:ind w:left="80"/>
              <w:spacing w:after="0"/>
              <w:rPr>
                <w:sz w:val="20"/>
                <w:szCs w:val="20"/>
                <w:color w:val="auto"/>
              </w:rPr>
            </w:pPr>
            <w:r>
              <w:rPr>
                <w:rFonts w:ascii="Arial" w:cs="Arial" w:eastAsia="Arial" w:hAnsi="Arial"/>
                <w:sz w:val="18"/>
                <w:szCs w:val="18"/>
                <w:color w:val="auto"/>
              </w:rPr>
              <w:t>$24.00</w:t>
            </w:r>
          </w:p>
        </w:tc>
        <w:tc>
          <w:tcPr>
            <w:tcW w:w="1840" w:type="dxa"/>
            <w:vAlign w:val="bottom"/>
          </w:tcPr>
          <w:p>
            <w:pPr>
              <w:ind w:left="160"/>
              <w:spacing w:after="0"/>
              <w:rPr>
                <w:sz w:val="20"/>
                <w:szCs w:val="20"/>
                <w:color w:val="auto"/>
              </w:rPr>
            </w:pPr>
            <w:r>
              <w:rPr>
                <w:rFonts w:ascii="Arial" w:cs="Arial" w:eastAsia="Arial" w:hAnsi="Arial"/>
                <w:sz w:val="18"/>
                <w:szCs w:val="18"/>
                <w:color w:val="auto"/>
              </w:rPr>
              <w:t>$13.87</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November 5,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34,078</w:t>
            </w:r>
          </w:p>
        </w:tc>
        <w:tc>
          <w:tcPr>
            <w:tcW w:w="1620" w:type="dxa"/>
            <w:vAlign w:val="bottom"/>
          </w:tcPr>
          <w:p>
            <w:pPr>
              <w:spacing w:after="0"/>
              <w:rPr>
                <w:sz w:val="20"/>
                <w:szCs w:val="20"/>
                <w:color w:val="auto"/>
              </w:rPr>
            </w:pPr>
            <w:r>
              <w:rPr>
                <w:rFonts w:ascii="Arial" w:cs="Arial" w:eastAsia="Arial" w:hAnsi="Arial"/>
                <w:sz w:val="18"/>
                <w:szCs w:val="18"/>
                <w:color w:val="auto"/>
              </w:rPr>
              <w:t>$47.77</w:t>
            </w:r>
          </w:p>
        </w:tc>
        <w:tc>
          <w:tcPr>
            <w:tcW w:w="1600" w:type="dxa"/>
            <w:vAlign w:val="bottom"/>
          </w:tcPr>
          <w:p>
            <w:pPr>
              <w:ind w:left="80"/>
              <w:spacing w:after="0"/>
              <w:rPr>
                <w:sz w:val="20"/>
                <w:szCs w:val="20"/>
                <w:color w:val="auto"/>
              </w:rPr>
            </w:pPr>
            <w:r>
              <w:rPr>
                <w:rFonts w:ascii="Arial" w:cs="Arial" w:eastAsia="Arial" w:hAnsi="Arial"/>
                <w:sz w:val="18"/>
                <w:szCs w:val="18"/>
                <w:color w:val="auto"/>
              </w:rPr>
              <w:t>$47.77</w:t>
            </w:r>
          </w:p>
        </w:tc>
        <w:tc>
          <w:tcPr>
            <w:tcW w:w="1840" w:type="dxa"/>
            <w:vAlign w:val="bottom"/>
          </w:tcPr>
          <w:p>
            <w:pPr>
              <w:ind w:left="160"/>
              <w:spacing w:after="0"/>
              <w:rPr>
                <w:sz w:val="20"/>
                <w:szCs w:val="20"/>
                <w:color w:val="auto"/>
              </w:rPr>
            </w:pPr>
            <w:r>
              <w:rPr>
                <w:rFonts w:ascii="Arial" w:cs="Arial" w:eastAsia="Arial" w:hAnsi="Arial"/>
                <w:sz w:val="18"/>
                <w:szCs w:val="18"/>
                <w:color w:val="auto"/>
              </w:rPr>
              <w:t>$26.46</w:t>
            </w:r>
          </w:p>
        </w:tc>
        <w:tc>
          <w:tcPr>
            <w:tcW w:w="20" w:type="dxa"/>
            <w:vAlign w:val="bottom"/>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November 11,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9,208</w:t>
            </w:r>
          </w:p>
        </w:tc>
        <w:tc>
          <w:tcPr>
            <w:tcW w:w="1620" w:type="dxa"/>
            <w:vAlign w:val="bottom"/>
          </w:tcPr>
          <w:p>
            <w:pPr>
              <w:spacing w:after="0"/>
              <w:rPr>
                <w:sz w:val="20"/>
                <w:szCs w:val="20"/>
                <w:color w:val="auto"/>
              </w:rPr>
            </w:pPr>
            <w:r>
              <w:rPr>
                <w:rFonts w:ascii="Arial" w:cs="Arial" w:eastAsia="Arial" w:hAnsi="Arial"/>
                <w:sz w:val="18"/>
                <w:szCs w:val="18"/>
                <w:color w:val="auto"/>
              </w:rPr>
              <w:t>$47.47</w:t>
            </w:r>
          </w:p>
        </w:tc>
        <w:tc>
          <w:tcPr>
            <w:tcW w:w="1600" w:type="dxa"/>
            <w:vAlign w:val="bottom"/>
          </w:tcPr>
          <w:p>
            <w:pPr>
              <w:ind w:left="80"/>
              <w:spacing w:after="0"/>
              <w:rPr>
                <w:sz w:val="20"/>
                <w:szCs w:val="20"/>
                <w:color w:val="auto"/>
              </w:rPr>
            </w:pPr>
            <w:r>
              <w:rPr>
                <w:rFonts w:ascii="Arial" w:cs="Arial" w:eastAsia="Arial" w:hAnsi="Arial"/>
                <w:sz w:val="18"/>
                <w:szCs w:val="18"/>
                <w:color w:val="auto"/>
              </w:rPr>
              <w:t>$47.47</w:t>
            </w:r>
          </w:p>
        </w:tc>
        <w:tc>
          <w:tcPr>
            <w:tcW w:w="1840" w:type="dxa"/>
            <w:vAlign w:val="bottom"/>
          </w:tcPr>
          <w:p>
            <w:pPr>
              <w:ind w:left="160"/>
              <w:spacing w:after="0"/>
              <w:rPr>
                <w:sz w:val="20"/>
                <w:szCs w:val="20"/>
                <w:color w:val="auto"/>
              </w:rPr>
            </w:pPr>
            <w:r>
              <w:rPr>
                <w:rFonts w:ascii="Arial" w:cs="Arial" w:eastAsia="Arial" w:hAnsi="Arial"/>
                <w:sz w:val="18"/>
                <w:szCs w:val="18"/>
                <w:color w:val="auto"/>
              </w:rPr>
              <w:t>$27.15</w:t>
            </w:r>
          </w:p>
        </w:tc>
        <w:tc>
          <w:tcPr>
            <w:tcW w:w="20" w:type="dxa"/>
            <w:vAlign w:val="bottom"/>
          </w:tcPr>
          <w:p>
            <w:pPr>
              <w:spacing w:after="0"/>
              <w:rPr>
                <w:sz w:val="18"/>
                <w:szCs w:val="18"/>
                <w:color w:val="auto"/>
              </w:rPr>
            </w:pPr>
          </w:p>
        </w:tc>
      </w:tr>
      <w:tr>
        <w:trPr>
          <w:trHeight w:val="227"/>
        </w:trPr>
        <w:tc>
          <w:tcPr>
            <w:tcW w:w="3100" w:type="dxa"/>
            <w:vAlign w:val="bottom"/>
          </w:tcPr>
          <w:p>
            <w:pPr>
              <w:spacing w:after="0"/>
              <w:rPr>
                <w:sz w:val="20"/>
                <w:szCs w:val="20"/>
                <w:color w:val="auto"/>
              </w:rPr>
            </w:pPr>
            <w:r>
              <w:rPr>
                <w:rFonts w:ascii="Arial" w:cs="Arial" w:eastAsia="Arial" w:hAnsi="Arial"/>
                <w:sz w:val="18"/>
                <w:szCs w:val="18"/>
                <w:color w:val="auto"/>
              </w:rPr>
              <w:t>December 10, 2020</w:t>
            </w:r>
          </w:p>
        </w:tc>
        <w:tc>
          <w:tcPr>
            <w:tcW w:w="3080" w:type="dxa"/>
            <w:vAlign w:val="bottom"/>
          </w:tcPr>
          <w:p>
            <w:pPr>
              <w:ind w:left="1660"/>
              <w:spacing w:after="0"/>
              <w:rPr>
                <w:sz w:val="20"/>
                <w:szCs w:val="20"/>
                <w:color w:val="auto"/>
              </w:rPr>
            </w:pPr>
            <w:r>
              <w:rPr>
                <w:rFonts w:ascii="Arial" w:cs="Arial" w:eastAsia="Arial" w:hAnsi="Arial"/>
                <w:sz w:val="18"/>
                <w:szCs w:val="18"/>
                <w:color w:val="auto"/>
              </w:rPr>
              <w:t>179,979</w:t>
            </w:r>
          </w:p>
        </w:tc>
        <w:tc>
          <w:tcPr>
            <w:tcW w:w="1620" w:type="dxa"/>
            <w:vAlign w:val="bottom"/>
          </w:tcPr>
          <w:p>
            <w:pPr>
              <w:spacing w:after="0"/>
              <w:rPr>
                <w:sz w:val="20"/>
                <w:szCs w:val="20"/>
                <w:color w:val="auto"/>
              </w:rPr>
            </w:pPr>
            <w:r>
              <w:rPr>
                <w:rFonts w:ascii="Arial" w:cs="Arial" w:eastAsia="Arial" w:hAnsi="Arial"/>
                <w:sz w:val="18"/>
                <w:szCs w:val="18"/>
                <w:color w:val="auto"/>
              </w:rPr>
              <w:t>$42.88</w:t>
            </w:r>
          </w:p>
        </w:tc>
        <w:tc>
          <w:tcPr>
            <w:tcW w:w="1600" w:type="dxa"/>
            <w:vAlign w:val="bottom"/>
          </w:tcPr>
          <w:p>
            <w:pPr>
              <w:ind w:left="80"/>
              <w:spacing w:after="0"/>
              <w:rPr>
                <w:sz w:val="20"/>
                <w:szCs w:val="20"/>
                <w:color w:val="auto"/>
              </w:rPr>
            </w:pPr>
            <w:r>
              <w:rPr>
                <w:rFonts w:ascii="Arial" w:cs="Arial" w:eastAsia="Arial" w:hAnsi="Arial"/>
                <w:sz w:val="18"/>
                <w:szCs w:val="18"/>
                <w:color w:val="auto"/>
              </w:rPr>
              <w:t>$42.88</w:t>
            </w:r>
          </w:p>
        </w:tc>
        <w:tc>
          <w:tcPr>
            <w:tcW w:w="1840" w:type="dxa"/>
            <w:vAlign w:val="bottom"/>
          </w:tcPr>
          <w:p>
            <w:pPr>
              <w:ind w:left="160"/>
              <w:spacing w:after="0"/>
              <w:rPr>
                <w:sz w:val="20"/>
                <w:szCs w:val="20"/>
                <w:color w:val="auto"/>
              </w:rPr>
            </w:pPr>
            <w:r>
              <w:rPr>
                <w:rFonts w:ascii="Arial" w:cs="Arial" w:eastAsia="Arial" w:hAnsi="Arial"/>
                <w:sz w:val="18"/>
                <w:szCs w:val="18"/>
                <w:color w:val="auto"/>
              </w:rPr>
              <w:t>$23.80</w:t>
            </w:r>
          </w:p>
        </w:tc>
        <w:tc>
          <w:tcPr>
            <w:tcW w:w="20" w:type="dxa"/>
            <w:vAlign w:val="bottom"/>
          </w:tcPr>
          <w:p>
            <w:pPr>
              <w:spacing w:after="0"/>
              <w:rPr>
                <w:sz w:val="19"/>
                <w:szCs w:val="19"/>
                <w:color w:val="auto"/>
              </w:rPr>
            </w:pPr>
          </w:p>
        </w:tc>
      </w:tr>
      <w:tr>
        <w:trPr>
          <w:trHeight w:val="669"/>
        </w:trPr>
        <w:tc>
          <w:tcPr>
            <w:tcW w:w="3100" w:type="dxa"/>
            <w:vAlign w:val="bottom"/>
          </w:tcPr>
          <w:p>
            <w:pPr>
              <w:spacing w:after="0"/>
              <w:rPr>
                <w:sz w:val="24"/>
                <w:szCs w:val="24"/>
                <w:color w:val="auto"/>
              </w:rPr>
            </w:pPr>
          </w:p>
        </w:tc>
        <w:tc>
          <w:tcPr>
            <w:tcW w:w="3080" w:type="dxa"/>
            <w:vAlign w:val="bottom"/>
          </w:tcPr>
          <w:p>
            <w:pPr>
              <w:ind w:left="2620"/>
              <w:spacing w:after="0"/>
              <w:rPr>
                <w:sz w:val="20"/>
                <w:szCs w:val="20"/>
                <w:color w:val="auto"/>
              </w:rPr>
            </w:pPr>
            <w:r>
              <w:rPr>
                <w:rFonts w:ascii="Arial" w:cs="Arial" w:eastAsia="Arial" w:hAnsi="Arial"/>
                <w:sz w:val="18"/>
                <w:szCs w:val="18"/>
                <w:color w:val="auto"/>
              </w:rPr>
              <w:t>115</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Granted</w:t>
      </w:r>
    </w:p>
    <w:p>
      <w:pPr>
        <w:spacing w:after="0" w:line="194" w:lineRule="exact"/>
        <w:rPr>
          <w:sz w:val="20"/>
          <w:szCs w:val="20"/>
          <w:color w:val="auto"/>
        </w:rPr>
      </w:pPr>
    </w:p>
    <w:p>
      <w:pPr>
        <w:ind w:right="80" w:firstLine="896"/>
        <w:spacing w:after="0" w:line="259" w:lineRule="auto"/>
        <w:rPr>
          <w:sz w:val="20"/>
          <w:szCs w:val="20"/>
          <w:color w:val="auto"/>
        </w:rPr>
      </w:pPr>
      <w:r>
        <w:rPr>
          <w:rFonts w:ascii="Arial" w:cs="Arial" w:eastAsia="Arial" w:hAnsi="Arial"/>
          <w:sz w:val="18"/>
          <w:szCs w:val="18"/>
          <w:color w:val="auto"/>
        </w:rPr>
        <w:t>The following table sets forth by grant date the number of shares of common stock subject to stock appreciation rights, or SARs, granted from January 1, 2019 through December 31, 2020, the per share base price of the SARs, the per share fair value of the shares of common stock on each grant date and the per share estimated fair value of the SARs on each grant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80" w:type="dxa"/>
            <w:vAlign w:val="bottom"/>
          </w:tcPr>
          <w:p>
            <w:pPr>
              <w:spacing w:after="0"/>
              <w:rPr>
                <w:sz w:val="18"/>
                <w:szCs w:val="18"/>
                <w:color w:val="auto"/>
              </w:rPr>
            </w:pPr>
          </w:p>
        </w:tc>
        <w:tc>
          <w:tcPr>
            <w:tcW w:w="3040" w:type="dxa"/>
            <w:vAlign w:val="bottom"/>
          </w:tcPr>
          <w:p>
            <w:pPr>
              <w:jc w:val="center"/>
              <w:ind w:left="1491"/>
              <w:spacing w:after="0"/>
              <w:rPr>
                <w:sz w:val="20"/>
                <w:szCs w:val="20"/>
                <w:color w:val="auto"/>
              </w:rPr>
            </w:pPr>
            <w:r>
              <w:rPr>
                <w:rFonts w:ascii="Arial" w:cs="Arial" w:eastAsia="Arial" w:hAnsi="Arial"/>
                <w:sz w:val="18"/>
                <w:szCs w:val="18"/>
                <w:b w:val="1"/>
                <w:bCs w:val="1"/>
                <w:color w:val="auto"/>
                <w:w w:val="88"/>
              </w:rPr>
              <w:t>Number of Shares</w:t>
            </w: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80" w:type="dxa"/>
            <w:vAlign w:val="bottom"/>
          </w:tcPr>
          <w:p>
            <w:pPr>
              <w:jc w:val="center"/>
              <w:ind w:left="171"/>
              <w:spacing w:after="0"/>
              <w:rPr>
                <w:sz w:val="20"/>
                <w:szCs w:val="20"/>
                <w:color w:val="auto"/>
              </w:rPr>
            </w:pPr>
            <w:r>
              <w:rPr>
                <w:rFonts w:ascii="Arial" w:cs="Arial" w:eastAsia="Arial" w:hAnsi="Arial"/>
                <w:sz w:val="18"/>
                <w:szCs w:val="18"/>
                <w:b w:val="1"/>
                <w:bCs w:val="1"/>
                <w:color w:val="auto"/>
                <w:w w:val="90"/>
              </w:rPr>
              <w:t>Per Share Estimated</w:t>
            </w:r>
          </w:p>
        </w:tc>
      </w:tr>
      <w:tr>
        <w:trPr>
          <w:trHeight w:val="214"/>
        </w:trPr>
        <w:tc>
          <w:tcPr>
            <w:tcW w:w="2680" w:type="dxa"/>
            <w:vAlign w:val="bottom"/>
          </w:tcPr>
          <w:p>
            <w:pPr>
              <w:spacing w:after="0"/>
              <w:rPr>
                <w:sz w:val="18"/>
                <w:szCs w:val="18"/>
                <w:color w:val="auto"/>
              </w:rPr>
            </w:pPr>
          </w:p>
        </w:tc>
        <w:tc>
          <w:tcPr>
            <w:tcW w:w="3040" w:type="dxa"/>
            <w:vAlign w:val="bottom"/>
          </w:tcPr>
          <w:p>
            <w:pPr>
              <w:jc w:val="center"/>
              <w:ind w:left="1471"/>
              <w:spacing w:after="0"/>
              <w:rPr>
                <w:sz w:val="20"/>
                <w:szCs w:val="20"/>
                <w:color w:val="auto"/>
              </w:rPr>
            </w:pPr>
            <w:r>
              <w:rPr>
                <w:rFonts w:ascii="Arial" w:cs="Arial" w:eastAsia="Arial" w:hAnsi="Arial"/>
                <w:sz w:val="18"/>
                <w:szCs w:val="18"/>
                <w:b w:val="1"/>
                <w:bCs w:val="1"/>
                <w:color w:val="auto"/>
                <w:w w:val="88"/>
              </w:rPr>
              <w:t>Subject to SARs</w:t>
            </w:r>
          </w:p>
        </w:tc>
        <w:tc>
          <w:tcPr>
            <w:tcW w:w="5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Per Share Base Price of Fair Value per Share on Fair Value of SARs on</w:t>
            </w:r>
          </w:p>
        </w:tc>
      </w:tr>
      <w:tr>
        <w:trPr>
          <w:trHeight w:val="239"/>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3040" w:type="dxa"/>
            <w:vAlign w:val="bottom"/>
            <w:tcBorders>
              <w:bottom w:val="single" w:sz="8" w:color="auto"/>
            </w:tcBorders>
          </w:tcPr>
          <w:p>
            <w:pPr>
              <w:jc w:val="center"/>
              <w:ind w:left="1491"/>
              <w:spacing w:after="0"/>
              <w:rPr>
                <w:sz w:val="20"/>
                <w:szCs w:val="20"/>
                <w:color w:val="auto"/>
              </w:rPr>
            </w:pPr>
            <w:r>
              <w:rPr>
                <w:rFonts w:ascii="Arial" w:cs="Arial" w:eastAsia="Arial" w:hAnsi="Arial"/>
                <w:sz w:val="18"/>
                <w:szCs w:val="18"/>
                <w:b w:val="1"/>
                <w:bCs w:val="1"/>
                <w:color w:val="auto"/>
                <w:w w:val="95"/>
              </w:rPr>
              <w:t>Granted</w:t>
            </w:r>
          </w:p>
        </w:tc>
        <w:tc>
          <w:tcPr>
            <w:tcW w:w="15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SARs</w:t>
            </w:r>
          </w:p>
        </w:tc>
        <w:tc>
          <w:tcPr>
            <w:tcW w:w="1940" w:type="dxa"/>
            <w:vAlign w:val="bottom"/>
            <w:tcBorders>
              <w:bottom w:val="single" w:sz="8" w:color="auto"/>
            </w:tcBorders>
          </w:tcPr>
          <w:p>
            <w:pPr>
              <w:jc w:val="center"/>
              <w:ind w:left="511"/>
              <w:spacing w:after="0"/>
              <w:rPr>
                <w:sz w:val="20"/>
                <w:szCs w:val="20"/>
                <w:color w:val="auto"/>
              </w:rPr>
            </w:pPr>
            <w:r>
              <w:rPr>
                <w:rFonts w:ascii="Arial" w:cs="Arial" w:eastAsia="Arial" w:hAnsi="Arial"/>
                <w:sz w:val="18"/>
                <w:szCs w:val="18"/>
                <w:b w:val="1"/>
                <w:bCs w:val="1"/>
                <w:color w:val="auto"/>
                <w:w w:val="93"/>
              </w:rPr>
              <w:t>Grant Date</w:t>
            </w:r>
          </w:p>
        </w:tc>
        <w:tc>
          <w:tcPr>
            <w:tcW w:w="208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b w:val="1"/>
                <w:bCs w:val="1"/>
                <w:color w:val="auto"/>
                <w:w w:val="93"/>
              </w:rPr>
              <w:t>Grant Date</w:t>
            </w:r>
          </w:p>
        </w:tc>
      </w:tr>
      <w:tr>
        <w:trPr>
          <w:trHeight w:val="200"/>
        </w:trPr>
        <w:tc>
          <w:tcPr>
            <w:tcW w:w="2680" w:type="dxa"/>
            <w:vAlign w:val="bottom"/>
          </w:tcPr>
          <w:p>
            <w:pPr>
              <w:spacing w:after="0" w:line="200" w:lineRule="exact"/>
              <w:rPr>
                <w:sz w:val="20"/>
                <w:szCs w:val="20"/>
                <w:color w:val="auto"/>
              </w:rPr>
            </w:pPr>
            <w:r>
              <w:rPr>
                <w:rFonts w:ascii="Arial" w:cs="Arial" w:eastAsia="Arial" w:hAnsi="Arial"/>
                <w:sz w:val="18"/>
                <w:szCs w:val="18"/>
                <w:color w:val="auto"/>
              </w:rPr>
              <w:t>January 7, 2019</w:t>
            </w:r>
          </w:p>
        </w:tc>
        <w:tc>
          <w:tcPr>
            <w:tcW w:w="3040" w:type="dxa"/>
            <w:vAlign w:val="bottom"/>
          </w:tcPr>
          <w:p>
            <w:pPr>
              <w:ind w:left="1540"/>
              <w:spacing w:after="0" w:line="200" w:lineRule="exact"/>
              <w:rPr>
                <w:sz w:val="20"/>
                <w:szCs w:val="20"/>
                <w:color w:val="auto"/>
              </w:rPr>
            </w:pPr>
            <w:r>
              <w:rPr>
                <w:rFonts w:ascii="Arial" w:cs="Arial" w:eastAsia="Arial" w:hAnsi="Arial"/>
                <w:sz w:val="18"/>
                <w:szCs w:val="18"/>
                <w:color w:val="auto"/>
              </w:rPr>
              <w:t>40,165</w:t>
            </w:r>
          </w:p>
        </w:tc>
        <w:tc>
          <w:tcPr>
            <w:tcW w:w="1500" w:type="dxa"/>
            <w:vAlign w:val="bottom"/>
          </w:tcPr>
          <w:p>
            <w:pPr>
              <w:ind w:left="40"/>
              <w:spacing w:after="0" w:line="200" w:lineRule="exact"/>
              <w:rPr>
                <w:sz w:val="20"/>
                <w:szCs w:val="20"/>
                <w:color w:val="auto"/>
              </w:rPr>
            </w:pPr>
            <w:r>
              <w:rPr>
                <w:rFonts w:ascii="Arial" w:cs="Arial" w:eastAsia="Arial" w:hAnsi="Arial"/>
                <w:sz w:val="18"/>
                <w:szCs w:val="18"/>
                <w:color w:val="auto"/>
              </w:rPr>
              <w:t>$8.22</w:t>
            </w:r>
          </w:p>
        </w:tc>
        <w:tc>
          <w:tcPr>
            <w:tcW w:w="1940" w:type="dxa"/>
            <w:vAlign w:val="bottom"/>
          </w:tcPr>
          <w:p>
            <w:pPr>
              <w:ind w:left="360"/>
              <w:spacing w:after="0" w:line="200" w:lineRule="exact"/>
              <w:rPr>
                <w:sz w:val="20"/>
                <w:szCs w:val="20"/>
                <w:color w:val="auto"/>
              </w:rPr>
            </w:pPr>
            <w:r>
              <w:rPr>
                <w:rFonts w:ascii="Arial" w:cs="Arial" w:eastAsia="Arial" w:hAnsi="Arial"/>
                <w:sz w:val="18"/>
                <w:szCs w:val="18"/>
                <w:color w:val="auto"/>
              </w:rPr>
              <w:t>$4.28</w:t>
            </w:r>
          </w:p>
        </w:tc>
        <w:tc>
          <w:tcPr>
            <w:tcW w:w="2080" w:type="dxa"/>
            <w:vAlign w:val="bottom"/>
          </w:tcPr>
          <w:p>
            <w:pPr>
              <w:ind w:left="240"/>
              <w:spacing w:after="0" w:line="200" w:lineRule="exact"/>
              <w:rPr>
                <w:sz w:val="20"/>
                <w:szCs w:val="20"/>
                <w:color w:val="auto"/>
              </w:rPr>
            </w:pPr>
            <w:r>
              <w:rPr>
                <w:rFonts w:ascii="Arial" w:cs="Arial" w:eastAsia="Arial" w:hAnsi="Arial"/>
                <w:sz w:val="18"/>
                <w:szCs w:val="18"/>
                <w:color w:val="auto"/>
              </w:rPr>
              <w:t>$3.29</w:t>
            </w:r>
          </w:p>
        </w:tc>
      </w:tr>
      <w:tr>
        <w:trPr>
          <w:trHeight w:val="214"/>
        </w:trPr>
        <w:tc>
          <w:tcPr>
            <w:tcW w:w="2680" w:type="dxa"/>
            <w:vAlign w:val="bottom"/>
          </w:tcPr>
          <w:p>
            <w:pPr>
              <w:spacing w:after="0"/>
              <w:rPr>
                <w:sz w:val="20"/>
                <w:szCs w:val="20"/>
                <w:color w:val="auto"/>
              </w:rPr>
            </w:pPr>
            <w:r>
              <w:rPr>
                <w:rFonts w:ascii="Arial" w:cs="Arial" w:eastAsia="Arial" w:hAnsi="Arial"/>
                <w:sz w:val="18"/>
                <w:szCs w:val="18"/>
                <w:color w:val="auto"/>
              </w:rPr>
              <w:t>April 22, 2019</w:t>
            </w:r>
          </w:p>
        </w:tc>
        <w:tc>
          <w:tcPr>
            <w:tcW w:w="3040" w:type="dxa"/>
            <w:vAlign w:val="bottom"/>
          </w:tcPr>
          <w:p>
            <w:pPr>
              <w:ind w:left="1540"/>
              <w:spacing w:after="0"/>
              <w:rPr>
                <w:sz w:val="20"/>
                <w:szCs w:val="20"/>
                <w:color w:val="auto"/>
              </w:rPr>
            </w:pPr>
            <w:r>
              <w:rPr>
                <w:rFonts w:ascii="Arial" w:cs="Arial" w:eastAsia="Arial" w:hAnsi="Arial"/>
                <w:sz w:val="18"/>
                <w:szCs w:val="18"/>
                <w:color w:val="auto"/>
              </w:rPr>
              <w:t>6,086</w:t>
            </w:r>
          </w:p>
        </w:tc>
        <w:tc>
          <w:tcPr>
            <w:tcW w:w="1500" w:type="dxa"/>
            <w:vAlign w:val="bottom"/>
          </w:tcPr>
          <w:p>
            <w:pPr>
              <w:ind w:left="40"/>
              <w:spacing w:after="0"/>
              <w:rPr>
                <w:sz w:val="20"/>
                <w:szCs w:val="20"/>
                <w:color w:val="auto"/>
              </w:rPr>
            </w:pPr>
            <w:r>
              <w:rPr>
                <w:rFonts w:ascii="Arial" w:cs="Arial" w:eastAsia="Arial" w:hAnsi="Arial"/>
                <w:sz w:val="18"/>
                <w:szCs w:val="18"/>
                <w:color w:val="auto"/>
              </w:rPr>
              <w:t>$8.22</w:t>
            </w:r>
          </w:p>
        </w:tc>
        <w:tc>
          <w:tcPr>
            <w:tcW w:w="1940" w:type="dxa"/>
            <w:vAlign w:val="bottom"/>
          </w:tcPr>
          <w:p>
            <w:pPr>
              <w:ind w:left="360"/>
              <w:spacing w:after="0"/>
              <w:rPr>
                <w:sz w:val="20"/>
                <w:szCs w:val="20"/>
                <w:color w:val="auto"/>
              </w:rPr>
            </w:pPr>
            <w:r>
              <w:rPr>
                <w:rFonts w:ascii="Arial" w:cs="Arial" w:eastAsia="Arial" w:hAnsi="Arial"/>
                <w:sz w:val="18"/>
                <w:szCs w:val="18"/>
                <w:color w:val="auto"/>
              </w:rPr>
              <w:t>$5.34</w:t>
            </w:r>
          </w:p>
        </w:tc>
        <w:tc>
          <w:tcPr>
            <w:tcW w:w="2080" w:type="dxa"/>
            <w:vAlign w:val="bottom"/>
          </w:tcPr>
          <w:p>
            <w:pPr>
              <w:ind w:left="240"/>
              <w:spacing w:after="0"/>
              <w:rPr>
                <w:sz w:val="20"/>
                <w:szCs w:val="20"/>
                <w:color w:val="auto"/>
              </w:rPr>
            </w:pPr>
            <w:r>
              <w:rPr>
                <w:rFonts w:ascii="Arial" w:cs="Arial" w:eastAsia="Arial" w:hAnsi="Arial"/>
                <w:sz w:val="18"/>
                <w:szCs w:val="18"/>
                <w:color w:val="auto"/>
              </w:rPr>
              <w:t>$4.11</w:t>
            </w:r>
          </w:p>
        </w:tc>
      </w:tr>
      <w:tr>
        <w:trPr>
          <w:trHeight w:val="227"/>
        </w:trPr>
        <w:tc>
          <w:tcPr>
            <w:tcW w:w="2680" w:type="dxa"/>
            <w:vAlign w:val="bottom"/>
          </w:tcPr>
          <w:p>
            <w:pPr>
              <w:spacing w:after="0"/>
              <w:rPr>
                <w:sz w:val="20"/>
                <w:szCs w:val="20"/>
                <w:color w:val="auto"/>
              </w:rPr>
            </w:pPr>
            <w:r>
              <w:rPr>
                <w:rFonts w:ascii="Arial" w:cs="Arial" w:eastAsia="Arial" w:hAnsi="Arial"/>
                <w:sz w:val="18"/>
                <w:szCs w:val="18"/>
                <w:color w:val="auto"/>
              </w:rPr>
              <w:t>June 23, 2020</w:t>
            </w:r>
          </w:p>
        </w:tc>
        <w:tc>
          <w:tcPr>
            <w:tcW w:w="3040" w:type="dxa"/>
            <w:vAlign w:val="bottom"/>
          </w:tcPr>
          <w:p>
            <w:pPr>
              <w:ind w:left="1540"/>
              <w:spacing w:after="0"/>
              <w:rPr>
                <w:sz w:val="20"/>
                <w:szCs w:val="20"/>
                <w:color w:val="auto"/>
              </w:rPr>
            </w:pPr>
            <w:r>
              <w:rPr>
                <w:rFonts w:ascii="Arial" w:cs="Arial" w:eastAsia="Arial" w:hAnsi="Arial"/>
                <w:sz w:val="18"/>
                <w:szCs w:val="18"/>
                <w:color w:val="auto"/>
              </w:rPr>
              <w:t>9,129</w:t>
            </w:r>
          </w:p>
        </w:tc>
        <w:tc>
          <w:tcPr>
            <w:tcW w:w="1500" w:type="dxa"/>
            <w:vAlign w:val="bottom"/>
          </w:tcPr>
          <w:p>
            <w:pPr>
              <w:ind w:left="40"/>
              <w:spacing w:after="0"/>
              <w:rPr>
                <w:sz w:val="20"/>
                <w:szCs w:val="20"/>
                <w:color w:val="auto"/>
              </w:rPr>
            </w:pPr>
            <w:r>
              <w:rPr>
                <w:rFonts w:ascii="Arial" w:cs="Arial" w:eastAsia="Arial" w:hAnsi="Arial"/>
                <w:sz w:val="18"/>
                <w:szCs w:val="18"/>
                <w:color w:val="auto"/>
              </w:rPr>
              <w:t>$13.72</w:t>
            </w:r>
          </w:p>
        </w:tc>
        <w:tc>
          <w:tcPr>
            <w:tcW w:w="1940" w:type="dxa"/>
            <w:vAlign w:val="bottom"/>
          </w:tcPr>
          <w:p>
            <w:pPr>
              <w:ind w:left="360"/>
              <w:spacing w:after="0"/>
              <w:rPr>
                <w:sz w:val="20"/>
                <w:szCs w:val="20"/>
                <w:color w:val="auto"/>
              </w:rPr>
            </w:pPr>
            <w:r>
              <w:rPr>
                <w:rFonts w:ascii="Arial" w:cs="Arial" w:eastAsia="Arial" w:hAnsi="Arial"/>
                <w:sz w:val="18"/>
                <w:szCs w:val="18"/>
                <w:color w:val="auto"/>
              </w:rPr>
              <w:t>$13.72</w:t>
            </w:r>
          </w:p>
        </w:tc>
        <w:tc>
          <w:tcPr>
            <w:tcW w:w="2080" w:type="dxa"/>
            <w:vAlign w:val="bottom"/>
          </w:tcPr>
          <w:p>
            <w:pPr>
              <w:ind w:left="240"/>
              <w:spacing w:after="0"/>
              <w:rPr>
                <w:sz w:val="20"/>
                <w:szCs w:val="20"/>
                <w:color w:val="auto"/>
              </w:rPr>
            </w:pPr>
            <w:r>
              <w:rPr>
                <w:rFonts w:ascii="Arial" w:cs="Arial" w:eastAsia="Arial" w:hAnsi="Arial"/>
                <w:sz w:val="18"/>
                <w:szCs w:val="18"/>
                <w:color w:val="auto"/>
              </w:rPr>
              <w:t>$10.68</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4" w:lineRule="exact"/>
        <w:rPr>
          <w:sz w:val="20"/>
          <w:szCs w:val="20"/>
          <w:color w:val="auto"/>
        </w:rPr>
      </w:pPr>
    </w:p>
    <w:p>
      <w:pPr>
        <w:ind w:right="80" w:firstLine="896"/>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3" w:lineRule="exact"/>
        <w:rPr>
          <w:sz w:val="20"/>
          <w:szCs w:val="20"/>
          <w:color w:val="auto"/>
        </w:rPr>
      </w:pPr>
    </w:p>
    <w:p>
      <w:pPr>
        <w:ind w:right="200" w:firstLine="896"/>
        <w:spacing w:after="0" w:line="270" w:lineRule="auto"/>
        <w:rPr>
          <w:sz w:val="20"/>
          <w:szCs w:val="20"/>
          <w:color w:val="auto"/>
        </w:rPr>
      </w:pPr>
      <w:r>
        <w:rPr>
          <w:rFonts w:ascii="Arial" w:cs="Arial" w:eastAsia="Arial" w:hAnsi="Arial"/>
          <w:sz w:val="17"/>
          <w:szCs w:val="17"/>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We are required to consider all available evidence, both positive and negative, such as historical levels of income and future forecasts of taxable income among other items, in determining whether a full or partial release of its valuation allowance is required. Our accounting for deferred tax consequences represents the best estimate of those future events. We present deferred income taxes on the Consolidated Balance Sheet on a jurisdictional basis as either a net noncurrent asset or liability.</w:t>
      </w:r>
    </w:p>
    <w:p>
      <w:pPr>
        <w:spacing w:after="0" w:line="138" w:lineRule="exact"/>
        <w:rPr>
          <w:sz w:val="20"/>
          <w:szCs w:val="20"/>
          <w:color w:val="auto"/>
        </w:rPr>
      </w:pPr>
    </w:p>
    <w:p>
      <w:pPr>
        <w:ind w:firstLine="896"/>
        <w:spacing w:after="0" w:line="281" w:lineRule="auto"/>
        <w:rPr>
          <w:sz w:val="20"/>
          <w:szCs w:val="20"/>
          <w:color w:val="auto"/>
        </w:rPr>
      </w:pPr>
      <w:r>
        <w:rPr>
          <w:rFonts w:ascii="Arial" w:cs="Arial" w:eastAsia="Arial" w:hAnsi="Arial"/>
          <w:sz w:val="16"/>
          <w:szCs w:val="16"/>
          <w:color w:val="auto"/>
        </w:rPr>
        <w:t>We record liabilities for uncertain tax positions based on a two-step approach. The first step is recognition, where we evaluate whether an individual tax position has a likelihood of greater than 50% of being sustained upon examination based solely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we perform the second step of the approach of measuring the benefit (expense) to be recorded. The actual benefits (expense) ultimately realized may differ from our estimates. In future periods, changes in facts, circumstances, and new information may require us to change the recognition and measurement estimates with regard to individual tax</w:t>
      </w:r>
    </w:p>
    <w:p>
      <w:pPr>
        <w:spacing w:after="0" w:line="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positions. Changes in recognition and measurement estimates are recorded in the statement of income and balance sheet in the period in which such changes occur. As of December 31, 2020, and 2019, we did not have any liabilities for unrecognized tax positions. As it relates to any interest and penalties associated with any uncertain tax positions, our position is to include those interest and penalties as a component of income tax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See Note 3 to our financial statements included herein under “Part II—Item 8. Financial Statements and Supplementary Data.” for more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98" w:lineRule="exact"/>
        <w:rPr>
          <w:sz w:val="20"/>
          <w:szCs w:val="20"/>
          <w:color w:val="auto"/>
        </w:rPr>
      </w:pPr>
    </w:p>
    <w:p>
      <w:pPr>
        <w:ind w:right="40" w:firstLine="896"/>
        <w:spacing w:after="0" w:line="259" w:lineRule="auto"/>
        <w:rPr>
          <w:sz w:val="20"/>
          <w:szCs w:val="20"/>
          <w:color w:val="auto"/>
        </w:rPr>
      </w:pPr>
      <w:r>
        <w:rPr>
          <w:rFonts w:ascii="Arial" w:cs="Arial" w:eastAsia="Arial" w:hAnsi="Arial"/>
          <w:sz w:val="18"/>
          <w:szCs w:val="18"/>
          <w:color w:val="auto"/>
        </w:rPr>
        <w:t>We are an “emerging growth company”, or EGC, as defined in the Jumpstart Our Business Startups Act, or JOBS Act, of 2012. Under the JOBS Act, emerging growth companies can delay adopting new or revised accounting standards issued subsequent to the enactment of the JOBS Act until such time as those standards apply to private companies.</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166" w:lineRule="exact"/>
        <w:rPr>
          <w:sz w:val="20"/>
          <w:szCs w:val="20"/>
          <w:color w:val="auto"/>
        </w:rPr>
      </w:pPr>
    </w:p>
    <w:p>
      <w:pPr>
        <w:jc w:val="both"/>
        <w:ind w:right="140" w:firstLine="896"/>
        <w:spacing w:after="0" w:line="275" w:lineRule="auto"/>
        <w:rPr>
          <w:sz w:val="20"/>
          <w:szCs w:val="20"/>
          <w:color w:val="auto"/>
        </w:rPr>
      </w:pPr>
      <w:r>
        <w:rPr>
          <w:rFonts w:ascii="Arial" w:cs="Arial" w:eastAsia="Arial" w:hAnsi="Arial"/>
          <w:sz w:val="17"/>
          <w:szCs w:val="17"/>
          <w:color w:val="auto"/>
        </w:rPr>
        <w:t>We will remain an EGC until the earliest of (i) the last day of our fiscal year (a) following the fifth anniversary of the completion of the initial public offering of our common stock, (b) in which we have total annual gross revenues of at least $1.07 billion or (ii) in which we are deemed to be a large accelerated filer, which means the market value of our common stock that is held by non-affiliates exceeds $700.0 million as of the prior June 30</w:t>
      </w:r>
      <w:r>
        <w:rPr>
          <w:rFonts w:ascii="Arial" w:cs="Arial" w:eastAsia="Arial" w:hAnsi="Arial"/>
          <w:sz w:val="14"/>
          <w:szCs w:val="14"/>
          <w:color w:val="auto"/>
        </w:rPr>
        <w:t>th</w:t>
      </w:r>
      <w:r>
        <w:rPr>
          <w:rFonts w:ascii="Arial" w:cs="Arial" w:eastAsia="Arial" w:hAnsi="Arial"/>
          <w:sz w:val="17"/>
          <w:szCs w:val="17"/>
          <w:color w:val="auto"/>
        </w:rPr>
        <w:t xml:space="preserve"> and (iii) the date on which we have issued more than $1.0 billion in non-convertible debt securities over a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ind w:right="20" w:firstLine="896"/>
        <w:spacing w:after="0" w:line="252" w:lineRule="auto"/>
        <w:rPr>
          <w:sz w:val="20"/>
          <w:szCs w:val="20"/>
          <w:color w:val="auto"/>
        </w:rPr>
      </w:pPr>
      <w:r>
        <w:rPr>
          <w:rFonts w:ascii="Arial" w:cs="Arial" w:eastAsia="Arial" w:hAnsi="Arial"/>
          <w:sz w:val="18"/>
          <w:szCs w:val="18"/>
          <w:color w:val="auto"/>
        </w:rPr>
        <w:t>In addition to our GAAP results, we provide certain non-GAAP metrics including adjusted net income and adjusted net income per share. We believe that the presentation of these measures provides important supplemental information to management and investors regarding our performance. These measurements are not a substitute for GAAP measurements, and the manner in which we calculate adjusted net income and adjusted net income per share may not be identical to the manner in which other companies calculate adjusted net income and adjusted net income per share. Management uses these non-GAAP measurements as an aid in monitoring our on-going financial performance from quarter-to-quarter and year-to-year on a regular basis and for benchmarking against comparable companies.</w:t>
      </w:r>
    </w:p>
    <w:p>
      <w:pPr>
        <w:spacing w:after="0" w:line="167" w:lineRule="exact"/>
        <w:rPr>
          <w:sz w:val="20"/>
          <w:szCs w:val="20"/>
          <w:color w:val="auto"/>
        </w:rPr>
      </w:pPr>
    </w:p>
    <w:p>
      <w:pPr>
        <w:ind w:right="560" w:firstLine="896"/>
        <w:spacing w:after="0" w:line="259" w:lineRule="auto"/>
        <w:rPr>
          <w:sz w:val="20"/>
          <w:szCs w:val="20"/>
          <w:color w:val="auto"/>
        </w:rPr>
      </w:pPr>
      <w:r>
        <w:rPr>
          <w:rFonts w:ascii="Arial" w:cs="Arial" w:eastAsia="Arial" w:hAnsi="Arial"/>
          <w:sz w:val="18"/>
          <w:szCs w:val="18"/>
          <w:color w:val="auto"/>
        </w:rPr>
        <w:t>EBITDA is intended to provide a measure of the Company’s operating performance as it eliminates the effects of financing and capital expenditures. EBITDA consists of GAAP net loss excluding: (i) interest expense, (ii) income tax provision, (iii) depreciation and (iv) amortization of intangibles.</w:t>
      </w:r>
    </w:p>
    <w:p>
      <w:pPr>
        <w:spacing w:after="0" w:line="146" w:lineRule="exact"/>
        <w:rPr>
          <w:sz w:val="20"/>
          <w:szCs w:val="20"/>
          <w:color w:val="auto"/>
        </w:rPr>
      </w:pPr>
    </w:p>
    <w:p>
      <w:pPr>
        <w:ind w:right="220" w:firstLine="896"/>
        <w:spacing w:after="0" w:line="307" w:lineRule="auto"/>
        <w:rPr>
          <w:sz w:val="20"/>
          <w:szCs w:val="20"/>
          <w:color w:val="auto"/>
        </w:rPr>
      </w:pPr>
      <w:r>
        <w:rPr>
          <w:rFonts w:ascii="Arial" w:cs="Arial" w:eastAsia="Arial" w:hAnsi="Arial"/>
          <w:sz w:val="16"/>
          <w:szCs w:val="16"/>
          <w:color w:val="auto"/>
        </w:rPr>
        <w:t>Non-GAAP adjusted net income (loss) and non-GAAP adjusted net income (loss) per share are intended to provide an enduring, normalized view of net income and our broader business operations that we expect to experience on an ongoing basis by removing items which may be irregular, one-time, or non-recurring from net income. This enables us to identify underlying trends in our business that could otherwise be masked by such items.</w:t>
      </w:r>
    </w:p>
    <w:p>
      <w:pPr>
        <w:spacing w:after="0" w:line="110" w:lineRule="exact"/>
        <w:rPr>
          <w:sz w:val="20"/>
          <w:szCs w:val="20"/>
          <w:color w:val="auto"/>
        </w:rPr>
      </w:pPr>
    </w:p>
    <w:p>
      <w:pPr>
        <w:ind w:right="260" w:firstLine="896"/>
        <w:spacing w:after="0" w:line="271" w:lineRule="auto"/>
        <w:rPr>
          <w:sz w:val="20"/>
          <w:szCs w:val="20"/>
          <w:color w:val="auto"/>
        </w:rPr>
      </w:pPr>
      <w:r>
        <w:rPr>
          <w:rFonts w:ascii="Arial" w:cs="Arial" w:eastAsia="Arial" w:hAnsi="Arial"/>
          <w:sz w:val="18"/>
          <w:szCs w:val="18"/>
          <w:color w:val="auto"/>
        </w:rPr>
        <w:t>Non-GAAP adjusted net income (loss) consists of GAAP net loss excluding: (i) interest expense, (ii) income tax provision, (iii) depreciation, (iv) amortization of intangibles, (v) stock-based compensation, (vi) loss on debt extinguishment, and (vii) warrant expense.</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reconciliation of GAAP net loss to non-GAAP adjusted net income (loss) appears in the table below (in thousands except share and per share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71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1340" w:type="dxa"/>
            <w:vAlign w:val="bottom"/>
            <w:tcBorders>
              <w:top w:val="single" w:sz="8" w:color="0000EE"/>
            </w:tcBorders>
          </w:tcPr>
          <w:p>
            <w:pPr>
              <w:spacing w:after="0"/>
              <w:rPr>
                <w:sz w:val="24"/>
                <w:szCs w:val="24"/>
                <w:color w:val="auto"/>
              </w:rPr>
            </w:pPr>
          </w:p>
        </w:tc>
        <w:tc>
          <w:tcPr>
            <w:tcW w:w="5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40" w:type="dxa"/>
            <w:vAlign w:val="bottom"/>
            <w:tcBorders>
              <w:bottom w:val="single" w:sz="8" w:color="CFF0FC"/>
            </w:tcBorders>
          </w:tcPr>
          <w:p>
            <w:pPr>
              <w:spacing w:after="0"/>
              <w:rPr>
                <w:sz w:val="20"/>
                <w:szCs w:val="20"/>
                <w:color w:val="auto"/>
              </w:rPr>
            </w:pPr>
          </w:p>
        </w:tc>
        <w:tc>
          <w:tcPr>
            <w:tcW w:w="576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gridSpan w:val="2"/>
          </w:tcPr>
          <w:p>
            <w:pPr>
              <w:ind w:left="260"/>
              <w:spacing w:after="0"/>
              <w:rPr>
                <w:sz w:val="20"/>
                <w:szCs w:val="20"/>
                <w:color w:val="auto"/>
              </w:rPr>
            </w:pPr>
            <w:r>
              <w:rPr>
                <w:rFonts w:ascii="Arial" w:cs="Arial" w:eastAsia="Arial" w:hAnsi="Arial"/>
                <w:sz w:val="18"/>
                <w:szCs w:val="18"/>
                <w:color w:val="auto"/>
              </w:rPr>
              <w:t>Taxes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Amortization</w:t>
            </w:r>
          </w:p>
        </w:tc>
        <w:tc>
          <w:tcPr>
            <w:tcW w:w="6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EBITDA</w:t>
            </w:r>
          </w:p>
        </w:tc>
        <w:tc>
          <w:tcPr>
            <w:tcW w:w="6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(142,694)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Additional Non-GAAP Adjustments:</w:t>
            </w: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1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gridSpan w:val="2"/>
          </w:tcPr>
          <w:p>
            <w:pPr>
              <w:ind w:left="260"/>
              <w:spacing w:after="0"/>
              <w:rPr>
                <w:sz w:val="20"/>
                <w:szCs w:val="20"/>
                <w:color w:val="auto"/>
              </w:rPr>
            </w:pPr>
            <w:r>
              <w:rPr>
                <w:rFonts w:ascii="Arial" w:cs="Arial" w:eastAsia="Arial" w:hAnsi="Arial"/>
                <w:sz w:val="18"/>
                <w:szCs w:val="18"/>
                <w:color w:val="auto"/>
              </w:rPr>
              <w:t>Loss on debt extinguishment</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22,639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Warrant expense</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00" w:type="dxa"/>
            <w:vAlign w:val="bottom"/>
            <w:gridSpan w:val="2"/>
          </w:tcPr>
          <w:p>
            <w:pPr>
              <w:spacing w:after="0"/>
              <w:rPr>
                <w:sz w:val="20"/>
                <w:szCs w:val="20"/>
                <w:color w:val="auto"/>
              </w:rPr>
            </w:pPr>
            <w:r>
              <w:rPr>
                <w:rFonts w:ascii="Arial" w:cs="Arial" w:eastAsia="Arial" w:hAnsi="Arial"/>
                <w:sz w:val="18"/>
                <w:szCs w:val="18"/>
                <w:color w:val="auto"/>
              </w:rPr>
              <w:t>Non-GAAP adjusted net income (loss)</w:t>
            </w: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32,451</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Accumulation of yield on preferred stock</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(26,904)</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Non-GAAP adjusted net income (loss) available to common stockholders</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(168,016)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GAAP reported net loss per diluted share</w:t>
            </w:r>
          </w:p>
        </w:tc>
        <w:tc>
          <w:tcPr>
            <w:tcW w:w="96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gridSpan w:val="2"/>
          </w:tcPr>
          <w:p>
            <w:pPr>
              <w:spacing w:after="0"/>
              <w:rPr>
                <w:sz w:val="20"/>
                <w:szCs w:val="20"/>
                <w:color w:val="auto"/>
              </w:rPr>
            </w:pPr>
            <w:r>
              <w:rPr>
                <w:rFonts w:ascii="Arial" w:cs="Arial" w:eastAsia="Arial" w:hAnsi="Arial"/>
                <w:sz w:val="18"/>
                <w:szCs w:val="18"/>
                <w:color w:val="auto"/>
              </w:rPr>
              <w:t>Non-GAAP adjusted net income (loss) per diluted share</w:t>
            </w:r>
          </w:p>
        </w:tc>
        <w:tc>
          <w:tcPr>
            <w:tcW w:w="9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40" w:type="dxa"/>
            <w:vAlign w:val="bottom"/>
            <w:shd w:val="clear" w:color="auto" w:fill="CFF0FC"/>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gridSpan w:val="2"/>
          </w:tcPr>
          <w:p>
            <w:pPr>
              <w:spacing w:after="0"/>
              <w:rPr>
                <w:sz w:val="20"/>
                <w:szCs w:val="20"/>
                <w:color w:val="auto"/>
              </w:rPr>
            </w:pPr>
            <w:r>
              <w:rPr>
                <w:rFonts w:ascii="Arial" w:cs="Arial" w:eastAsia="Arial" w:hAnsi="Arial"/>
                <w:sz w:val="18"/>
                <w:szCs w:val="18"/>
                <w:color w:val="auto"/>
                <w:w w:val="97"/>
              </w:rPr>
              <w:t>Weighted average number of shares of common stock used in non-GAAP diluted per share</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26,982,978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7,777,441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4"/>
        </w:trPr>
        <w:tc>
          <w:tcPr>
            <w:tcW w:w="7100" w:type="dxa"/>
            <w:vAlign w:val="bottom"/>
            <w:gridSpan w:val="2"/>
          </w:tcPr>
          <w:p>
            <w:pPr>
              <w:ind w:left="5720"/>
              <w:spacing w:after="0"/>
              <w:rPr>
                <w:sz w:val="20"/>
                <w:szCs w:val="20"/>
                <w:color w:val="auto"/>
              </w:rPr>
            </w:pPr>
            <w:r>
              <w:rPr>
                <w:rFonts w:ascii="Arial" w:cs="Arial" w:eastAsia="Arial" w:hAnsi="Arial"/>
                <w:sz w:val="18"/>
                <w:szCs w:val="18"/>
                <w:color w:val="auto"/>
              </w:rPr>
              <w:t>118</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81" w:lineRule="exact"/>
        <w:rPr>
          <w:sz w:val="20"/>
          <w:szCs w:val="20"/>
          <w:color w:val="auto"/>
        </w:rPr>
      </w:pPr>
    </w:p>
    <w:p>
      <w:pPr>
        <w:ind w:firstLine="896"/>
        <w:spacing w:after="0" w:line="275" w:lineRule="auto"/>
        <w:rPr>
          <w:sz w:val="20"/>
          <w:szCs w:val="20"/>
          <w:color w:val="auto"/>
        </w:rPr>
      </w:pPr>
      <w:r>
        <w:rPr>
          <w:rFonts w:ascii="Arial" w:cs="Arial" w:eastAsia="Arial" w:hAnsi="Arial"/>
          <w:sz w:val="17"/>
          <w:szCs w:val="17"/>
          <w:color w:val="auto"/>
        </w:rPr>
        <w:t>We are exposed to market risk related to changes in interest rates. As of December 31, 2020,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147" w:lineRule="exact"/>
        <w:rPr>
          <w:sz w:val="20"/>
          <w:szCs w:val="20"/>
          <w:color w:val="auto"/>
        </w:rPr>
      </w:pPr>
    </w:p>
    <w:p>
      <w:pPr>
        <w:jc w:val="both"/>
        <w:ind w:right="40" w:firstLine="896"/>
        <w:spacing w:after="0" w:line="307" w:lineRule="auto"/>
        <w:rPr>
          <w:sz w:val="20"/>
          <w:szCs w:val="20"/>
          <w:color w:val="auto"/>
        </w:rPr>
      </w:pPr>
      <w:r>
        <w:rPr>
          <w:rFonts w:ascii="Arial" w:cs="Arial" w:eastAsia="Arial" w:hAnsi="Arial"/>
          <w:sz w:val="16"/>
          <w:szCs w:val="16"/>
          <w:color w:val="auto"/>
        </w:rPr>
        <w:t>As of December 31, 2020, we had $200.0 million in borrowings outstanding. The term loan bears interest at an interest rate of the greater of (a) LIBOR or (b) 2.00% per annum, plus 11.00% per annum. Based on the $200.0 million of principal outstanding as of December 31, 2020, an immediate 10% change in the Prime Rate would not have a material impact on our debt-related obligations, financial position or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 Risk</w:t>
      </w:r>
    </w:p>
    <w:p>
      <w:pPr>
        <w:spacing w:after="0" w:line="181" w:lineRule="exact"/>
        <w:rPr>
          <w:sz w:val="20"/>
          <w:szCs w:val="20"/>
          <w:color w:val="auto"/>
        </w:rPr>
      </w:pPr>
    </w:p>
    <w:p>
      <w:pPr>
        <w:ind w:right="40" w:firstLine="896"/>
        <w:spacing w:after="0" w:line="259"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Fluctuation Risk</w:t>
      </w:r>
    </w:p>
    <w:p>
      <w:pPr>
        <w:spacing w:after="0" w:line="181" w:lineRule="exact"/>
        <w:rPr>
          <w:sz w:val="20"/>
          <w:szCs w:val="20"/>
          <w:color w:val="auto"/>
        </w:rPr>
      </w:pPr>
    </w:p>
    <w:p>
      <w:pPr>
        <w:ind w:right="120" w:firstLine="896"/>
        <w:spacing w:after="0" w:line="271"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years ended December 31,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876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50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701"/>
        </w:trPr>
        <w:tc>
          <w:tcPr>
            <w:tcW w:w="876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500" w:type="dxa"/>
            <w:vAlign w:val="bottom"/>
          </w:tcPr>
          <w:p>
            <w:pPr>
              <w:spacing w:after="0"/>
              <w:rPr>
                <w:sz w:val="24"/>
                <w:szCs w:val="24"/>
                <w:color w:val="auto"/>
              </w:rPr>
            </w:pPr>
          </w:p>
        </w:tc>
      </w:tr>
      <w:tr>
        <w:trPr>
          <w:trHeight w:val="403"/>
        </w:trPr>
        <w:tc>
          <w:tcPr>
            <w:tcW w:w="8760" w:type="dxa"/>
            <w:vAlign w:val="bottom"/>
            <w:gridSpan w:val="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Report of Independent Registered Public Accounting Firm</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61"/>
        </w:trPr>
        <w:tc>
          <w:tcPr>
            <w:tcW w:w="20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22">
              <w:r>
                <w:rPr>
                  <w:rFonts w:ascii="Arial" w:cs="Arial" w:eastAsia="Arial" w:hAnsi="Arial"/>
                  <w:sz w:val="18"/>
                  <w:szCs w:val="18"/>
                  <w:color w:val="0000EE"/>
                  <w:w w:val="87"/>
                </w:rPr>
                <w:t>Consolidated Balance Sheets</w:t>
              </w:r>
            </w:hyperlink>
          </w:p>
        </w:tc>
        <w:tc>
          <w:tcPr>
            <w:tcW w:w="2100" w:type="dxa"/>
            <w:vAlign w:val="bottom"/>
            <w:tcBorders>
              <w:top w:val="single" w:sz="8" w:color="0000EE"/>
            </w:tcBorders>
            <w:gridSpan w:val="3"/>
          </w:tcPr>
          <w:p>
            <w:pPr>
              <w:spacing w:after="0"/>
              <w:rPr>
                <w:sz w:val="24"/>
                <w:szCs w:val="24"/>
                <w:color w:val="auto"/>
              </w:rPr>
            </w:pPr>
          </w:p>
        </w:tc>
        <w:tc>
          <w:tcPr>
            <w:tcW w:w="4580" w:type="dxa"/>
            <w:vAlign w:val="bottom"/>
            <w:gridSpan w:val="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41"/>
        </w:trPr>
        <w:tc>
          <w:tcPr>
            <w:tcW w:w="8760" w:type="dxa"/>
            <w:vAlign w:val="bottom"/>
            <w:gridSpan w:val="8"/>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Consolidated Statements of Operations and Comprehensive Loss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2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41"/>
        </w:trPr>
        <w:tc>
          <w:tcPr>
            <w:tcW w:w="8760" w:type="dxa"/>
            <w:vAlign w:val="bottom"/>
            <w:gridSpan w:val="8"/>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Consolidated Statements of Convertible Preferred Stock and Stockholders’ Equity (Deficit)</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41"/>
        </w:trPr>
        <w:tc>
          <w:tcPr>
            <w:tcW w:w="6520" w:type="dxa"/>
            <w:vAlign w:val="bottom"/>
            <w:tcBorders>
              <w:top w:val="single" w:sz="8" w:color="0000EE"/>
            </w:tcBorders>
            <w:gridSpan w:val="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Consolidated Statements of Cash Flows</w:t>
              </w:r>
            </w:hyperlink>
          </w:p>
        </w:tc>
        <w:tc>
          <w:tcPr>
            <w:tcW w:w="22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28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41"/>
        </w:trPr>
        <w:tc>
          <w:tcPr>
            <w:tcW w:w="8760" w:type="dxa"/>
            <w:vAlign w:val="bottom"/>
            <w:gridSpan w:val="8"/>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Notes to Consolidated Financial Statements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901"/>
        </w:trPr>
        <w:tc>
          <w:tcPr>
            <w:tcW w:w="3120" w:type="dxa"/>
            <w:vAlign w:val="bottom"/>
            <w:tcBorders>
              <w:top w:val="single" w:sz="8" w:color="0000EE"/>
            </w:tcBorders>
            <w:gridSpan w:val="4"/>
          </w:tcPr>
          <w:p>
            <w:pPr>
              <w:spacing w:after="0"/>
              <w:rPr>
                <w:sz w:val="24"/>
                <w:szCs w:val="24"/>
                <w:color w:val="auto"/>
              </w:rPr>
            </w:pPr>
          </w:p>
        </w:tc>
        <w:tc>
          <w:tcPr>
            <w:tcW w:w="3400" w:type="dxa"/>
            <w:vAlign w:val="bottom"/>
            <w:gridSpan w:val="3"/>
          </w:tcPr>
          <w:p>
            <w:pPr>
              <w:jc w:val="right"/>
              <w:ind w:right="540"/>
              <w:spacing w:after="0"/>
              <w:rPr>
                <w:sz w:val="20"/>
                <w:szCs w:val="20"/>
                <w:color w:val="auto"/>
              </w:rPr>
            </w:pPr>
            <w:r>
              <w:rPr>
                <w:rFonts w:ascii="Arial" w:cs="Arial" w:eastAsia="Arial" w:hAnsi="Arial"/>
                <w:sz w:val="18"/>
                <w:szCs w:val="18"/>
                <w:color w:val="auto"/>
              </w:rPr>
              <w:t>120</w:t>
            </w:r>
          </w:p>
        </w:tc>
        <w:tc>
          <w:tcPr>
            <w:tcW w:w="22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06"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audited the accompanying consolidated balance sheets of Harmony Biosciences Holdings, Inc. and subsidiary (the "Company") as of December 31, 2020 and 2019, the related consolidated statements of operations and comprehensive loss, convertible preferred stock and stockholders' equity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6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0"/>
        </w:trPr>
        <w:tc>
          <w:tcPr>
            <w:tcW w:w="76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260"/>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and cash equivalents</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228,631</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Trade receivables, net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22,176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4,255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Inventory, net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3,823</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Prepaid expenses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6,959</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current assets</w:t>
            </w:r>
          </w:p>
        </w:tc>
        <w:tc>
          <w:tcPr>
            <w:tcW w:w="1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1,302</w:t>
            </w:r>
          </w:p>
        </w:tc>
        <w:tc>
          <w:tcPr>
            <w:tcW w:w="2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current assets</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262,891</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31,497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NONCURRENT ASSETS: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938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Restricted cash</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Intangible asset, net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162,343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72,185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noncurrent assets</w:t>
            </w:r>
          </w:p>
        </w:tc>
        <w:tc>
          <w:tcPr>
            <w:tcW w:w="1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2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noncurrent assets</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164,183</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75,206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shd w:val="clear" w:color="auto" w:fill="CFF0FC"/>
          </w:tcPr>
          <w:p>
            <w:pPr>
              <w:spacing w:after="0"/>
              <w:rPr>
                <w:sz w:val="20"/>
                <w:szCs w:val="20"/>
                <w:color w:val="auto"/>
              </w:rPr>
            </w:pPr>
            <w:r>
              <w:rPr>
                <w:rFonts w:ascii="Arial" w:cs="Arial" w:eastAsia="Arial" w:hAnsi="Arial"/>
                <w:sz w:val="13"/>
                <w:szCs w:val="13"/>
                <w:color w:val="auto"/>
              </w:rPr>
              <w:t>TOTAL ASSETS</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427,074</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LIABILITIES, CONVERTIBLE PREFERRED STOCK, AND STOCKHOLDERS’ EQUITY (DEFICIT)</w:t>
            </w: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Trade payables</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2,556</w:t>
            </w:r>
          </w:p>
        </w:tc>
        <w:tc>
          <w:tcPr>
            <w:tcW w:w="28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6,360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compensation</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8,942</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Accrued expenses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122,727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current liabilities</w:t>
            </w:r>
          </w:p>
        </w:tc>
        <w:tc>
          <w:tcPr>
            <w:tcW w:w="1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314</w:t>
            </w:r>
          </w:p>
        </w:tc>
        <w:tc>
          <w:tcPr>
            <w:tcW w:w="2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current liabilities</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134,539</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19,892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NONCURRENT LIABILITIES: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Deferred rent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Long term debt, net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194,250</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97,946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Other noncurrent liabilities</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noncurrent liabilities</w:t>
            </w:r>
          </w:p>
        </w:tc>
        <w:tc>
          <w:tcPr>
            <w:tcW w:w="1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195,355</w:t>
            </w:r>
          </w:p>
        </w:tc>
        <w:tc>
          <w:tcPr>
            <w:tcW w:w="2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98,396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tcBorders>
              <w:bottom w:val="single" w:sz="8" w:color="CFF0FC"/>
            </w:tcBorders>
          </w:tcPr>
          <w:p>
            <w:pPr>
              <w:ind w:left="740"/>
              <w:spacing w:after="0"/>
              <w:rPr>
                <w:sz w:val="20"/>
                <w:szCs w:val="20"/>
                <w:color w:val="auto"/>
              </w:rPr>
            </w:pPr>
            <w:r>
              <w:rPr>
                <w:rFonts w:ascii="Arial" w:cs="Arial" w:eastAsia="Arial" w:hAnsi="Arial"/>
                <w:sz w:val="13"/>
                <w:szCs w:val="13"/>
                <w:color w:val="auto"/>
              </w:rPr>
              <w:t>TOTAL LIABILITIES</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329,894</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118,288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COMMITMENTS AND CONTINGENCIES (Note 9)</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260"/>
              <w:spacing w:after="0"/>
              <w:rPr>
                <w:sz w:val="20"/>
                <w:szCs w:val="20"/>
                <w:color w:val="auto"/>
              </w:rPr>
            </w:pPr>
            <w:r>
              <w:rPr>
                <w:rFonts w:ascii="Arial" w:cs="Arial" w:eastAsia="Arial" w:hAnsi="Arial"/>
                <w:sz w:val="13"/>
                <w:szCs w:val="13"/>
                <w:color w:val="auto"/>
              </w:rPr>
              <w:t>CONVERTIBLE PREFERRED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Convertible preferred stock, net of placement costs</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20" w:type="dxa"/>
            <w:vAlign w:val="bottom"/>
          </w:tcPr>
          <w:p>
            <w:pPr>
              <w:ind w:left="740"/>
              <w:spacing w:after="0"/>
              <w:rPr>
                <w:sz w:val="20"/>
                <w:szCs w:val="20"/>
                <w:color w:val="auto"/>
              </w:rPr>
            </w:pPr>
            <w:r>
              <w:rPr>
                <w:rFonts w:ascii="Arial" w:cs="Arial" w:eastAsia="Arial" w:hAnsi="Arial"/>
                <w:sz w:val="13"/>
                <w:szCs w:val="13"/>
                <w:color w:val="auto"/>
                <w:w w:val="95"/>
              </w:rPr>
              <w:t>Series A convertible preferred stock - $1.00 stated value; 0 shares and 286,000,000 shares authorized at December 31, 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20" w:type="dxa"/>
            <w:vAlign w:val="bottom"/>
          </w:tcPr>
          <w:p>
            <w:pPr>
              <w:ind w:left="740"/>
              <w:spacing w:after="0"/>
              <w:rPr>
                <w:sz w:val="20"/>
                <w:szCs w:val="20"/>
                <w:color w:val="auto"/>
              </w:rPr>
            </w:pPr>
            <w:r>
              <w:rPr>
                <w:rFonts w:ascii="Arial" w:cs="Arial" w:eastAsia="Arial" w:hAnsi="Arial"/>
                <w:sz w:val="13"/>
                <w:szCs w:val="13"/>
                <w:color w:val="auto"/>
                <w:w w:val="93"/>
              </w:rPr>
              <w:t>and 2019, respectively; 0 shares and 285,000,000 shares issued and outstanding at December 31, 2020 and 2019, respectively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348,203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20" w:type="dxa"/>
            <w:vAlign w:val="bottom"/>
            <w:shd w:val="clear" w:color="auto" w:fill="CFF0FC"/>
          </w:tcPr>
          <w:p>
            <w:pPr>
              <w:ind w:left="740"/>
              <w:spacing w:after="0"/>
              <w:rPr>
                <w:sz w:val="20"/>
                <w:szCs w:val="20"/>
                <w:color w:val="auto"/>
              </w:rPr>
            </w:pPr>
            <w:r>
              <w:rPr>
                <w:rFonts w:ascii="Arial" w:cs="Arial" w:eastAsia="Arial" w:hAnsi="Arial"/>
                <w:sz w:val="13"/>
                <w:szCs w:val="13"/>
                <w:color w:val="auto"/>
                <w:w w:val="93"/>
              </w:rPr>
              <w:t>Series B convertible preferred stock - $1.25 stated value; 0 shares and 8,030,000 shares authorized at December 31, 2020 and</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20" w:type="dxa"/>
            <w:vAlign w:val="bottom"/>
            <w:shd w:val="clear" w:color="auto" w:fill="CFF0FC"/>
          </w:tcPr>
          <w:p>
            <w:pPr>
              <w:ind w:left="740"/>
              <w:spacing w:after="0"/>
              <w:rPr>
                <w:sz w:val="20"/>
                <w:szCs w:val="20"/>
                <w:color w:val="auto"/>
              </w:rPr>
            </w:pPr>
            <w:r>
              <w:rPr>
                <w:rFonts w:ascii="Arial" w:cs="Arial" w:eastAsia="Arial" w:hAnsi="Arial"/>
                <w:sz w:val="13"/>
                <w:szCs w:val="13"/>
                <w:color w:val="auto"/>
                <w:w w:val="98"/>
              </w:rPr>
              <w:t>2019, respectively; 0 shares and 8,000,000 shares issued and outstanding at December 31, 2020 and 2019, respectively</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20" w:type="dxa"/>
            <w:vAlign w:val="bottom"/>
          </w:tcPr>
          <w:p>
            <w:pPr>
              <w:ind w:left="740"/>
              <w:spacing w:after="0"/>
              <w:rPr>
                <w:sz w:val="20"/>
                <w:szCs w:val="20"/>
                <w:color w:val="auto"/>
              </w:rPr>
            </w:pPr>
            <w:r>
              <w:rPr>
                <w:rFonts w:ascii="Arial" w:cs="Arial" w:eastAsia="Arial" w:hAnsi="Arial"/>
                <w:sz w:val="13"/>
                <w:szCs w:val="13"/>
                <w:color w:val="auto"/>
                <w:w w:val="92"/>
              </w:rPr>
              <w:t>Series C convertible preferred stock - $1.96 stated value; 0 shares and 25,600,000 shares authorized at December 31, 2020 and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20" w:type="dxa"/>
            <w:vAlign w:val="bottom"/>
          </w:tcPr>
          <w:p>
            <w:pPr>
              <w:ind w:left="740"/>
              <w:spacing w:after="0"/>
              <w:rPr>
                <w:sz w:val="20"/>
                <w:szCs w:val="20"/>
                <w:color w:val="auto"/>
              </w:rPr>
            </w:pPr>
            <w:r>
              <w:rPr>
                <w:rFonts w:ascii="Arial" w:cs="Arial" w:eastAsia="Arial" w:hAnsi="Arial"/>
                <w:sz w:val="13"/>
                <w:szCs w:val="13"/>
                <w:color w:val="auto"/>
                <w:w w:val="97"/>
              </w:rPr>
              <w:t>2019, respectively; 0 shares and 25,510,205 shares issued and outstanding at December 31, 2020 and 2019, respectively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51,051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STOCKHOLDERS’ EQUITY (DEFICIT):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20" w:type="dxa"/>
            <w:vAlign w:val="bottom"/>
          </w:tcPr>
          <w:p>
            <w:pPr>
              <w:ind w:left="500"/>
              <w:spacing w:after="0"/>
              <w:rPr>
                <w:sz w:val="20"/>
                <w:szCs w:val="20"/>
                <w:color w:val="auto"/>
              </w:rPr>
            </w:pPr>
            <w:r>
              <w:rPr>
                <w:rFonts w:ascii="Arial" w:cs="Arial" w:eastAsia="Arial" w:hAnsi="Arial"/>
                <w:sz w:val="13"/>
                <w:szCs w:val="13"/>
                <w:color w:val="auto"/>
                <w:w w:val="94"/>
              </w:rPr>
              <w:t>Preferred stock - $0.00001 par value; 10,000,000 shares and 0 shares authorized at December 31, 2020 and 2019, respectively; 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20" w:type="dxa"/>
            <w:vAlign w:val="bottom"/>
          </w:tcPr>
          <w:p>
            <w:pPr>
              <w:ind w:left="500"/>
              <w:spacing w:after="0"/>
              <w:rPr>
                <w:sz w:val="20"/>
                <w:szCs w:val="20"/>
                <w:color w:val="auto"/>
              </w:rPr>
            </w:pPr>
            <w:r>
              <w:rPr>
                <w:rFonts w:ascii="Arial" w:cs="Arial" w:eastAsia="Arial" w:hAnsi="Arial"/>
                <w:sz w:val="13"/>
                <w:szCs w:val="13"/>
                <w:color w:val="auto"/>
              </w:rPr>
              <w:t>shares issued and outstanding at December 31, 2020 and 2019, respectively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w w:val="96"/>
              </w:rPr>
              <w:t>Common stock—$0.00001 par value; 500,000,000 shares and 423,630,000 shares authorized at December 31, 2020 and 2019,</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respectively; 56,890,569 shares and 7,787,470 issued and outstanding at December 31, 2020 and 2019, respectively</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620" w:type="dxa"/>
            <w:vAlign w:val="bottom"/>
          </w:tcPr>
          <w:p>
            <w:pPr>
              <w:ind w:left="500"/>
              <w:spacing w:after="0"/>
              <w:rPr>
                <w:sz w:val="20"/>
                <w:szCs w:val="20"/>
                <w:color w:val="auto"/>
              </w:rPr>
            </w:pPr>
            <w:r>
              <w:rPr>
                <w:rFonts w:ascii="Arial" w:cs="Arial" w:eastAsia="Arial" w:hAnsi="Arial"/>
                <w:sz w:val="13"/>
                <w:szCs w:val="13"/>
                <w:color w:val="auto"/>
              </w:rPr>
              <w:t>Additional paid in capital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585,374</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Accumulated deficit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(488,195)</w:t>
            </w:r>
          </w:p>
        </w:tc>
        <w:tc>
          <w:tcPr>
            <w:tcW w:w="2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(422,862)</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740"/>
              <w:spacing w:after="0"/>
              <w:rPr>
                <w:sz w:val="20"/>
                <w:szCs w:val="20"/>
                <w:color w:val="auto"/>
              </w:rPr>
            </w:pPr>
            <w:r>
              <w:rPr>
                <w:rFonts w:ascii="Arial" w:cs="Arial" w:eastAsia="Arial" w:hAnsi="Arial"/>
                <w:sz w:val="13"/>
                <w:szCs w:val="13"/>
                <w:color w:val="auto"/>
              </w:rPr>
              <w:t>TOTAL STOCKHOLDERS’ EQUITY (DEFICIT)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97,180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3"/>
                <w:szCs w:val="13"/>
                <w:color w:val="auto"/>
              </w:rPr>
              <w:t>(422,862)</w:t>
            </w:r>
          </w:p>
        </w:tc>
        <w:tc>
          <w:tcPr>
            <w:tcW w:w="0" w:type="dxa"/>
            <w:vAlign w:val="bottom"/>
          </w:tcPr>
          <w:p>
            <w:pPr>
              <w:spacing w:after="0"/>
              <w:rPr>
                <w:sz w:val="1"/>
                <w:szCs w:val="1"/>
                <w:color w:val="auto"/>
              </w:rPr>
            </w:pPr>
          </w:p>
        </w:tc>
      </w:tr>
      <w:tr>
        <w:trPr>
          <w:trHeight w:val="143"/>
        </w:trPr>
        <w:tc>
          <w:tcPr>
            <w:tcW w:w="76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LIABILITIES, CONVERTIBLE PREFERRED STOCK, AND STOCKHOLDERS’</w:t>
            </w: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6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 (DEFICIT)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427,074</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ind w:left="340" w:right="2240"/>
        <w:spacing w:after="0" w:line="261" w:lineRule="auto"/>
        <w:rPr>
          <w:sz w:val="20"/>
          <w:szCs w:val="20"/>
          <w:color w:val="auto"/>
        </w:rPr>
      </w:pPr>
      <w:r>
        <w:rPr>
          <w:rFonts w:ascii="Arial" w:cs="Arial" w:eastAsia="Arial" w:hAnsi="Arial"/>
          <w:sz w:val="18"/>
          <w:szCs w:val="18"/>
          <w:b w:val="1"/>
          <w:bCs w:val="1"/>
          <w:color w:val="auto"/>
        </w:rPr>
        <w:t>HARMONY BIOSCIENCES HOLDINGS, INC. AND SUBSIDIARY CONSOLIDATED STATEMENTS OF OPERATIONS AND COMPREHENSIVE LOSS (In thousands, except share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2"/>
        </w:trPr>
        <w:tc>
          <w:tcPr>
            <w:tcW w:w="6160" w:type="dxa"/>
            <w:vAlign w:val="bottom"/>
            <w:tcBorders>
              <w:bottom w:val="single" w:sz="8" w:color="CFF0FC"/>
            </w:tcBorders>
          </w:tcPr>
          <w:p>
            <w:pPr>
              <w:spacing w:after="0"/>
              <w:rPr>
                <w:sz w:val="20"/>
                <w:szCs w:val="20"/>
                <w:color w:val="auto"/>
              </w:rPr>
            </w:pPr>
          </w:p>
        </w:tc>
        <w:tc>
          <w:tcPr>
            <w:tcW w:w="15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product revenues</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159,742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sold</w:t>
            </w:r>
          </w:p>
        </w:tc>
        <w:tc>
          <w:tcPr>
            <w:tcW w:w="15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55,824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115,018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(145,904)</w:t>
            </w:r>
          </w:p>
        </w:tc>
        <w:tc>
          <w:tcPr>
            <w:tcW w:w="0" w:type="dxa"/>
            <w:vAlign w:val="bottom"/>
          </w:tcPr>
          <w:p>
            <w:pPr>
              <w:spacing w:after="0"/>
              <w:rPr>
                <w:sz w:val="1"/>
                <w:szCs w:val="1"/>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(22,639)</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(3,071)</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8"/>
                <w:szCs w:val="18"/>
                <w:color w:val="auto"/>
              </w:rPr>
              <w:t>Interest expense, net</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(28,220)</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21"/>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5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(36,944)</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tcPr>
          <w:p>
            <w:pPr>
              <w:spacing w:after="0"/>
              <w:rPr>
                <w:sz w:val="20"/>
                <w:szCs w:val="20"/>
                <w:color w:val="auto"/>
              </w:rPr>
            </w:pPr>
            <w:r>
              <w:rPr>
                <w:rFonts w:ascii="Arial" w:cs="Arial" w:eastAsia="Arial" w:hAnsi="Arial"/>
                <w:sz w:val="18"/>
                <w:szCs w:val="18"/>
                <w:color w:val="auto"/>
              </w:rPr>
              <w:t>Income taxes</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5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(36,944)</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Accumulation of dividends on preferred stock</w:t>
            </w:r>
          </w:p>
        </w:tc>
        <w:tc>
          <w:tcPr>
            <w:tcW w:w="15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(26,904)</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available to common stockholders</w:t>
            </w:r>
          </w:p>
        </w:tc>
        <w:tc>
          <w:tcPr>
            <w:tcW w:w="15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(63,848)</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(187,208)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7"/>
        </w:trPr>
        <w:tc>
          <w:tcPr>
            <w:tcW w:w="616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0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8"/>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shares of common stock - basic</w:t>
            </w: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25,772,419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60"/>
              <w:spacing w:after="0"/>
              <w:rPr>
                <w:sz w:val="20"/>
                <w:szCs w:val="20"/>
                <w:color w:val="auto"/>
              </w:rPr>
            </w:pPr>
            <w:r>
              <w:rPr>
                <w:rFonts w:ascii="Arial" w:cs="Arial" w:eastAsia="Arial" w:hAnsi="Arial"/>
                <w:sz w:val="18"/>
                <w:szCs w:val="18"/>
                <w:color w:val="auto"/>
              </w:rPr>
              <w:t>Weighted average number of shares of common stock -</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25,772,419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7,777,441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720" w:right="2560" w:hanging="3138"/>
        <w:spacing w:after="0" w:line="519" w:lineRule="auto"/>
        <w:rPr>
          <w:sz w:val="20"/>
          <w:szCs w:val="20"/>
          <w:color w:val="auto"/>
        </w:rPr>
      </w:pPr>
      <w:r>
        <w:rPr>
          <w:rFonts w:ascii="Arial" w:cs="Arial" w:eastAsia="Arial" w:hAnsi="Arial"/>
          <w:sz w:val="18"/>
          <w:szCs w:val="18"/>
          <w:i w:val="1"/>
          <w:iCs w:val="1"/>
          <w:color w:val="auto"/>
        </w:rPr>
        <w:t xml:space="preserve">The accompanying notes are an integral part of the consolidated financial statements </w:t>
      </w: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7613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HARMONY BIOSCIENCES HOLDINGS, INC. AND SUBSIDIARY CONSOLIDATED STATEMENTS OF CONVERTIBLE PREFERRED STOCK AND STOCKHOLDERS’ EQUITY (DEFICIT) (In thousands, except share and per share 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18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Convertible Preferred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3920" w:type="dxa"/>
            <w:vAlign w:val="bottom"/>
          </w:tcPr>
          <w:p>
            <w:pPr>
              <w:spacing w:after="0"/>
              <w:rPr>
                <w:sz w:val="12"/>
                <w:szCs w:val="12"/>
                <w:color w:val="auto"/>
              </w:rPr>
            </w:pPr>
          </w:p>
        </w:tc>
        <w:tc>
          <w:tcPr>
            <w:tcW w:w="1240" w:type="dxa"/>
            <w:vAlign w:val="bottom"/>
            <w:gridSpan w:val="3"/>
          </w:tcPr>
          <w:p>
            <w:pPr>
              <w:jc w:val="center"/>
              <w:ind w:left="629"/>
              <w:spacing w:after="0" w:line="147" w:lineRule="exact"/>
              <w:rPr>
                <w:sz w:val="20"/>
                <w:szCs w:val="20"/>
                <w:color w:val="auto"/>
              </w:rPr>
            </w:pPr>
            <w:r>
              <w:rPr>
                <w:rFonts w:ascii="Arial" w:cs="Arial" w:eastAsia="Arial" w:hAnsi="Arial"/>
                <w:sz w:val="14"/>
                <w:szCs w:val="14"/>
                <w:b w:val="1"/>
                <w:bCs w:val="1"/>
                <w:color w:val="auto"/>
                <w:w w:val="89"/>
              </w:rPr>
              <w:t>Stock</w:t>
            </w: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vMerge w:val="restart"/>
          </w:tcPr>
          <w:p>
            <w:pPr>
              <w:jc w:val="right"/>
              <w:ind w:right="24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218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Series A, B, &amp; C</w:t>
            </w:r>
          </w:p>
        </w:tc>
        <w:tc>
          <w:tcPr>
            <w:tcW w:w="8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89"/>
              <w:spacing w:after="0" w:line="154"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240"/>
              <w:spacing w:after="0" w:line="154" w:lineRule="exact"/>
              <w:rPr>
                <w:sz w:val="20"/>
                <w:szCs w:val="20"/>
                <w:color w:val="auto"/>
              </w:rPr>
            </w:pPr>
            <w:r>
              <w:rPr>
                <w:rFonts w:ascii="Arial" w:cs="Arial" w:eastAsia="Arial" w:hAnsi="Arial"/>
                <w:sz w:val="14"/>
                <w:szCs w:val="14"/>
                <w:b w:val="1"/>
                <w:bCs w:val="1"/>
                <w:color w:val="auto"/>
              </w:rPr>
              <w:t>Shares (1)</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3"/>
                <w:szCs w:val="13"/>
                <w:color w:val="auto"/>
              </w:rPr>
            </w:pPr>
          </w:p>
        </w:tc>
        <w:tc>
          <w:tcPr>
            <w:tcW w:w="900" w:type="dxa"/>
            <w:vAlign w:val="bottom"/>
            <w:gridSpan w:val="2"/>
          </w:tcPr>
          <w:p>
            <w:pPr>
              <w:jc w:val="right"/>
              <w:ind w:right="369"/>
              <w:spacing w:after="0" w:line="154"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76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4"/>
        </w:trPr>
        <w:tc>
          <w:tcPr>
            <w:tcW w:w="392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Balance as of December 31, 2018</w:t>
            </w:r>
          </w:p>
        </w:tc>
        <w:tc>
          <w:tcPr>
            <w:tcW w:w="9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293,000,000</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324,201</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7,777,100</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29"/>
              <w:spacing w:after="0" w:line="154"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(242,673)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(242,673)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(151,977)</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(151,977)</w:t>
            </w: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ind w:left="260"/>
              <w:spacing w:after="0" w:line="142" w:lineRule="exact"/>
              <w:rPr>
                <w:sz w:val="20"/>
                <w:szCs w:val="20"/>
                <w:color w:val="auto"/>
              </w:rPr>
            </w:pPr>
            <w:r>
              <w:rPr>
                <w:rFonts w:ascii="Arial" w:cs="Arial" w:eastAsia="Arial" w:hAnsi="Arial"/>
                <w:sz w:val="14"/>
                <w:szCs w:val="14"/>
                <w:color w:val="auto"/>
              </w:rPr>
              <w:t>Issuance of Series C convertible preferred stock, net of</w:t>
            </w: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25,510,205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48,868</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Preferred stock dividend, Series A</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32,160</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(9,994)</w:t>
            </w:r>
          </w:p>
        </w:tc>
        <w:tc>
          <w:tcPr>
            <w:tcW w:w="140" w:type="dxa"/>
            <w:vAlign w:val="bottom"/>
          </w:tcPr>
          <w:p>
            <w:pPr>
              <w:spacing w:after="0"/>
              <w:rPr>
                <w:sz w:val="13"/>
                <w:szCs w:val="13"/>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(22,166)</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(32,160)</w:t>
            </w: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accretion, Series 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2,742</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(2,742)</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Preferred stock dividend, Series B</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1,098</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(1,098)</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accretion, Series B</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Preferred stock dividend, Series C</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1,973</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(1,973)</w:t>
            </w: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accretion, Series C</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20" w:type="dxa"/>
            <w:vAlign w:val="bottom"/>
          </w:tcPr>
          <w:p>
            <w:pPr>
              <w:spacing w:after="0" w:line="154" w:lineRule="exact"/>
              <w:rPr>
                <w:sz w:val="20"/>
                <w:szCs w:val="20"/>
                <w:color w:val="auto"/>
              </w:rPr>
            </w:pPr>
            <w:r>
              <w:rPr>
                <w:rFonts w:ascii="Arial" w:cs="Arial" w:eastAsia="Arial" w:hAnsi="Arial"/>
                <w:sz w:val="14"/>
                <w:szCs w:val="14"/>
                <w:color w:val="auto"/>
              </w:rPr>
              <w:t>Balance as of December 31, 2019</w:t>
            </w: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318,510,205</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411,275</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7,787,470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ind w:right="529"/>
              <w:spacing w:after="0" w:line="154"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(422,862)</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(422,862)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(36,944)</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(36,944)</w:t>
            </w: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Preferred stock dividend, Series A</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22,780</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(1,048)</w:t>
            </w:r>
          </w:p>
        </w:tc>
        <w:tc>
          <w:tcPr>
            <w:tcW w:w="140" w:type="dxa"/>
            <w:vAlign w:val="bottom"/>
          </w:tcPr>
          <w:p>
            <w:pPr>
              <w:spacing w:after="0"/>
              <w:rPr>
                <w:sz w:val="13"/>
                <w:szCs w:val="13"/>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(21,732)</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(22,780)</w:t>
            </w: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accretion, Series 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5,562</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(3,572)</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(1,990)</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(5,562)</w:t>
            </w: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Preferred stock dividend, Series B</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777</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accretion, Series B</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Preferred stock dividend, Series C</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3,347</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(3,347)</w:t>
            </w: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accretion, Series C</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(563)</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42"/>
        </w:trPr>
        <w:tc>
          <w:tcPr>
            <w:tcW w:w="3920" w:type="dxa"/>
            <w:vAlign w:val="bottom"/>
          </w:tcPr>
          <w:p>
            <w:pPr>
              <w:ind w:left="260"/>
              <w:spacing w:after="0" w:line="142" w:lineRule="exact"/>
              <w:rPr>
                <w:sz w:val="20"/>
                <w:szCs w:val="20"/>
                <w:color w:val="auto"/>
              </w:rPr>
            </w:pPr>
            <w:r>
              <w:rPr>
                <w:rFonts w:ascii="Arial" w:cs="Arial" w:eastAsia="Arial" w:hAnsi="Arial"/>
                <w:sz w:val="14"/>
                <w:szCs w:val="14"/>
                <w:color w:val="auto"/>
                <w:w w:val="97"/>
              </w:rPr>
              <w:t>Issuance of stock upon initial public offering, net of issuance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260"/>
              <w:spacing w:after="0"/>
              <w:rPr>
                <w:sz w:val="20"/>
                <w:szCs w:val="20"/>
                <w:color w:val="auto"/>
              </w:rPr>
            </w:pPr>
            <w:r>
              <w:rPr>
                <w:rFonts w:ascii="Arial" w:cs="Arial" w:eastAsia="Arial" w:hAnsi="Arial"/>
                <w:sz w:val="14"/>
                <w:szCs w:val="14"/>
                <w:color w:val="auto"/>
              </w:rPr>
              <w:t>costs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6,151,162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135,435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135,435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ind w:left="260"/>
              <w:spacing w:after="0" w:line="142" w:lineRule="exact"/>
              <w:rPr>
                <w:sz w:val="20"/>
                <w:szCs w:val="20"/>
                <w:color w:val="auto"/>
              </w:rPr>
            </w:pPr>
            <w:r>
              <w:rPr>
                <w:rFonts w:ascii="Arial" w:cs="Arial" w:eastAsia="Arial" w:hAnsi="Arial"/>
                <w:sz w:val="14"/>
                <w:szCs w:val="14"/>
                <w:color w:val="auto"/>
              </w:rPr>
              <w:t>Conversion of Series A, B, C convertible stock to common</w:t>
            </w: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(318,510,205)</w:t>
            </w:r>
          </w:p>
        </w:tc>
        <w:tc>
          <w:tcPr>
            <w:tcW w:w="120" w:type="dxa"/>
            <w:vAlign w:val="bottom"/>
            <w:shd w:val="clear" w:color="auto" w:fill="CFF0FC"/>
          </w:tcPr>
          <w:p>
            <w:pPr>
              <w:spacing w:after="0"/>
              <w:rPr>
                <w:sz w:val="14"/>
                <w:szCs w:val="14"/>
                <w:color w:val="auto"/>
              </w:rPr>
            </w:pPr>
          </w:p>
        </w:tc>
        <w:tc>
          <w:tcPr>
            <w:tcW w:w="9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(444,715)</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42,926,630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444,715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444,716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Reclassification of warrant liability to equity</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5,468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options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37,947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4,693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4,693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Repurchase and cancellation of common units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(12,175)</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2"/>
        </w:trPr>
        <w:tc>
          <w:tcPr>
            <w:tcW w:w="3920" w:type="dxa"/>
            <w:vAlign w:val="bottom"/>
          </w:tcPr>
          <w:p>
            <w:pPr>
              <w:ind w:left="260"/>
              <w:spacing w:after="0" w:line="142" w:lineRule="exact"/>
              <w:rPr>
                <w:sz w:val="20"/>
                <w:szCs w:val="20"/>
                <w:color w:val="auto"/>
              </w:rPr>
            </w:pPr>
            <w:r>
              <w:rPr>
                <w:rFonts w:ascii="Arial" w:cs="Arial" w:eastAsia="Arial" w:hAnsi="Arial"/>
                <w:sz w:val="14"/>
                <w:szCs w:val="14"/>
                <w:color w:val="auto"/>
              </w:rPr>
              <w:t>Repurchase and cancellation of common units withheld for</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260"/>
              <w:spacing w:after="0"/>
              <w:rPr>
                <w:sz w:val="20"/>
                <w:szCs w:val="20"/>
                <w:color w:val="auto"/>
              </w:rPr>
            </w:pPr>
            <w:r>
              <w:rPr>
                <w:rFonts w:ascii="Arial" w:cs="Arial" w:eastAsia="Arial" w:hAnsi="Arial"/>
                <w:sz w:val="14"/>
                <w:szCs w:val="14"/>
                <w:color w:val="auto"/>
              </w:rPr>
              <w:t>taxes</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9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4"/>
        </w:trPr>
        <w:tc>
          <w:tcPr>
            <w:tcW w:w="3920" w:type="dxa"/>
            <w:vAlign w:val="bottom"/>
            <w:tcBorders>
              <w:top w:val="single" w:sz="8" w:color="CFF0FC"/>
              <w:bottom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Balance as of December 31, 2020</w:t>
            </w:r>
          </w:p>
        </w:tc>
        <w:tc>
          <w:tcPr>
            <w:tcW w:w="9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56,890,569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29"/>
              <w:spacing w:after="0" w:line="154"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585,374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(488,195</w:t>
            </w:r>
          </w:p>
        </w:tc>
        <w:tc>
          <w:tcPr>
            <w:tcW w:w="220" w:type="dxa"/>
            <w:vAlign w:val="bottom"/>
            <w:tcBorders>
              <w:top w:val="single" w:sz="8" w:color="CFF0FC"/>
              <w:bottom w:val="single" w:sz="8" w:color="CFF0FC"/>
            </w:tcBorders>
            <w:shd w:val="clear" w:color="auto" w:fill="CFF0FC"/>
          </w:tcPr>
          <w:p>
            <w:pPr>
              <w:jc w:val="right"/>
              <w:ind w:right="89"/>
              <w:spacing w:after="0" w:line="154"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97,180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860" w:hanging="853"/>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Common stock of Harmony Biosciences Holdings,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vMerge w:val="restart"/>
          </w:tcPr>
          <w:p>
            <w:pPr>
              <w:jc w:val="right"/>
              <w:ind w:right="58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5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580" w:type="dxa"/>
            <w:vAlign w:val="bottom"/>
            <w:shd w:val="clear" w:color="auto" w:fill="CFF0FC"/>
          </w:tcPr>
          <w:p>
            <w:pPr>
              <w:spacing w:after="0" w:line="154" w:lineRule="exact"/>
              <w:rPr>
                <w:sz w:val="20"/>
                <w:szCs w:val="20"/>
                <w:color w:val="auto"/>
              </w:rPr>
            </w:pPr>
            <w:r>
              <w:rPr>
                <w:rFonts w:ascii="Arial" w:cs="Arial" w:eastAsia="Arial" w:hAnsi="Arial"/>
                <w:sz w:val="14"/>
                <w:szCs w:val="14"/>
                <w:color w:val="auto"/>
              </w:rPr>
              <w:t>CASH FLOWS FROM OPERATING ACTIVITIES</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824"/>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(36,944)</w:t>
            </w: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(151,977)</w:t>
            </w: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spacing w:after="0"/>
              <w:rPr>
                <w:sz w:val="20"/>
                <w:szCs w:val="20"/>
                <w:color w:val="auto"/>
              </w:rPr>
            </w:pPr>
            <w:r>
              <w:rPr>
                <w:rFonts w:ascii="Arial" w:cs="Arial" w:eastAsia="Arial" w:hAnsi="Arial"/>
                <w:sz w:val="14"/>
                <w:szCs w:val="14"/>
                <w:i w:val="1"/>
                <w:iCs w:val="1"/>
                <w:color w:val="auto"/>
              </w:rPr>
              <w:t>Adjustments to reconcile net loss to net cash used in operating activities:</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394</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amortization</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9,843</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Milestones associated with acquired in-process research &amp; development (IPR&amp;D)</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2,000</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4,693</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Stock appreciation rights market adjustment</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497</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Warrant expense</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3,109</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Noncash paid-in-kind interest expense</w:t>
            </w:r>
          </w:p>
        </w:tc>
        <w:tc>
          <w:tcPr>
            <w:tcW w:w="94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Debt issuance costs amortization</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2,412</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22,639</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Change in operating assets and liabilities:</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Trade receivables</w:t>
            </w:r>
          </w:p>
        </w:tc>
        <w:tc>
          <w:tcPr>
            <w:tcW w:w="9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(17,922)</w:t>
            </w:r>
          </w:p>
        </w:tc>
        <w:tc>
          <w:tcPr>
            <w:tcW w:w="64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(2,735)</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9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(6,563)</w:t>
            </w: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Trade payables</w:t>
            </w:r>
          </w:p>
        </w:tc>
        <w:tc>
          <w:tcPr>
            <w:tcW w:w="9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(3,804)</w:t>
            </w: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18,450</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Other non-current liabilities</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54"/>
        </w:trPr>
        <w:tc>
          <w:tcPr>
            <w:tcW w:w="758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Net cash used in operating activities</w:t>
            </w: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(2,985)</w:t>
            </w:r>
          </w:p>
        </w:tc>
        <w:tc>
          <w:tcPr>
            <w:tcW w:w="3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(75,436)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580" w:type="dxa"/>
            <w:vAlign w:val="bottom"/>
          </w:tcPr>
          <w:p>
            <w:pPr>
              <w:spacing w:after="0" w:line="154" w:lineRule="exact"/>
              <w:rPr>
                <w:sz w:val="20"/>
                <w:szCs w:val="20"/>
                <w:color w:val="auto"/>
              </w:rPr>
            </w:pPr>
            <w:r>
              <w:rPr>
                <w:rFonts w:ascii="Arial" w:cs="Arial" w:eastAsia="Arial" w:hAnsi="Arial"/>
                <w:sz w:val="14"/>
                <w:szCs w:val="14"/>
                <w:color w:val="auto"/>
              </w:rPr>
              <w:t>CASH FLOWS FROM INVESTING ACTIVITIES:</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property and equipment</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(2)</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Milestone associated with acquired in-process research &amp; development (IPR&amp;D)</w:t>
            </w:r>
          </w:p>
        </w:tc>
        <w:tc>
          <w:tcPr>
            <w:tcW w:w="9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(2,000)</w:t>
            </w:r>
          </w:p>
        </w:tc>
        <w:tc>
          <w:tcPr>
            <w:tcW w:w="64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(52,000)</w:t>
            </w: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Milestone and acquisition of intangible asset</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54"/>
        </w:trPr>
        <w:tc>
          <w:tcPr>
            <w:tcW w:w="7580" w:type="dxa"/>
            <w:vAlign w:val="bottom"/>
            <w:tcBorders>
              <w:bottom w:val="single" w:sz="8" w:color="CFF0FC"/>
            </w:tcBorders>
          </w:tcPr>
          <w:p>
            <w:pPr>
              <w:spacing w:after="0" w:line="154" w:lineRule="exact"/>
              <w:rPr>
                <w:sz w:val="20"/>
                <w:szCs w:val="20"/>
                <w:color w:val="auto"/>
              </w:rPr>
            </w:pPr>
            <w:r>
              <w:rPr>
                <w:rFonts w:ascii="Arial" w:cs="Arial" w:eastAsia="Arial" w:hAnsi="Arial"/>
                <w:sz w:val="14"/>
                <w:szCs w:val="14"/>
                <w:color w:val="auto"/>
              </w:rPr>
              <w:t>Net cash used in investing activities</w:t>
            </w:r>
          </w:p>
        </w:tc>
        <w:tc>
          <w:tcPr>
            <w:tcW w:w="9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(2,002)</w:t>
            </w:r>
          </w:p>
        </w:tc>
        <w:tc>
          <w:tcPr>
            <w:tcW w:w="36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(127,149)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580" w:type="dxa"/>
            <w:vAlign w:val="bottom"/>
            <w:shd w:val="clear" w:color="auto" w:fill="CFF0FC"/>
          </w:tcPr>
          <w:p>
            <w:pPr>
              <w:spacing w:after="0" w:line="154" w:lineRule="exact"/>
              <w:rPr>
                <w:sz w:val="20"/>
                <w:szCs w:val="20"/>
                <w:color w:val="auto"/>
              </w:rPr>
            </w:pPr>
            <w:r>
              <w:rPr>
                <w:rFonts w:ascii="Arial" w:cs="Arial" w:eastAsia="Arial" w:hAnsi="Arial"/>
                <w:sz w:val="14"/>
                <w:szCs w:val="14"/>
                <w:color w:val="auto"/>
              </w:rPr>
              <w:t>CASH FLOWS FROM FINANCING ACTIVITIES:</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Proceeds from issuance of common stock upon initial public offering</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147,628</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Initial public offering issuance costs</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(12,193)</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Proceeds from issuance of preferred stock</w:t>
            </w:r>
          </w:p>
        </w:tc>
        <w:tc>
          <w:tcPr>
            <w:tcW w:w="94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issuance costs</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Proceeds from long term debt</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200,000</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Debt issuance costs</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(5,804)</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Extinguishment of debt</w:t>
            </w:r>
          </w:p>
        </w:tc>
        <w:tc>
          <w:tcPr>
            <w:tcW w:w="9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(102,538)</w:t>
            </w:r>
          </w:p>
        </w:tc>
        <w:tc>
          <w:tcPr>
            <w:tcW w:w="6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Extinguishment of debt exit fees</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(18,047)</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Proceeds from exercised options</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Repurchase of common stock</w:t>
            </w:r>
          </w:p>
        </w:tc>
        <w:tc>
          <w:tcPr>
            <w:tcW w:w="9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(167)</w:t>
            </w: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Tax payments for employees shares withheld</w:t>
            </w:r>
          </w:p>
        </w:tc>
        <w:tc>
          <w:tcPr>
            <w:tcW w:w="9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(17)</w:t>
            </w:r>
          </w:p>
        </w:tc>
        <w:tc>
          <w:tcPr>
            <w:tcW w:w="6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758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209,161</w:t>
            </w:r>
          </w:p>
        </w:tc>
        <w:tc>
          <w:tcPr>
            <w:tcW w:w="3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143,769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580" w:type="dxa"/>
            <w:vAlign w:val="bottom"/>
            <w:tcBorders>
              <w:bottom w:val="single" w:sz="8" w:color="CFF0FC"/>
            </w:tcBorders>
          </w:tcPr>
          <w:p>
            <w:pPr>
              <w:spacing w:after="0" w:line="154" w:lineRule="exact"/>
              <w:rPr>
                <w:sz w:val="20"/>
                <w:szCs w:val="20"/>
                <w:color w:val="auto"/>
              </w:rPr>
            </w:pPr>
            <w:r>
              <w:rPr>
                <w:rFonts w:ascii="Arial" w:cs="Arial" w:eastAsia="Arial" w:hAnsi="Arial"/>
                <w:sz w:val="14"/>
                <w:szCs w:val="14"/>
                <w:color w:val="auto"/>
              </w:rPr>
              <w:t>NET INCREASE IN CASH, CASH EQUIVALENTS, AND RESTRICTED CASH</w:t>
            </w: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204,174</w:t>
            </w:r>
          </w:p>
        </w:tc>
        <w:tc>
          <w:tcPr>
            <w:tcW w:w="3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(58,816)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580" w:type="dxa"/>
            <w:vAlign w:val="bottom"/>
            <w:shd w:val="clear" w:color="auto" w:fill="CFF0FC"/>
          </w:tcPr>
          <w:p>
            <w:pPr>
              <w:spacing w:after="0" w:line="154" w:lineRule="exact"/>
              <w:rPr>
                <w:sz w:val="20"/>
                <w:szCs w:val="20"/>
                <w:color w:val="auto"/>
              </w:rPr>
            </w:pPr>
            <w:r>
              <w:rPr>
                <w:rFonts w:ascii="Arial" w:cs="Arial" w:eastAsia="Arial" w:hAnsi="Arial"/>
                <w:sz w:val="14"/>
                <w:szCs w:val="14"/>
                <w:color w:val="auto"/>
              </w:rPr>
              <w:t>CASH, CASH EQUIVALENTS, AND RESTRICTED CASH—Beginning of period</w:t>
            </w:r>
          </w:p>
        </w:tc>
        <w:tc>
          <w:tcPr>
            <w:tcW w:w="9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25,207</w:t>
            </w:r>
          </w:p>
        </w:tc>
        <w:tc>
          <w:tcPr>
            <w:tcW w:w="36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84,023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580" w:type="dxa"/>
            <w:vAlign w:val="bottom"/>
            <w:tcBorders>
              <w:bottom w:val="single" w:sz="8" w:color="CFF0FC"/>
            </w:tcBorders>
          </w:tcPr>
          <w:p>
            <w:pPr>
              <w:spacing w:after="0" w:line="154" w:lineRule="exact"/>
              <w:rPr>
                <w:sz w:val="20"/>
                <w:szCs w:val="20"/>
                <w:color w:val="auto"/>
              </w:rPr>
            </w:pPr>
            <w:r>
              <w:rPr>
                <w:rFonts w:ascii="Arial" w:cs="Arial" w:eastAsia="Arial" w:hAnsi="Arial"/>
                <w:sz w:val="14"/>
                <w:szCs w:val="14"/>
                <w:color w:val="auto"/>
              </w:rPr>
              <w:t>CASH, CASH EQUIVALENTS, AND RESTRICTED CASH—End of period</w:t>
            </w:r>
          </w:p>
        </w:tc>
        <w:tc>
          <w:tcPr>
            <w:tcW w:w="94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229,381</w:t>
            </w:r>
          </w:p>
        </w:tc>
        <w:tc>
          <w:tcPr>
            <w:tcW w:w="36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25,207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58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Supplemental Disclosure of Cash Flow Information:</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Cash paid during the year for interest</w:t>
            </w:r>
          </w:p>
        </w:tc>
        <w:tc>
          <w:tcPr>
            <w:tcW w:w="940" w:type="dxa"/>
            <w:vAlign w:val="bottom"/>
          </w:tcPr>
          <w:p>
            <w:pPr>
              <w:jc w:val="right"/>
              <w:ind w:right="82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26,203</w:t>
            </w:r>
          </w:p>
        </w:tc>
        <w:tc>
          <w:tcPr>
            <w:tcW w:w="360" w:type="dxa"/>
            <w:vAlign w:val="bottom"/>
          </w:tcPr>
          <w:p>
            <w:pPr>
              <w:spacing w:after="0"/>
              <w:rPr>
                <w:sz w:val="13"/>
                <w:szCs w:val="1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4,230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during the year for milestones</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Series A Preferred Stock accrued return</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22,780</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Series A accretion of issuance costs</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5,562</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Series B Preferred Stock accrued return</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Series B accretion of issuance costs</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Series C Preferred Stock accrued return</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3,347</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260"/>
              <w:spacing w:after="0"/>
              <w:rPr>
                <w:sz w:val="20"/>
                <w:szCs w:val="20"/>
                <w:color w:val="auto"/>
              </w:rPr>
            </w:pPr>
            <w:r>
              <w:rPr>
                <w:rFonts w:ascii="Arial" w:cs="Arial" w:eastAsia="Arial" w:hAnsi="Arial"/>
                <w:sz w:val="14"/>
                <w:szCs w:val="14"/>
                <w:color w:val="auto"/>
              </w:rPr>
              <w:t>Series C accretion of issuance costs</w:t>
            </w:r>
          </w:p>
        </w:tc>
        <w:tc>
          <w:tcPr>
            <w:tcW w:w="9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921</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Warrant financing</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2,359</w:t>
            </w: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580" w:type="dxa"/>
            <w:vAlign w:val="bottom"/>
          </w:tcPr>
          <w:p>
            <w:pPr>
              <w:ind w:left="260"/>
              <w:spacing w:after="0"/>
              <w:rPr>
                <w:sz w:val="20"/>
                <w:szCs w:val="20"/>
                <w:color w:val="auto"/>
              </w:rPr>
            </w:pPr>
            <w:r>
              <w:rPr>
                <w:rFonts w:ascii="Arial" w:cs="Arial" w:eastAsia="Arial" w:hAnsi="Arial"/>
                <w:sz w:val="14"/>
                <w:szCs w:val="14"/>
                <w:color w:val="auto"/>
              </w:rPr>
              <w:t>Warrant liability reclassified to equity</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5,468</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Company</w:t>
      </w:r>
    </w:p>
    <w:p>
      <w:pPr>
        <w:spacing w:after="0" w:line="114" w:lineRule="exact"/>
        <w:rPr>
          <w:sz w:val="20"/>
          <w:szCs w:val="20"/>
          <w:color w:val="auto"/>
        </w:rPr>
      </w:pPr>
    </w:p>
    <w:p>
      <w:pPr>
        <w:ind w:right="120" w:firstLine="761"/>
        <w:spacing w:after="0" w:line="251" w:lineRule="auto"/>
        <w:rPr>
          <w:sz w:val="20"/>
          <w:szCs w:val="20"/>
          <w:color w:val="auto"/>
        </w:rPr>
      </w:pPr>
      <w:r>
        <w:rPr>
          <w:rFonts w:ascii="Arial" w:cs="Arial" w:eastAsia="Arial" w:hAnsi="Arial"/>
          <w:sz w:val="18"/>
          <w:szCs w:val="18"/>
          <w:color w:val="auto"/>
        </w:rPr>
        <w:t>Our operating subsidiary, Harmony Biosciences, LLC, was formed on May 17, 2017. Harmony Biosciences Holdings, Inc. (the “Company”) was founded on July 25, 2017 as Harmony Biosciences II, LLC, a Delaware limited liability company, and the Company converted to a Delaware corporation named Harmony Biosciences II, Inc. on September 19, 2017. On February 3, 2020, the Company changed its name to Harmony Biosciences Holdings, Inc. The Company is a holding company and has no operations. The Company’s operations are conducted in its wholly owned subsidiary, Harmony Biosciences, LLC (“Harmony”). The Company is a commercial-stage pharmaceutical company focused on developing and commercializing innovative therapies for patients living with rare neurological disorders who have unmet medical needs. The Company is headquartered in Plymouth Meeting, Pennsylvania.</w:t>
      </w: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4" w:lineRule="exact"/>
        <w:rPr>
          <w:sz w:val="20"/>
          <w:szCs w:val="20"/>
          <w:color w:val="auto"/>
        </w:rPr>
      </w:pPr>
    </w:p>
    <w:p>
      <w:pPr>
        <w:ind w:right="120" w:firstLine="761"/>
        <w:spacing w:after="0" w:line="251" w:lineRule="auto"/>
        <w:rPr>
          <w:sz w:val="20"/>
          <w:szCs w:val="20"/>
          <w:color w:val="auto"/>
        </w:rPr>
      </w:pPr>
      <w:r>
        <w:rPr>
          <w:rFonts w:ascii="Arial" w:cs="Arial" w:eastAsia="Arial" w:hAnsi="Arial"/>
          <w:sz w:val="18"/>
          <w:szCs w:val="18"/>
          <w:color w:val="auto"/>
        </w:rPr>
        <w:t>On August 21, 2020, the Company completed its initial public offering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4" w:lineRule="exact"/>
        <w:rPr>
          <w:sz w:val="20"/>
          <w:szCs w:val="20"/>
          <w:color w:val="auto"/>
        </w:rPr>
      </w:pPr>
    </w:p>
    <w:p>
      <w:pPr>
        <w:ind w:right="20" w:firstLine="761"/>
        <w:spacing w:after="0" w:line="269" w:lineRule="auto"/>
        <w:rPr>
          <w:sz w:val="20"/>
          <w:szCs w:val="20"/>
          <w:color w:val="auto"/>
        </w:rPr>
      </w:pPr>
      <w:r>
        <w:rPr>
          <w:rFonts w:ascii="Arial" w:cs="Arial" w:eastAsia="Arial" w:hAnsi="Arial"/>
          <w:sz w:val="17"/>
          <w:szCs w:val="17"/>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and preferred dividend were proportionately reduced. All references in the accompanying consolidated financial statements and related notes to the number of shares of common stock, convertible preferred stock, warrants and options to purchase common stock and per share data reflect the effect of the reverse stock split.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LIQUIDITY AND CAPITAL RESOURCES</w:t>
      </w:r>
    </w:p>
    <w:p>
      <w:pPr>
        <w:spacing w:after="0" w:line="114" w:lineRule="exact"/>
        <w:rPr>
          <w:sz w:val="20"/>
          <w:szCs w:val="20"/>
          <w:color w:val="auto"/>
        </w:rPr>
      </w:pPr>
    </w:p>
    <w:p>
      <w:pPr>
        <w:ind w:right="60" w:firstLine="761"/>
        <w:spacing w:after="0" w:line="255" w:lineRule="auto"/>
        <w:rPr>
          <w:sz w:val="20"/>
          <w:szCs w:val="20"/>
          <w:color w:val="auto"/>
        </w:rPr>
      </w:pPr>
      <w:r>
        <w:rPr>
          <w:rFonts w:ascii="Arial" w:cs="Arial" w:eastAsia="Arial" w:hAnsi="Arial"/>
          <w:sz w:val="18"/>
          <w:szCs w:val="18"/>
          <w:color w:val="auto"/>
        </w:rPr>
        <w:t>The consolidated financial statements have been prepared as though the Company will continue as a going concern, which contemplates the realization of assets and satisfaction of liabilities in the normal course of business. The Company has incurred operating losses and negative cash flows from operations since inception resulting in an accumulated deficit of $488,195 and $422,862, as of December 31, 2020 and 2019, respectively. As of December 31, 2020, the Company had cash and cash equivalents of $228,631.</w:t>
      </w:r>
    </w:p>
    <w:p>
      <w:pPr>
        <w:spacing w:after="0" w:line="190" w:lineRule="exact"/>
        <w:rPr>
          <w:sz w:val="20"/>
          <w:szCs w:val="20"/>
          <w:color w:val="auto"/>
        </w:rPr>
      </w:pPr>
    </w:p>
    <w:p>
      <w:pPr>
        <w:ind w:firstLine="770"/>
        <w:spacing w:after="0" w:line="253" w:lineRule="auto"/>
        <w:rPr>
          <w:sz w:val="20"/>
          <w:szCs w:val="20"/>
          <w:color w:val="auto"/>
        </w:rPr>
      </w:pPr>
      <w:r>
        <w:rPr>
          <w:rFonts w:ascii="Arial" w:cs="Arial" w:eastAsia="Arial" w:hAnsi="Arial"/>
          <w:sz w:val="18"/>
          <w:szCs w:val="18"/>
          <w:color w:val="auto"/>
        </w:rPr>
        <w:t>On August 21, 2020, the Company received aggregate proceeds from a common stock offering of approximately $135,435, net of underwriting discounts and commissions and other estimated offering expenses (see Note 11). Additionally, on January 9, 2020, the Company received aggregate proceeds of approximately $200,000 through the loan agreement with OrbiMed Royalty &amp; Credit Opportunities, LP. This capital raise and debt issuance has resolved the Company’s significant risks and uncertainties regarding sources of liquidity, which previously raised substantial doubt about the Company’s ability to continue as a going concern.</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360" w:firstLine="770"/>
        <w:spacing w:after="0" w:line="259" w:lineRule="auto"/>
        <w:rPr>
          <w:sz w:val="20"/>
          <w:szCs w:val="20"/>
          <w:color w:val="auto"/>
        </w:rPr>
      </w:pPr>
      <w:r>
        <w:rPr>
          <w:rFonts w:ascii="Arial" w:cs="Arial" w:eastAsia="Arial" w:hAnsi="Arial"/>
          <w:sz w:val="18"/>
          <w:szCs w:val="18"/>
          <w:color w:val="auto"/>
        </w:rPr>
        <w:t>The Company believes that its anticipated cash from operating and financing activities and existing cash and cash equivalents will enable the Company to meet its operational liquidity needs and fund its planned investing activities for the next twelve months from the date of issuance of these consolidated financial statements.</w:t>
      </w:r>
    </w:p>
    <w:p>
      <w:pPr>
        <w:spacing w:after="0" w:line="360" w:lineRule="exact"/>
        <w:rPr>
          <w:sz w:val="20"/>
          <w:szCs w:val="20"/>
          <w:color w:val="auto"/>
        </w:rPr>
      </w:pPr>
    </w:p>
    <w:p>
      <w:pPr>
        <w:ind w:left="760" w:right="6540" w:hanging="753"/>
        <w:spacing w:after="0" w:line="449" w:lineRule="auto"/>
        <w:tabs>
          <w:tab w:leader="none" w:pos="177"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spacing w:after="0" w:line="1" w:lineRule="exact"/>
        <w:rPr>
          <w:sz w:val="20"/>
          <w:szCs w:val="20"/>
          <w:color w:val="auto"/>
        </w:rPr>
      </w:pPr>
    </w:p>
    <w:p>
      <w:pPr>
        <w:ind w:right="340" w:firstLine="761"/>
        <w:spacing w:after="0" w:line="259"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4" w:lineRule="exact"/>
        <w:rPr>
          <w:sz w:val="20"/>
          <w:szCs w:val="20"/>
          <w:color w:val="auto"/>
        </w:rPr>
      </w:pPr>
    </w:p>
    <w:p>
      <w:pPr>
        <w:ind w:right="40" w:firstLine="761"/>
        <w:spacing w:after="0" w:line="253"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 and the Company’s ability to raise capital.</w:t>
      </w:r>
    </w:p>
    <w:p>
      <w:pPr>
        <w:spacing w:after="0" w:line="193" w:lineRule="exact"/>
        <w:rPr>
          <w:sz w:val="20"/>
          <w:szCs w:val="20"/>
          <w:color w:val="auto"/>
        </w:rPr>
      </w:pPr>
    </w:p>
    <w:p>
      <w:pPr>
        <w:ind w:right="180" w:firstLine="761"/>
        <w:spacing w:after="0" w:line="253"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and clinical trials will result in any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4"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and disclosures in the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carrying amounts of long-lived assets, and the intangible asset. Actual results may differ significantly from our estimates, including as a result of COVID-19.</w:t>
      </w:r>
    </w:p>
    <w:p>
      <w:pPr>
        <w:spacing w:after="0" w:line="20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4" w:lineRule="exact"/>
        <w:rPr>
          <w:sz w:val="20"/>
          <w:szCs w:val="20"/>
          <w:color w:val="auto"/>
        </w:rPr>
      </w:pPr>
    </w:p>
    <w:p>
      <w:pPr>
        <w:ind w:right="280" w:firstLine="761"/>
        <w:spacing w:after="0" w:line="255" w:lineRule="auto"/>
        <w:rPr>
          <w:sz w:val="20"/>
          <w:szCs w:val="20"/>
          <w:color w:val="auto"/>
        </w:rPr>
      </w:pPr>
      <w:r>
        <w:rPr>
          <w:rFonts w:ascii="Arial" w:cs="Arial" w:eastAsia="Arial" w:hAnsi="Arial"/>
          <w:sz w:val="18"/>
          <w:szCs w:val="18"/>
          <w:color w:val="auto"/>
        </w:rPr>
        <w:t>The Company holds all its tangible assets, conducts its operations, and revenues are generated in the U.S. Operating segments are defined as components of an entity for which separate financial information is available and that is regularly reviewed by the Chief Operating Decision Makers in deciding how to allocate resources to an individual segment and in assessing performance. The Company has determined it operates in a single operating segment and has one reportable segment.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4" w:lineRule="exact"/>
        <w:rPr>
          <w:sz w:val="20"/>
          <w:szCs w:val="20"/>
          <w:color w:val="auto"/>
        </w:rPr>
      </w:pPr>
    </w:p>
    <w:p>
      <w:pPr>
        <w:ind w:right="140" w:firstLine="761"/>
        <w:spacing w:after="0" w:line="272" w:lineRule="auto"/>
        <w:rPr>
          <w:sz w:val="20"/>
          <w:szCs w:val="20"/>
          <w:color w:val="auto"/>
        </w:rPr>
      </w:pPr>
      <w:r>
        <w:rPr>
          <w:rFonts w:ascii="Arial" w:cs="Arial" w:eastAsia="Arial" w:hAnsi="Arial"/>
          <w:sz w:val="17"/>
          <w:szCs w:val="17"/>
          <w:color w:val="auto"/>
        </w:rPr>
        <w:t xml:space="preserve">The Company’s consolidated financial statements include cash, cash equivalents, accounts payable, and accrued liabilities, all of which are short term in nature and, accordingly, approximate fair value. Additionally, prior to the IPO, the Company’s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Equity </w:t>
      </w:r>
      <w:r>
        <w:rPr>
          <w:rFonts w:ascii="Arial" w:cs="Arial" w:eastAsia="Arial" w:hAnsi="Arial"/>
          <w:sz w:val="17"/>
          <w:szCs w:val="17"/>
          <w:color w:val="auto"/>
        </w:rPr>
        <w:t>and reclassified to equity. See Note 13 for a further discussion of the warrants.</w:t>
      </w:r>
    </w:p>
    <w:p>
      <w:pPr>
        <w:spacing w:after="0" w:line="136"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The Company measures certain assets and liabilities at fair value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w:t>
      </w:r>
    </w:p>
    <w:p>
      <w:pPr>
        <w:spacing w:after="0" w:line="3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ASC 820 defines fair value as the price that would be received to sell an asset or paid to transfer a liability (the exit price) in an orderly transaction between market participants at the measurement date. The guidance in ASC 820 outlines a valuation framework and creates a fair value hierarchy that serves to increase the consistency and comparability of fair value measurements and the related disclosures. In determining fair value, the Company maximizes the use of quoted prices and observable inputs. Observable inputs are inputs that market participants would use in pricing the asset or liability based on market data obtained from independent sources. The fair value hierarchy is broken down into three levels based on the source of inputs as follows: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1" w:lineRule="exact"/>
        <w:rPr>
          <w:sz w:val="20"/>
          <w:szCs w:val="20"/>
          <w:color w:val="auto"/>
        </w:rPr>
      </w:pPr>
    </w:p>
    <w:p>
      <w:pPr>
        <w:ind w:right="400" w:firstLine="761"/>
        <w:spacing w:after="0" w:line="259" w:lineRule="auto"/>
        <w:rPr>
          <w:sz w:val="20"/>
          <w:szCs w:val="20"/>
          <w:color w:val="auto"/>
        </w:rPr>
      </w:pPr>
      <w:r>
        <w:rPr>
          <w:rFonts w:ascii="Arial" w:cs="Arial" w:eastAsia="Arial" w:hAnsi="Arial"/>
          <w:sz w:val="18"/>
          <w:szCs w:val="18"/>
          <w:color w:val="auto"/>
        </w:rPr>
        <w:t>Cash and cash equivalents consist of cash and, if applicable, highly liquid investments with an original maturity of three months or less when purchased, including investments in Money Market Funds. The following table provides a reconciliation of cash, cash equivalents, and restricted cash reported within the balance sheet that equal the amount reflected in the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3"/>
        </w:trPr>
        <w:tc>
          <w:tcPr>
            <w:tcW w:w="6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80"/>
              <w:spacing w:after="0" w:line="203"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400" w:type="dxa"/>
            <w:vAlign w:val="bottom"/>
          </w:tcPr>
          <w:p>
            <w:pPr>
              <w:jc w:val="right"/>
              <w:ind w:right="191"/>
              <w:spacing w:after="0" w:line="203"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7"/>
                <w:szCs w:val="17"/>
                <w:color w:val="auto"/>
              </w:rPr>
            </w:pPr>
          </w:p>
        </w:tc>
      </w:tr>
      <w:tr>
        <w:trPr>
          <w:trHeight w:val="232"/>
        </w:trPr>
        <w:tc>
          <w:tcPr>
            <w:tcW w:w="644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1"/>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228,631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24,457</w:t>
            </w:r>
          </w:p>
        </w:tc>
        <w:tc>
          <w:tcPr>
            <w:tcW w:w="120" w:type="dxa"/>
            <w:vAlign w:val="bottom"/>
            <w:shd w:val="clear" w:color="auto" w:fill="CFF0FC"/>
          </w:tcPr>
          <w:p>
            <w:pPr>
              <w:spacing w:after="0"/>
              <w:rPr>
                <w:sz w:val="19"/>
                <w:szCs w:val="19"/>
                <w:color w:val="auto"/>
              </w:rPr>
            </w:pPr>
          </w:p>
        </w:tc>
      </w:tr>
      <w:tr>
        <w:trPr>
          <w:trHeight w:val="227"/>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FF0FC"/>
            </w:tcBorders>
          </w:tcPr>
          <w:p>
            <w:pPr>
              <w:spacing w:after="0"/>
              <w:rPr>
                <w:sz w:val="19"/>
                <w:szCs w:val="19"/>
                <w:color w:val="auto"/>
              </w:rPr>
            </w:pPr>
          </w:p>
        </w:tc>
      </w:tr>
      <w:tr>
        <w:trPr>
          <w:trHeight w:val="207"/>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 in the statements</w:t>
            </w: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8"/>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cash flows</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229,381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25,207</w:t>
            </w:r>
          </w:p>
        </w:tc>
        <w:tc>
          <w:tcPr>
            <w:tcW w:w="120" w:type="dxa"/>
            <w:vAlign w:val="bottom"/>
            <w:shd w:val="clear" w:color="auto" w:fill="CFF0FC"/>
          </w:tcPr>
          <w:p>
            <w:pPr>
              <w:spacing w:after="0"/>
              <w:rPr>
                <w:sz w:val="19"/>
                <w:szCs w:val="19"/>
                <w:color w:val="auto"/>
              </w:rPr>
            </w:pP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6" w:lineRule="exact"/>
        <w:rPr>
          <w:sz w:val="20"/>
          <w:szCs w:val="20"/>
          <w:color w:val="auto"/>
        </w:rPr>
      </w:pPr>
    </w:p>
    <w:p>
      <w:pPr>
        <w:ind w:right="600" w:firstLine="761"/>
        <w:spacing w:after="0" w:line="271" w:lineRule="auto"/>
        <w:rPr>
          <w:sz w:val="20"/>
          <w:szCs w:val="20"/>
          <w:color w:val="auto"/>
        </w:rPr>
      </w:pPr>
      <w:r>
        <w:rPr>
          <w:rFonts w:ascii="Arial" w:cs="Arial" w:eastAsia="Arial" w:hAnsi="Arial"/>
          <w:sz w:val="18"/>
          <w:szCs w:val="18"/>
          <w:color w:val="auto"/>
        </w:rPr>
        <w:t>Amounts included in restricted cash represent those amounts required to be held as a security deposit in the form of letters of credit for the Company’s credit card program and the fleet program.</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1" w:lineRule="exact"/>
        <w:rPr>
          <w:sz w:val="20"/>
          <w:szCs w:val="20"/>
          <w:color w:val="auto"/>
        </w:rPr>
      </w:pPr>
    </w:p>
    <w:p>
      <w:pPr>
        <w:ind w:right="60" w:firstLine="761"/>
        <w:spacing w:after="0" w:line="253" w:lineRule="auto"/>
        <w:rPr>
          <w:sz w:val="20"/>
          <w:szCs w:val="20"/>
          <w:color w:val="auto"/>
        </w:rPr>
      </w:pPr>
      <w:r>
        <w:rPr>
          <w:rFonts w:ascii="Arial" w:cs="Arial" w:eastAsia="Arial" w:hAnsi="Arial"/>
          <w:sz w:val="18"/>
          <w:szCs w:val="18"/>
          <w:color w:val="auto"/>
        </w:rPr>
        <w:t>Substantially all of the Company’s cash and money market funds are held with a single financial institution. Due to its size, the Company believes this financial institution represents minimal credit risk. Deposits in this institution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193" w:lineRule="exact"/>
        <w:rPr>
          <w:sz w:val="20"/>
          <w:szCs w:val="20"/>
          <w:color w:val="auto"/>
        </w:rPr>
      </w:pPr>
    </w:p>
    <w:p>
      <w:pPr>
        <w:ind w:right="260" w:firstLine="761"/>
        <w:spacing w:after="0" w:line="259"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monitors its exposure within accounts receivable and records a reserve against uncollectible accounts receivable as necessary. The Company extends credit to specialty pharmaceutical distribution companies within</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United States. Customer creditworthiness is monitored and collateral is not required. Historically, the Company has not experienced credit losses on its accounts receivable. As of December 31, 2020, three customers accounted for 100% of gross accounts receivable, Caremark LLC (“CVS Caremark”), which accounted for 44% of gross accounts receivable; PANTHERx Specialty Pharmacy LLC (“Pantherx”), which accounted for 23% of gross accounts receivable; and Accredo Health Group, Inc. (“Accredo”), which accounted for 33% of gross accounts receivable. As of December 31, 2019, two customers accounted for 91% of gross accounts receivable; CVS Caremark, which accounted for 72% of gross accounts receivable, and Pantherx, which accounted for 19% of gross accounts receivable.</w:t>
      </w:r>
    </w:p>
    <w:p>
      <w:pPr>
        <w:spacing w:after="0" w:line="194" w:lineRule="exact"/>
        <w:rPr>
          <w:sz w:val="20"/>
          <w:szCs w:val="20"/>
          <w:color w:val="auto"/>
        </w:rPr>
      </w:pPr>
    </w:p>
    <w:p>
      <w:pPr>
        <w:ind w:right="260" w:firstLine="770"/>
        <w:spacing w:after="0" w:line="255" w:lineRule="auto"/>
        <w:rPr>
          <w:sz w:val="20"/>
          <w:szCs w:val="20"/>
          <w:color w:val="auto"/>
        </w:rPr>
      </w:pPr>
      <w:r>
        <w:rPr>
          <w:rFonts w:ascii="Arial" w:cs="Arial" w:eastAsia="Arial" w:hAnsi="Arial"/>
          <w:sz w:val="18"/>
          <w:szCs w:val="18"/>
          <w:color w:val="auto"/>
        </w:rPr>
        <w:t>For the year ended December 31, 2020, three customers accounted for 100% of gross product revenues; CVS Caremark accounted for 40% of gross product revenues; Pantherx accounted for 33% of gross product revenues; and Accredo accounted for 27% of gross product revenues. For the year ended December 31, 2019 two customers accounted for 88% of gross product revenues, CVS Caremark accounted for 59% of gross product revenues and Pantherx accounted for 29% of gross product revenues.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depends on a single source supplier for its product, product candidates and their active pharmaceutical ingredient.</w:t>
      </w:r>
    </w:p>
    <w:p>
      <w:pPr>
        <w:spacing w:after="0" w:line="32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Inventory</w:t>
      </w:r>
    </w:p>
    <w:p>
      <w:pPr>
        <w:spacing w:after="0" w:line="114" w:lineRule="exact"/>
        <w:rPr>
          <w:sz w:val="20"/>
          <w:szCs w:val="20"/>
          <w:color w:val="auto"/>
        </w:rPr>
      </w:pPr>
    </w:p>
    <w:p>
      <w:pPr>
        <w:ind w:right="40" w:firstLine="761"/>
        <w:spacing w:after="0" w:line="253" w:lineRule="auto"/>
        <w:rPr>
          <w:sz w:val="20"/>
          <w:szCs w:val="20"/>
          <w:color w:val="auto"/>
        </w:rPr>
      </w:pPr>
      <w:r>
        <w:rPr>
          <w:rFonts w:ascii="Arial" w:cs="Arial" w:eastAsia="Arial" w:hAnsi="Arial"/>
          <w:sz w:val="18"/>
          <w:szCs w:val="18"/>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w:t>
      </w:r>
    </w:p>
    <w:p>
      <w:pPr>
        <w:spacing w:after="0" w:line="193" w:lineRule="exact"/>
        <w:rPr>
          <w:sz w:val="20"/>
          <w:szCs w:val="20"/>
          <w:color w:val="auto"/>
        </w:rPr>
      </w:pPr>
    </w:p>
    <w:p>
      <w:pPr>
        <w:ind w:right="400" w:firstLine="761"/>
        <w:spacing w:after="0" w:line="253"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did not capitalize preapproval inventory during 2019.</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4"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computed using the straight-line method over the estimated useful lives of the assets, generally between three and ten years. Leasehold improvements are amortized using the straight-line method over the shorter of the estimated useful life of the asset or the term of the lease. The Company’s leasehold improvements primarily relate to its new corporate headquarters in Plymouth Meeting, PA, and are generally being amortized through the end of the lease term in May 2024. When assets are retired or otherwise disposed of, the cost and accumulated depreciation are removed from the balance sheet and any resulting gain or loss is reflected in the statement of operations and comprehensive loss in the period realized.</w:t>
      </w:r>
    </w:p>
    <w:p>
      <w:pPr>
        <w:spacing w:after="0" w:line="2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Intangible Asset</w:t>
      </w:r>
    </w:p>
    <w:p>
      <w:pPr>
        <w:spacing w:after="0" w:line="221" w:lineRule="exact"/>
        <w:rPr>
          <w:sz w:val="20"/>
          <w:szCs w:val="20"/>
          <w:color w:val="auto"/>
        </w:rPr>
      </w:pPr>
    </w:p>
    <w:p>
      <w:pPr>
        <w:ind w:firstLine="761"/>
        <w:spacing w:after="0" w:line="252" w:lineRule="auto"/>
        <w:rPr>
          <w:sz w:val="20"/>
          <w:szCs w:val="20"/>
          <w:color w:val="auto"/>
        </w:rPr>
      </w:pPr>
      <w:r>
        <w:rPr>
          <w:rFonts w:ascii="Arial" w:cs="Arial" w:eastAsia="Arial" w:hAnsi="Arial"/>
          <w:sz w:val="18"/>
          <w:szCs w:val="18"/>
          <w:color w:val="auto"/>
        </w:rPr>
        <w:t>Intangible assets with finite useful lives consist primarily of purchased developed technology and are amortized on a straight-line basis over their estimated useful lives.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1" w:lineRule="exact"/>
        <w:rPr>
          <w:sz w:val="20"/>
          <w:szCs w:val="20"/>
          <w:color w:val="auto"/>
        </w:rPr>
      </w:pPr>
    </w:p>
    <w:p>
      <w:pPr>
        <w:ind w:firstLine="761"/>
        <w:spacing w:after="0" w:line="283" w:lineRule="auto"/>
        <w:rPr>
          <w:sz w:val="20"/>
          <w:szCs w:val="20"/>
          <w:color w:val="auto"/>
        </w:rPr>
      </w:pPr>
      <w:r>
        <w:rPr>
          <w:rFonts w:ascii="Arial" w:cs="Arial" w:eastAsia="Arial" w:hAnsi="Arial"/>
          <w:sz w:val="16"/>
          <w:szCs w:val="16"/>
          <w:color w:val="auto"/>
        </w:rPr>
        <w:t>Effective January 1, 2019, the Company adopted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when it is probable that it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 those that are performance obligations. The Company then recognizes as revenue the amount of the transaction price that is allocated to the respective performance obligation when (or as) the performance obligation is satisfied. The Company has determined that the delivery of its product to its customer constitutes a single performance obligation as there are no other promises to deliver goods or services. Shipping and handling activities are considered to be fulfillment activities and are not considered to be a separate performance obligation. The Company has assessed the existence of a significant financing component in the agreements with its customers. The trade payment terms with its customers do not exceed one year and therefore, no amount of consideration has been allocated as a financing component. Taxes collected related to product sales are remitted to governmental authorities and are excluded from revenue.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114" w:lineRule="exact"/>
        <w:rPr>
          <w:sz w:val="20"/>
          <w:szCs w:val="20"/>
          <w:color w:val="auto"/>
        </w:rPr>
      </w:pPr>
    </w:p>
    <w:p>
      <w:pPr>
        <w:ind w:right="40" w:firstLine="761"/>
        <w:spacing w:after="0" w:line="271" w:lineRule="auto"/>
        <w:rPr>
          <w:sz w:val="20"/>
          <w:szCs w:val="20"/>
          <w:color w:val="auto"/>
        </w:rPr>
      </w:pPr>
      <w:r>
        <w:rPr>
          <w:rFonts w:ascii="Arial" w:cs="Arial" w:eastAsia="Arial" w:hAnsi="Arial"/>
          <w:sz w:val="18"/>
          <w:szCs w:val="18"/>
          <w:color w:val="auto"/>
        </w:rPr>
        <w:t>The Company began commercial sales of WAKIX in November 2019. The Company sells WAKIX to its customers (a limited number of specialty distributors) that, in turn, distribute WAKIX to patients.</w:t>
      </w:r>
    </w:p>
    <w:p>
      <w:pPr>
        <w:spacing w:after="0" w:line="175" w:lineRule="exact"/>
        <w:rPr>
          <w:sz w:val="20"/>
          <w:szCs w:val="20"/>
          <w:color w:val="auto"/>
        </w:rPr>
      </w:pPr>
    </w:p>
    <w:p>
      <w:pPr>
        <w:ind w:right="60" w:firstLine="761"/>
        <w:spacing w:after="0" w:line="290" w:lineRule="auto"/>
        <w:rPr>
          <w:sz w:val="20"/>
          <w:szCs w:val="20"/>
          <w:color w:val="auto"/>
        </w:rPr>
      </w:pPr>
      <w:r>
        <w:rPr>
          <w:rFonts w:ascii="Arial" w:cs="Arial" w:eastAsia="Arial" w:hAnsi="Arial"/>
          <w:sz w:val="16"/>
          <w:szCs w:val="16"/>
          <w:color w:val="auto"/>
        </w:rPr>
        <w:t>The Company recognizes revenue on sales of WAKIX when the customer obtains control of the product, which occurs at a point in time, typically upon delivery. Product revenues are recorded at the product’s wholesale acquisition costs, net of applicable reserves for variable consideration that are offered within contracts between the Company and its customers, payors, and other indirect customers relating to the sale of WAKIX. Components of variable consideration include government and commercial contracts, product returns, commercial co-payment assistance program transactions, and distribution services fees. These deductions are based on the amounts earned or to be claimed on the related sales and are classified as a current liability or reduction of receivables, based on expected value method and a range of outcomes and are probability weighted in accordance with ASC 606.</w:t>
      </w:r>
    </w:p>
    <w:p>
      <w:pPr>
        <w:spacing w:after="0" w:line="164" w:lineRule="exact"/>
        <w:rPr>
          <w:sz w:val="20"/>
          <w:szCs w:val="20"/>
          <w:color w:val="auto"/>
        </w:rPr>
      </w:pPr>
    </w:p>
    <w:p>
      <w:pPr>
        <w:ind w:right="140" w:firstLine="761"/>
        <w:spacing w:after="0" w:line="272" w:lineRule="auto"/>
        <w:rPr>
          <w:sz w:val="20"/>
          <w:szCs w:val="20"/>
          <w:color w:val="auto"/>
        </w:rPr>
      </w:pPr>
      <w:r>
        <w:rPr>
          <w:rFonts w:ascii="Arial" w:cs="Arial" w:eastAsia="Arial" w:hAnsi="Arial"/>
          <w:sz w:val="17"/>
          <w:szCs w:val="17"/>
          <w:color w:val="auto"/>
        </w:rPr>
        <w:t>The amount of variable consideration which is included in the transaction price may be constrained and is included in the net sales price only to the extent that it is probable that a significant reversal in the amount of the cumulative revenue recognition under contracts will not occur in a future period. The Company’s analyses contemplate the application of the constraint in accordance with ASC 606. Actual amounts of consideration ultimately received may differ from its estimates. If actual results in the future vary from its estimates, the Company will adjust these estimates, which would affect net product revenue and earnings in the period such variances become known.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 of Product Sold</w:t>
      </w:r>
    </w:p>
    <w:p>
      <w:pPr>
        <w:spacing w:after="0" w:line="221" w:lineRule="exact"/>
        <w:rPr>
          <w:sz w:val="20"/>
          <w:szCs w:val="20"/>
          <w:color w:val="auto"/>
        </w:rPr>
      </w:pPr>
    </w:p>
    <w:p>
      <w:pPr>
        <w:ind w:right="40" w:firstLine="770"/>
        <w:spacing w:after="0" w:line="253" w:lineRule="auto"/>
        <w:rPr>
          <w:sz w:val="20"/>
          <w:szCs w:val="20"/>
          <w:color w:val="auto"/>
        </w:rPr>
      </w:pPr>
      <w:r>
        <w:rPr>
          <w:rFonts w:ascii="Arial" w:cs="Arial" w:eastAsia="Arial" w:hAnsi="Arial"/>
          <w:sz w:val="18"/>
          <w:szCs w:val="18"/>
          <w:color w:val="auto"/>
        </w:rPr>
        <w:t>Cost of product sold includes manufacturing and distribution costs, the cost of drug substance, FDA program fees, royalties due to third parties on net product sales, freight, shipping, handling, storage costs, and salaries of employees involved with production. The Company began capitalizing inventory upon FDA approval of WAKIX with a portion of the inventory sold during the year ended December 31, 2020 produced prior to FDA approval and, therefore, was previously expensed as research and development expense in 2019 in the amount of $1,323. Excluded from cost of product sold shown and included in general and administrative on the</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consolidated statements of operations and comprehensive loss is amortization of acquired developed technology of $9,843 and $2,815 for the years ended December 31, 2020 and 2019, respectively.</w:t>
      </w:r>
    </w:p>
    <w:p>
      <w:pPr>
        <w:spacing w:after="0" w:line="2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4" w:lineRule="exact"/>
        <w:rPr>
          <w:sz w:val="20"/>
          <w:szCs w:val="20"/>
          <w:color w:val="auto"/>
        </w:rPr>
      </w:pPr>
    </w:p>
    <w:p>
      <w:pPr>
        <w:ind w:right="880" w:firstLine="761"/>
        <w:spacing w:after="0" w:line="271" w:lineRule="auto"/>
        <w:rPr>
          <w:sz w:val="20"/>
          <w:szCs w:val="20"/>
          <w:color w:val="auto"/>
        </w:rPr>
      </w:pPr>
      <w:r>
        <w:rPr>
          <w:rFonts w:ascii="Arial" w:cs="Arial" w:eastAsia="Arial" w:hAnsi="Arial"/>
          <w:sz w:val="18"/>
          <w:szCs w:val="18"/>
          <w:color w:val="auto"/>
        </w:rPr>
        <w:t>Research and development costs are expensed as incurred. Liabilities due to third parties in connection with research and development collaborations prior to regulatory approval are expensed as incurred.</w:t>
      </w:r>
    </w:p>
    <w:p>
      <w:pPr>
        <w:spacing w:after="0" w:line="175" w:lineRule="exact"/>
        <w:rPr>
          <w:sz w:val="20"/>
          <w:szCs w:val="20"/>
          <w:color w:val="auto"/>
        </w:rPr>
      </w:pPr>
    </w:p>
    <w:p>
      <w:pPr>
        <w:ind w:right="140" w:firstLine="770"/>
        <w:spacing w:after="0" w:line="307" w:lineRule="auto"/>
        <w:rPr>
          <w:sz w:val="20"/>
          <w:szCs w:val="20"/>
          <w:color w:val="auto"/>
        </w:rPr>
      </w:pPr>
      <w:r>
        <w:rPr>
          <w:rFonts w:ascii="Arial" w:cs="Arial" w:eastAsia="Arial" w:hAnsi="Arial"/>
          <w:sz w:val="16"/>
          <w:szCs w:val="16"/>
          <w:color w:val="auto"/>
        </w:rPr>
        <w:t>Upfront payments and pre-FDA approval milestone payments made for licensing of technology are expensed as research and development in the period in which they are incurred. Advance payments for goods and services to be received in the future for use in research and development activities are recorded as prepaid expenses. The prepaid amounts are expensed as the related goods are delivered or the services are performed.</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21" w:lineRule="exact"/>
        <w:rPr>
          <w:sz w:val="20"/>
          <w:szCs w:val="20"/>
          <w:color w:val="auto"/>
        </w:rPr>
      </w:pPr>
    </w:p>
    <w:p>
      <w:pPr>
        <w:ind w:right="200" w:firstLine="761"/>
        <w:spacing w:after="0" w:line="271" w:lineRule="auto"/>
        <w:rPr>
          <w:sz w:val="20"/>
          <w:szCs w:val="20"/>
          <w:color w:val="auto"/>
        </w:rPr>
      </w:pPr>
      <w:r>
        <w:rPr>
          <w:rFonts w:ascii="Arial" w:cs="Arial" w:eastAsia="Arial" w:hAnsi="Arial"/>
          <w:sz w:val="18"/>
          <w:szCs w:val="18"/>
          <w:color w:val="auto"/>
        </w:rPr>
        <w:t>We expensed the costs of advertising, including promotional expenses, as incurred. Advertising expense was $13,301 and $7,072 a for the years ended December 31, 2020 and 2019, respectively.</w:t>
      </w:r>
    </w:p>
    <w:p>
      <w:pPr>
        <w:spacing w:after="0" w:line="2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4"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The Company recognizes compensation expense relating to stock-based payment transactions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three to five years and expire no more than 10 years after the date of grant. Upon a change of control, certain unvested awards will immediately vest.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w:t>
      </w:r>
    </w:p>
    <w:p>
      <w:pPr>
        <w:spacing w:after="0" w:line="178" w:lineRule="exact"/>
        <w:rPr>
          <w:sz w:val="20"/>
          <w:szCs w:val="20"/>
          <w:color w:val="auto"/>
        </w:rPr>
      </w:pPr>
    </w:p>
    <w:p>
      <w:pPr>
        <w:jc w:val="both"/>
        <w:ind w:right="20" w:firstLine="761"/>
        <w:spacing w:after="0" w:line="281" w:lineRule="auto"/>
        <w:rPr>
          <w:sz w:val="20"/>
          <w:szCs w:val="20"/>
          <w:color w:val="auto"/>
        </w:rPr>
      </w:pPr>
      <w:r>
        <w:rPr>
          <w:rFonts w:ascii="Arial" w:cs="Arial" w:eastAsia="Arial" w:hAnsi="Arial"/>
          <w:sz w:val="17"/>
          <w:szCs w:val="17"/>
          <w:color w:val="auto"/>
        </w:rPr>
        <w:t>On January 1, 2019, the Company early adopted and accounts for stock-based payments granted to nonemployees in accordance with ASU 2018-07, Compensation – Stock Compensation (ASC 718): Improvements to Nonemployee Share – Based Payment Accounting. The Company determines the fair value of the stock-based payment as the fair value of the equity instruments issued. It is measured on the grant date.</w:t>
      </w:r>
    </w:p>
    <w:p>
      <w:pPr>
        <w:spacing w:after="0" w:line="169" w:lineRule="exact"/>
        <w:rPr>
          <w:sz w:val="20"/>
          <w:szCs w:val="20"/>
          <w:color w:val="auto"/>
        </w:rPr>
      </w:pPr>
    </w:p>
    <w:p>
      <w:pPr>
        <w:ind w:right="280" w:firstLine="761"/>
        <w:spacing w:after="0" w:line="281" w:lineRule="auto"/>
        <w:rPr>
          <w:sz w:val="20"/>
          <w:szCs w:val="20"/>
          <w:color w:val="auto"/>
        </w:rPr>
      </w:pPr>
      <w:r>
        <w:rPr>
          <w:rFonts w:ascii="Arial" w:cs="Arial" w:eastAsia="Arial" w:hAnsi="Arial"/>
          <w:sz w:val="17"/>
          <w:szCs w:val="17"/>
          <w:color w:val="auto"/>
        </w:rPr>
        <w:t>The Company also had nonemployee stock awards subject to a performance condition that are recognized based on probable outcome. On November 15, 2019 the Company modified the award to remove the performance condition resulting in $8,400 of noncash expense that is included in the Company’s consolidated results of operations for the year ended December 31, 2019 (see Note 13 for further details).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Basic and Diluted Net Loss per Share</w:t>
      </w:r>
    </w:p>
    <w:p>
      <w:pPr>
        <w:spacing w:after="0" w:line="114" w:lineRule="exact"/>
        <w:rPr>
          <w:sz w:val="20"/>
          <w:szCs w:val="20"/>
          <w:color w:val="auto"/>
        </w:rPr>
      </w:pPr>
    </w:p>
    <w:p>
      <w:pPr>
        <w:ind w:right="40" w:firstLine="761"/>
        <w:spacing w:after="0" w:line="272" w:lineRule="auto"/>
        <w:rPr>
          <w:sz w:val="20"/>
          <w:szCs w:val="20"/>
          <w:color w:val="auto"/>
        </w:rPr>
      </w:pPr>
      <w:r>
        <w:rPr>
          <w:rFonts w:ascii="Arial" w:cs="Arial" w:eastAsia="Arial" w:hAnsi="Arial"/>
          <w:sz w:val="17"/>
          <w:szCs w:val="17"/>
          <w:color w:val="auto"/>
        </w:rPr>
        <w:t>Basic net loss per share is determined using the weighted average number of shares of common stock outstanding during each period. Diluted net income per share includes the effect, if any, from the potential exercise or conversion of securities, such as convertible preferred stock and stock options, which would result in the issuance of incremental shares of common stock. The computation of diluted net loss per shares does not include the conversion of securities that would have an anti-dilutive effect. The basic and diluted computations of net loss per share for the Company are the same because the effects of the Company’s convertible securities would be anti-dilutive (see Note 14 for further detail).</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right="80" w:firstLine="761"/>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right="100" w:firstLine="761"/>
        <w:spacing w:after="0" w:line="270" w:lineRule="auto"/>
        <w:rPr>
          <w:sz w:val="20"/>
          <w:szCs w:val="20"/>
          <w:color w:val="auto"/>
        </w:rPr>
      </w:pPr>
      <w:r>
        <w:rPr>
          <w:rFonts w:ascii="Arial" w:cs="Arial" w:eastAsia="Arial" w:hAnsi="Arial"/>
          <w:sz w:val="17"/>
          <w:szCs w:val="17"/>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Company’s accounting for deferred tax consequences represents the best estimate of those future events. The Company presents deferred income taxes on the Consolidated Balance Sheet on a jurisdictional basis as either a net noncurrent asset or liability.</w:t>
      </w:r>
    </w:p>
    <w:p>
      <w:pPr>
        <w:spacing w:after="0" w:line="71" w:lineRule="exact"/>
        <w:rPr>
          <w:sz w:val="20"/>
          <w:szCs w:val="20"/>
          <w:color w:val="auto"/>
        </w:rPr>
      </w:pPr>
    </w:p>
    <w:p>
      <w:pPr>
        <w:ind w:right="300" w:firstLine="761"/>
        <w:spacing w:after="0" w:line="272"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sustainable, based solely on its technical merits and consideration of the relevant taxing authority’s widely understood administrative practices and precedents. Recognized income tax positions are measured at the largest amount that is greater than 50% likely of being realized. Changes in recognition or measurement are reflected in the period in which a change in judgment occurs. At December 31, 2020 and 2019, the Company did not have any unrecognized uncertain tax positions. The Company’s policy is to include any interest and penalties as a component of income tax expense.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4" w:lineRule="exact"/>
        <w:rPr>
          <w:sz w:val="20"/>
          <w:szCs w:val="20"/>
          <w:color w:val="auto"/>
        </w:rPr>
      </w:pPr>
    </w:p>
    <w:p>
      <w:pPr>
        <w:ind w:right="100" w:firstLine="761"/>
        <w:spacing w:after="0" w:line="290"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1" w:lineRule="exact"/>
        <w:rPr>
          <w:sz w:val="20"/>
          <w:szCs w:val="20"/>
          <w:color w:val="auto"/>
        </w:rPr>
      </w:pPr>
    </w:p>
    <w:p>
      <w:pPr>
        <w:ind w:right="60" w:firstLine="761"/>
        <w:spacing w:after="0" w:line="286" w:lineRule="auto"/>
        <w:rPr>
          <w:sz w:val="20"/>
          <w:szCs w:val="20"/>
          <w:color w:val="auto"/>
        </w:rPr>
      </w:pPr>
      <w:r>
        <w:rPr>
          <w:rFonts w:ascii="Arial" w:cs="Arial" w:eastAsia="Arial" w:hAnsi="Arial"/>
          <w:sz w:val="16"/>
          <w:szCs w:val="16"/>
          <w:color w:val="auto"/>
        </w:rPr>
        <w:t>In February 2016, the FASB issued amended guidance to increase transparency and comparability among organizations by recognizing lease assets and lease liabilities in the balance sheet and disclosing key information about leasing arrangements. The new guidance clarifies the criteria for distinguishing between a finance lease and operating lease, as well as classification between the two types of leases, which is substantially unchanged from the previous lease guidance. Further, the new guidance requires a lessee to recognize in the statement of financial position a liability to make lease payments (the lease liability) and a right-of-use asset, initially measured at the present value of the lease payments. For finance leases, a lessee should recognize interest on the lease liability separately from amortization of the right-of-use asset. For operating leases, a lessee should recognize a single lease cost, calculated so that the cost of the lease is allocated over the lease term on a generally straight-line basis. For leases with a term of 12 months or less, a lessee is permitted to make an accounting policy election not to recognize lease assets and lease liabilities. The new standard will become effective for the Company’s fiscal year ending December 31, 2022. The Company is currently assessing the impact of this amended guidance and the timing of adoption.</w:t>
      </w:r>
    </w:p>
    <w:p>
      <w:pPr>
        <w:spacing w:after="0" w:line="167" w:lineRule="exact"/>
        <w:rPr>
          <w:sz w:val="20"/>
          <w:szCs w:val="20"/>
          <w:color w:val="auto"/>
        </w:rPr>
      </w:pPr>
    </w:p>
    <w:p>
      <w:pPr>
        <w:ind w:firstLine="761"/>
        <w:spacing w:after="0" w:line="252"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No. 2016-13 introduces an approach, based on expected losses, to estimate credit losses on certain types of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modifies the impairment model for available-for-sale debt securities. The new standard is effective for fiscal years, and interim periods within those fiscal years, beginning after December 15, 2022 for companies deemed to be small reporting companies as of November 15, 2019, with early adoption permitted. The Company is currently evaluating the potential impact of adoption of this standard on its results of operations, financial position and cash flows and related disclosures.</w:t>
      </w:r>
    </w:p>
    <w:p>
      <w:pPr>
        <w:spacing w:after="0" w:line="194"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Company is currently evaluating the impact of adopting this new accounting guidance.</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40" w:firstLine="761"/>
        <w:spacing w:after="0" w:line="252"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We are currently evaluating the impact of the transition from LIBOR to alternative reference rates but do not expect a significant impact to our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INVENTORY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20" w:type="dxa"/>
            <w:vAlign w:val="bottom"/>
          </w:tcPr>
          <w:p>
            <w:pPr>
              <w:ind w:left="760"/>
              <w:spacing w:after="0"/>
              <w:rPr>
                <w:sz w:val="20"/>
                <w:szCs w:val="20"/>
                <w:color w:val="auto"/>
              </w:rPr>
            </w:pPr>
            <w:r>
              <w:rPr>
                <w:rFonts w:ascii="Arial" w:cs="Arial" w:eastAsia="Arial" w:hAnsi="Arial"/>
                <w:sz w:val="18"/>
                <w:szCs w:val="18"/>
                <w:color w:val="auto"/>
              </w:rPr>
              <w:t>Inventory, net consisted of the following:</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69"/>
        </w:trPr>
        <w:tc>
          <w:tcPr>
            <w:tcW w:w="5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540"/>
              <w:spacing w:after="0" w:line="203" w:lineRule="exact"/>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7"/>
                <w:szCs w:val="17"/>
                <w:color w:val="auto"/>
              </w:rPr>
            </w:pPr>
          </w:p>
        </w:tc>
        <w:tc>
          <w:tcPr>
            <w:tcW w:w="1400" w:type="dxa"/>
            <w:vAlign w:val="bottom"/>
          </w:tcPr>
          <w:p>
            <w:pPr>
              <w:jc w:val="right"/>
              <w:ind w:right="191"/>
              <w:spacing w:after="0" w:line="203"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7"/>
                <w:szCs w:val="17"/>
                <w:color w:val="auto"/>
              </w:rPr>
            </w:pPr>
          </w:p>
        </w:tc>
      </w:tr>
      <w:tr>
        <w:trPr>
          <w:trHeight w:val="232"/>
        </w:trPr>
        <w:tc>
          <w:tcPr>
            <w:tcW w:w="5720" w:type="dxa"/>
            <w:vAlign w:val="bottom"/>
            <w:tcBorders>
              <w:bottom w:val="single" w:sz="8" w:color="CFF0FC"/>
            </w:tcBorders>
          </w:tcPr>
          <w:p>
            <w:pPr>
              <w:spacing w:after="0"/>
              <w:rPr>
                <w:sz w:val="20"/>
                <w:szCs w:val="20"/>
                <w:color w:val="auto"/>
              </w:rPr>
            </w:pPr>
          </w:p>
        </w:tc>
        <w:tc>
          <w:tcPr>
            <w:tcW w:w="20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1"/>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FF0FC"/>
          </w:tcPr>
          <w:p>
            <w:pPr>
              <w:spacing w:after="0"/>
              <w:rPr>
                <w:sz w:val="19"/>
                <w:szCs w:val="19"/>
                <w:color w:val="auto"/>
              </w:rPr>
            </w:pPr>
          </w:p>
        </w:tc>
      </w:tr>
      <w:tr>
        <w:trPr>
          <w:trHeight w:val="227"/>
        </w:trPr>
        <w:tc>
          <w:tcPr>
            <w:tcW w:w="5720" w:type="dxa"/>
            <w:vAlign w:val="bottom"/>
          </w:tcPr>
          <w:p>
            <w:pPr>
              <w:spacing w:after="0"/>
              <w:rPr>
                <w:sz w:val="20"/>
                <w:szCs w:val="20"/>
                <w:color w:val="auto"/>
              </w:rPr>
            </w:pPr>
            <w:r>
              <w:rPr>
                <w:rFonts w:ascii="Arial" w:cs="Arial" w:eastAsia="Arial" w:hAnsi="Arial"/>
                <w:sz w:val="18"/>
                <w:szCs w:val="18"/>
                <w:color w:val="auto"/>
              </w:rPr>
              <w:t>Work in process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r>
      <w:tr>
        <w:trPr>
          <w:trHeight w:val="228"/>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Inventory, gross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r>
      <w:tr>
        <w:trPr>
          <w:trHeight w:val="228"/>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Reserve for obsolescence</w:t>
            </w: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Total inventory, net</w:t>
            </w:r>
          </w:p>
        </w:tc>
        <w:tc>
          <w:tcPr>
            <w:tcW w:w="20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INTANGIBLE ASSET</w:t>
      </w:r>
    </w:p>
    <w:p>
      <w:pPr>
        <w:spacing w:after="0" w:line="114" w:lineRule="exact"/>
        <w:rPr>
          <w:sz w:val="20"/>
          <w:szCs w:val="20"/>
          <w:color w:val="auto"/>
        </w:rPr>
      </w:pPr>
    </w:p>
    <w:p>
      <w:pPr>
        <w:ind w:right="120" w:firstLine="761"/>
        <w:spacing w:after="0" w:line="272" w:lineRule="auto"/>
        <w:rPr>
          <w:sz w:val="20"/>
          <w:szCs w:val="20"/>
          <w:color w:val="auto"/>
        </w:rPr>
      </w:pPr>
      <w:r>
        <w:rPr>
          <w:rFonts w:ascii="Arial" w:cs="Arial" w:eastAsia="Arial" w:hAnsi="Arial"/>
          <w:sz w:val="17"/>
          <w:szCs w:val="17"/>
          <w:color w:val="auto"/>
        </w:rPr>
        <w:t>On August 15, 2019, the Company received FDA approval of WAKIX</w:t>
      </w:r>
      <w:r>
        <w:rPr>
          <w:rFonts w:ascii="Arial" w:cs="Arial" w:eastAsia="Arial" w:hAnsi="Arial"/>
          <w:sz w:val="14"/>
          <w:szCs w:val="14"/>
          <w:color w:val="auto"/>
        </w:rPr>
        <w:t>®</w:t>
      </w:r>
      <w:r>
        <w:rPr>
          <w:rFonts w:ascii="Arial" w:cs="Arial" w:eastAsia="Arial" w:hAnsi="Arial"/>
          <w:sz w:val="17"/>
          <w:szCs w:val="17"/>
          <w:color w:val="auto"/>
        </w:rPr>
        <w:t xml:space="preserve"> (pitolisant) for the treatment of excessive daytime sleepiness (“EDS”) in adult patients with narcolepsy. This event triggered a milestone payment of $75,000 associated with the License Agreement which the Company capitalized as an intangible asset and paid in November of 2019. The Company determined a useful life of 10 years for such intangible asset, and, as of December 31, 2020 the remaining useful life was 9 years. Prior to this event, all other milestones associated with the License Agreement were expensed through research and development as they did not meet the criteria to be recognized as an intangible asset.</w:t>
      </w:r>
    </w:p>
    <w:p>
      <w:pPr>
        <w:spacing w:after="0" w:line="176" w:lineRule="exact"/>
        <w:rPr>
          <w:sz w:val="20"/>
          <w:szCs w:val="20"/>
          <w:color w:val="auto"/>
        </w:rPr>
      </w:pPr>
    </w:p>
    <w:p>
      <w:pPr>
        <w:ind w:right="100" w:firstLine="761"/>
        <w:spacing w:after="0" w:line="255" w:lineRule="auto"/>
        <w:rPr>
          <w:sz w:val="20"/>
          <w:szCs w:val="20"/>
          <w:color w:val="auto"/>
        </w:rPr>
      </w:pPr>
      <w:r>
        <w:rPr>
          <w:rFonts w:ascii="Arial" w:cs="Arial" w:eastAsia="Arial" w:hAnsi="Arial"/>
          <w:sz w:val="18"/>
          <w:szCs w:val="18"/>
          <w:color w:val="auto"/>
        </w:rPr>
        <w:t>On October 13, 2020, the Company received notice that the FDA approved the NDA for WAKIX</w:t>
      </w:r>
      <w:r>
        <w:rPr>
          <w:rFonts w:ascii="Arial" w:cs="Arial" w:eastAsia="Arial" w:hAnsi="Arial"/>
          <w:sz w:val="15"/>
          <w:szCs w:val="15"/>
          <w:color w:val="auto"/>
        </w:rPr>
        <w:t>®</w:t>
      </w:r>
      <w:r>
        <w:rPr>
          <w:rFonts w:ascii="Arial" w:cs="Arial" w:eastAsia="Arial" w:hAnsi="Arial"/>
          <w:sz w:val="18"/>
          <w:szCs w:val="18"/>
          <w:color w:val="auto"/>
        </w:rPr>
        <w:t xml:space="preserve"> for the treatment of cataplexy in adult patients with narcolepsy. This event triggered a milestone payment of $100,000 associated with the License Agreement which the Company capitalized as an intangible asset and paid in January of 2021. The Company determined a useful life of 9 years for such intangible asset, and, as of December 31, 2020 the remaining useful life was 9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40" w:type="dxa"/>
            <w:vAlign w:val="bottom"/>
          </w:tcPr>
          <w:p>
            <w:pPr>
              <w:jc w:val="right"/>
              <w:ind w:right="91"/>
              <w:spacing w:after="0"/>
              <w:rPr>
                <w:sz w:val="20"/>
                <w:szCs w:val="20"/>
                <w:color w:val="auto"/>
              </w:rPr>
            </w:pPr>
            <w:r>
              <w:rPr>
                <w:rFonts w:ascii="Arial" w:cs="Arial" w:eastAsia="Arial" w:hAnsi="Arial"/>
                <w:sz w:val="18"/>
                <w:szCs w:val="18"/>
                <w:color w:val="auto"/>
                <w:w w:val="97"/>
              </w:rPr>
              <w:t>The Company expects the future annual amortization expense for the unamortized intangible assets to be as follows:</w:t>
            </w: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40" w:type="dxa"/>
            <w:vAlign w:val="bottom"/>
          </w:tcPr>
          <w:p>
            <w:pPr>
              <w:jc w:val="right"/>
              <w:ind w:right="8551"/>
              <w:spacing w:after="0"/>
              <w:rPr>
                <w:sz w:val="20"/>
                <w:szCs w:val="20"/>
                <w:color w:val="auto"/>
              </w:rPr>
            </w:pPr>
            <w:r>
              <w:rPr>
                <w:rFonts w:ascii="Arial" w:cs="Arial" w:eastAsia="Arial" w:hAnsi="Arial"/>
                <w:sz w:val="18"/>
                <w:szCs w:val="18"/>
                <w:color w:val="auto"/>
              </w:rPr>
              <w:t>2021</w:t>
            </w:r>
          </w:p>
        </w:tc>
        <w:tc>
          <w:tcPr>
            <w:tcW w:w="740" w:type="dxa"/>
            <w:vAlign w:val="bottom"/>
          </w:tcPr>
          <w:p>
            <w:pPr>
              <w:jc w:val="right"/>
              <w:ind w:right="5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40" w:type="dxa"/>
            <w:vAlign w:val="bottom"/>
            <w:shd w:val="clear" w:color="auto" w:fill="CFF0FC"/>
          </w:tcPr>
          <w:p>
            <w:pPr>
              <w:jc w:val="right"/>
              <w:ind w:right="8551"/>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40" w:type="dxa"/>
            <w:vAlign w:val="bottom"/>
          </w:tcPr>
          <w:p>
            <w:pPr>
              <w:jc w:val="right"/>
              <w:ind w:right="8551"/>
              <w:spacing w:after="0"/>
              <w:rPr>
                <w:sz w:val="20"/>
                <w:szCs w:val="20"/>
                <w:color w:val="auto"/>
              </w:rPr>
            </w:pPr>
            <w:r>
              <w:rPr>
                <w:rFonts w:ascii="Arial" w:cs="Arial" w:eastAsia="Arial" w:hAnsi="Arial"/>
                <w:sz w:val="18"/>
                <w:szCs w:val="18"/>
                <w:color w:val="auto"/>
              </w:rPr>
              <w:t>2023</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40" w:type="dxa"/>
            <w:vAlign w:val="bottom"/>
            <w:shd w:val="clear" w:color="auto" w:fill="CFF0FC"/>
          </w:tcPr>
          <w:p>
            <w:pPr>
              <w:jc w:val="right"/>
              <w:ind w:right="8551"/>
              <w:spacing w:after="0"/>
              <w:rPr>
                <w:sz w:val="20"/>
                <w:szCs w:val="20"/>
                <w:color w:val="auto"/>
              </w:rPr>
            </w:pPr>
            <w:r>
              <w:rPr>
                <w:rFonts w:ascii="Arial" w:cs="Arial" w:eastAsia="Arial" w:hAnsi="Arial"/>
                <w:sz w:val="18"/>
                <w:szCs w:val="18"/>
                <w:color w:val="auto"/>
              </w:rPr>
              <w:t>2024</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40" w:type="dxa"/>
            <w:vAlign w:val="bottom"/>
            <w:tcBorders>
              <w:bottom w:val="single" w:sz="8" w:color="CFF0FC"/>
            </w:tcBorders>
          </w:tcPr>
          <w:p>
            <w:pPr>
              <w:jc w:val="right"/>
              <w:ind w:right="8551"/>
              <w:spacing w:after="0"/>
              <w:rPr>
                <w:sz w:val="20"/>
                <w:szCs w:val="20"/>
                <w:color w:val="auto"/>
              </w:rPr>
            </w:pPr>
            <w:r>
              <w:rPr>
                <w:rFonts w:ascii="Arial" w:cs="Arial" w:eastAsia="Arial" w:hAnsi="Arial"/>
                <w:sz w:val="18"/>
                <w:szCs w:val="18"/>
                <w:color w:val="auto"/>
              </w:rPr>
              <w:t>2025</w:t>
            </w: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shd w:val="clear" w:color="auto" w:fill="CFF0FC"/>
          </w:tcPr>
          <w:p>
            <w:pPr>
              <w:jc w:val="right"/>
              <w:ind w:right="5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92,845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jc w:val="right"/>
              <w:ind w:right="3171"/>
              <w:spacing w:after="0"/>
              <w:rPr>
                <w:sz w:val="20"/>
                <w:szCs w:val="20"/>
                <w:color w:val="auto"/>
              </w:rPr>
            </w:pPr>
            <w:r>
              <w:rPr>
                <w:rFonts w:ascii="Arial" w:cs="Arial" w:eastAsia="Arial" w:hAnsi="Arial"/>
                <w:sz w:val="18"/>
                <w:szCs w:val="18"/>
                <w:color w:val="auto"/>
              </w:rPr>
              <w:t>133</w:t>
            </w: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92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15"/>
        </w:trPr>
        <w:tc>
          <w:tcPr>
            <w:tcW w:w="7720" w:type="dxa"/>
            <w:vAlign w:val="bottom"/>
            <w:gridSpan w:val="2"/>
          </w:tcPr>
          <w:p>
            <w:pPr>
              <w:ind w:left="760"/>
              <w:spacing w:after="0"/>
              <w:rPr>
                <w:sz w:val="20"/>
                <w:szCs w:val="20"/>
                <w:color w:val="auto"/>
              </w:rPr>
            </w:pPr>
            <w:r>
              <w:rPr>
                <w:rFonts w:ascii="Arial" w:cs="Arial" w:eastAsia="Arial" w:hAnsi="Arial"/>
                <w:sz w:val="18"/>
                <w:szCs w:val="18"/>
                <w:color w:val="auto"/>
              </w:rPr>
              <w:t>The gross carrying amount and net book value of the intangible asset is as follows: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9"/>
        </w:trPr>
        <w:tc>
          <w:tcPr>
            <w:tcW w:w="13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3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540"/>
              <w:spacing w:after="0" w:line="203" w:lineRule="exact"/>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7"/>
                <w:szCs w:val="17"/>
                <w:color w:val="auto"/>
              </w:rPr>
            </w:pPr>
          </w:p>
        </w:tc>
        <w:tc>
          <w:tcPr>
            <w:tcW w:w="1400" w:type="dxa"/>
            <w:vAlign w:val="bottom"/>
          </w:tcPr>
          <w:p>
            <w:pPr>
              <w:jc w:val="right"/>
              <w:ind w:right="191"/>
              <w:spacing w:after="0" w:line="203"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7"/>
                <w:szCs w:val="17"/>
                <w:color w:val="auto"/>
              </w:rPr>
            </w:pPr>
          </w:p>
        </w:tc>
      </w:tr>
      <w:tr>
        <w:trPr>
          <w:trHeight w:val="232"/>
        </w:trPr>
        <w:tc>
          <w:tcPr>
            <w:tcW w:w="1340" w:type="dxa"/>
            <w:vAlign w:val="bottom"/>
            <w:tcBorders>
              <w:bottom w:val="single" w:sz="8" w:color="CFF0FC"/>
            </w:tcBorders>
          </w:tcPr>
          <w:p>
            <w:pPr>
              <w:spacing w:after="0"/>
              <w:rPr>
                <w:sz w:val="20"/>
                <w:szCs w:val="20"/>
                <w:color w:val="auto"/>
              </w:rPr>
            </w:pPr>
          </w:p>
        </w:tc>
        <w:tc>
          <w:tcPr>
            <w:tcW w:w="63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1"/>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FF0FC"/>
          </w:tcPr>
          <w:p>
            <w:pPr>
              <w:spacing w:after="0"/>
              <w:rPr>
                <w:sz w:val="19"/>
                <w:szCs w:val="19"/>
                <w:color w:val="auto"/>
              </w:rPr>
            </w:pPr>
          </w:p>
        </w:tc>
      </w:tr>
      <w:tr>
        <w:trPr>
          <w:trHeight w:val="227"/>
        </w:trPr>
        <w:tc>
          <w:tcPr>
            <w:tcW w:w="77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(12,657)</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(2,815)</w:t>
            </w:r>
          </w:p>
        </w:tc>
      </w:tr>
      <w:tr>
        <w:trPr>
          <w:trHeight w:val="221"/>
        </w:trPr>
        <w:tc>
          <w:tcPr>
            <w:tcW w:w="7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Book Value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LICENSE AGREEMENT</w:t>
      </w:r>
    </w:p>
    <w:p>
      <w:pPr>
        <w:spacing w:after="0" w:line="114" w:lineRule="exact"/>
        <w:rPr>
          <w:sz w:val="20"/>
          <w:szCs w:val="20"/>
          <w:color w:val="auto"/>
        </w:rPr>
      </w:pPr>
    </w:p>
    <w:p>
      <w:pPr>
        <w:ind w:right="20" w:firstLine="770"/>
        <w:spacing w:after="0" w:line="265" w:lineRule="auto"/>
        <w:rPr>
          <w:sz w:val="20"/>
          <w:szCs w:val="20"/>
          <w:color w:val="auto"/>
        </w:rPr>
      </w:pPr>
      <w:r>
        <w:rPr>
          <w:rFonts w:ascii="Arial" w:cs="Arial" w:eastAsia="Arial" w:hAnsi="Arial"/>
          <w:sz w:val="17"/>
          <w:szCs w:val="17"/>
          <w:color w:val="auto"/>
        </w:rPr>
        <w:t>On July 28, 2017, Harmony entered into the License Agreement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New Drug Application (“NDA”), which was achieved on February 12, 2019 and was expensed within research and development for the year ended December 31, 2019. A milestone payment of $77,000, including a $2,000 fee, was due upon FDA approval of WAKIX</w:t>
      </w:r>
      <w:r>
        <w:rPr>
          <w:rFonts w:ascii="Arial" w:cs="Arial" w:eastAsia="Arial" w:hAnsi="Arial"/>
          <w:sz w:val="14"/>
          <w:szCs w:val="14"/>
          <w:color w:val="auto"/>
        </w:rPr>
        <w:t>®</w:t>
      </w:r>
      <w:r>
        <w:rPr>
          <w:rFonts w:ascii="Arial" w:cs="Arial" w:eastAsia="Arial" w:hAnsi="Arial"/>
          <w:sz w:val="17"/>
          <w:szCs w:val="17"/>
          <w:color w:val="auto"/>
        </w:rPr>
        <w:t xml:space="preserve"> (pitolisant) for treatment of EDS in adult patients with narcolepsy, which was achieved on August 14, 2019. The $2,000 payment and $75,000 milestone payment were paid in August and November 2019, respectively. In addition, a payment of $2,000 is due upon the FDA approval of the NDA for WAKIX</w:t>
      </w:r>
      <w:r>
        <w:rPr>
          <w:rFonts w:ascii="Arial" w:cs="Arial" w:eastAsia="Arial" w:hAnsi="Arial"/>
          <w:sz w:val="14"/>
          <w:szCs w:val="14"/>
          <w:color w:val="auto"/>
        </w:rPr>
        <w:t>®</w:t>
      </w:r>
      <w:r>
        <w:rPr>
          <w:rFonts w:ascii="Arial" w:cs="Arial" w:eastAsia="Arial" w:hAnsi="Arial"/>
          <w:sz w:val="17"/>
          <w:szCs w:val="17"/>
          <w:color w:val="auto"/>
        </w:rPr>
        <w:t xml:space="preserve"> for the treatment of cataplexy in adult patients with narcolepsy (the “Trigger Date”) which was paid in October 2020 and a $100,000 milestone payment which was paid in January 2021. An additional $40,000 milestone payment is due to Bioprojet upon WAKIX attaining $500,000 in aggregate net sales in the United States. The License Agreement also requires sales-based milestone payments, a fixed trademark royalty and a tiered royalty, all based on net sales, which become due and payable to Bioprojet on a quarterly basis. During the year ended December 31, 2020, the Company incurred $25,580 for sales-based, trademark and tiered royalties recognized as cost of product sold. As of December 31, 2020 and 2019, the Company had accrued $9,006 and $938, respectively, for sales-based, trademark and tiered royalties. At December 31, 2020 the Company had accrued $100,000 for the milestone payment to Bioprojet.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ACCRUED EXPENSES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Pr>
          <w:p>
            <w:pPr>
              <w:ind w:left="760"/>
              <w:spacing w:after="0"/>
              <w:rPr>
                <w:sz w:val="20"/>
                <w:szCs w:val="20"/>
                <w:color w:val="auto"/>
              </w:rPr>
            </w:pPr>
            <w:r>
              <w:rPr>
                <w:rFonts w:ascii="Arial" w:cs="Arial" w:eastAsia="Arial" w:hAnsi="Arial"/>
                <w:sz w:val="18"/>
                <w:szCs w:val="18"/>
                <w:color w:val="auto"/>
              </w:rPr>
              <w:t>Accrued expenses consist of the following: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69"/>
        </w:trPr>
        <w:tc>
          <w:tcPr>
            <w:tcW w:w="5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80"/>
              <w:spacing w:after="0" w:line="203"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400" w:type="dxa"/>
            <w:vAlign w:val="bottom"/>
          </w:tcPr>
          <w:p>
            <w:pPr>
              <w:jc w:val="right"/>
              <w:ind w:right="191"/>
              <w:spacing w:after="0" w:line="203" w:lineRule="exact"/>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7"/>
                <w:szCs w:val="17"/>
                <w:color w:val="auto"/>
              </w:rPr>
            </w:pPr>
          </w:p>
        </w:tc>
      </w:tr>
      <w:tr>
        <w:trPr>
          <w:trHeight w:val="232"/>
        </w:trPr>
        <w:tc>
          <w:tcPr>
            <w:tcW w:w="5780" w:type="dxa"/>
            <w:vAlign w:val="bottom"/>
            <w:tcBorders>
              <w:bottom w:val="single" w:sz="8" w:color="CFF0FC"/>
            </w:tcBorders>
          </w:tcPr>
          <w:p>
            <w:pPr>
              <w:spacing w:after="0"/>
              <w:rPr>
                <w:sz w:val="20"/>
                <w:szCs w:val="20"/>
                <w:color w:val="auto"/>
              </w:rPr>
            </w:pPr>
          </w:p>
        </w:tc>
        <w:tc>
          <w:tcPr>
            <w:tcW w:w="1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Milestone payment</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Royalties due to third parties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9,006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r>
      <w:tr>
        <w:trPr>
          <w:trHeight w:val="228"/>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Rebates and other sales deductions</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FF0FC"/>
          </w:tcPr>
          <w:p>
            <w:pPr>
              <w:spacing w:after="0"/>
              <w:rPr>
                <w:sz w:val="19"/>
                <w:szCs w:val="19"/>
                <w:color w:val="auto"/>
              </w:rPr>
            </w:pP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r>
      <w:tr>
        <w:trPr>
          <w:trHeight w:val="228"/>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FF0FC"/>
          </w:tcPr>
          <w:p>
            <w:pPr>
              <w:spacing w:after="0"/>
              <w:rPr>
                <w:sz w:val="19"/>
                <w:szCs w:val="19"/>
                <w:color w:val="auto"/>
              </w:rPr>
            </w:pP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Professional fees, consulting, and other services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r>
      <w:tr>
        <w:trPr>
          <w:trHeight w:val="228"/>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FF0FC"/>
          </w:tcPr>
          <w:p>
            <w:pPr>
              <w:spacing w:after="0"/>
              <w:rPr>
                <w:sz w:val="19"/>
                <w:szCs w:val="19"/>
                <w:color w:val="auto"/>
              </w:rPr>
            </w:pPr>
          </w:p>
        </w:tc>
      </w:tr>
      <w:tr>
        <w:trPr>
          <w:trHeight w:val="227"/>
        </w:trPr>
        <w:tc>
          <w:tcPr>
            <w:tcW w:w="5780" w:type="dxa"/>
            <w:vAlign w:val="bottom"/>
          </w:tcPr>
          <w:p>
            <w:pPr>
              <w:spacing w:after="0"/>
              <w:rPr>
                <w:sz w:val="20"/>
                <w:szCs w:val="20"/>
                <w:color w:val="auto"/>
              </w:rPr>
            </w:pPr>
            <w:r>
              <w:rPr>
                <w:rFonts w:ascii="Arial" w:cs="Arial" w:eastAsia="Arial" w:hAnsi="Arial"/>
                <w:sz w:val="18"/>
                <w:szCs w:val="18"/>
                <w:color w:val="auto"/>
              </w:rPr>
              <w:t>Other expenses</w:t>
            </w: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r>
      <w:tr>
        <w:trPr>
          <w:trHeight w:val="221"/>
        </w:trPr>
        <w:tc>
          <w:tcPr>
            <w:tcW w:w="57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122,727</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DEBT</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114" w:lineRule="exact"/>
        <w:rPr>
          <w:sz w:val="20"/>
          <w:szCs w:val="20"/>
          <w:color w:val="auto"/>
        </w:rPr>
      </w:pPr>
    </w:p>
    <w:p>
      <w:pPr>
        <w:ind w:right="60" w:firstLine="761"/>
        <w:spacing w:after="0" w:line="253" w:lineRule="auto"/>
        <w:rPr>
          <w:sz w:val="20"/>
          <w:szCs w:val="20"/>
          <w:color w:val="auto"/>
        </w:rPr>
      </w:pPr>
      <w:r>
        <w:rPr>
          <w:rFonts w:ascii="Arial" w:cs="Arial" w:eastAsia="Arial" w:hAnsi="Arial"/>
          <w:sz w:val="18"/>
          <w:szCs w:val="18"/>
          <w:color w:val="auto"/>
        </w:rPr>
        <w:t>On February 28, 2019, the Company entered into a multi-draw loan agreement with CRG Servicing LLC for an aggregate of $200,000 (the “CRG Loan”), which matured in March 2025. The Loan bore a fixed rate of 12%. The Loan agreement required compliance with certain financial covenants. The Company could draw three tranches of the Loan based on achieving specific milestones and dates. The Company could elect to pay the interest on the outstanding principal amount as follows: (i) only 7.5% of the 12% per annum in cash, paid quarterly, starting in March 2019, and (ii) 4.5% of the 12% per annum interest as compounded interest, added to</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outstanding principal balance quarterly; the amount of any such compounded interest being a paid-in-kind loan.</w:t>
      </w:r>
    </w:p>
    <w:p>
      <w:pPr>
        <w:spacing w:after="0" w:line="221" w:lineRule="exact"/>
        <w:rPr>
          <w:sz w:val="20"/>
          <w:szCs w:val="20"/>
          <w:color w:val="auto"/>
        </w:rPr>
      </w:pPr>
    </w:p>
    <w:p>
      <w:pPr>
        <w:ind w:right="180" w:firstLine="761"/>
        <w:spacing w:after="0" w:line="281" w:lineRule="auto"/>
        <w:rPr>
          <w:sz w:val="20"/>
          <w:szCs w:val="20"/>
          <w:color w:val="auto"/>
        </w:rPr>
      </w:pPr>
      <w:r>
        <w:rPr>
          <w:rFonts w:ascii="Arial" w:cs="Arial" w:eastAsia="Arial" w:hAnsi="Arial"/>
          <w:sz w:val="17"/>
          <w:szCs w:val="17"/>
          <w:color w:val="auto"/>
        </w:rPr>
        <w:t>As of December 31, 2019, the Company had borrowed $100,000, resulting in cash proceeds received of $94,816, net of issuance costs. The issuance costs of $5,184 were being amortized over the six-year loan term of the CRG Loan. Unamortized debt issuance costs as of December 31, 2019 are $4,592 and are presented in the consolidated balance sheets as a direct deduction from the carrying value of the debt.</w:t>
      </w:r>
    </w:p>
    <w:p>
      <w:pPr>
        <w:spacing w:after="0" w:line="169" w:lineRule="exact"/>
        <w:rPr>
          <w:sz w:val="20"/>
          <w:szCs w:val="20"/>
          <w:color w:val="auto"/>
        </w:rPr>
      </w:pPr>
    </w:p>
    <w:p>
      <w:pPr>
        <w:ind w:right="200" w:firstLine="761"/>
        <w:spacing w:after="0" w:line="284" w:lineRule="auto"/>
        <w:rPr>
          <w:sz w:val="20"/>
          <w:szCs w:val="20"/>
          <w:color w:val="auto"/>
        </w:rPr>
      </w:pPr>
      <w:r>
        <w:rPr>
          <w:rFonts w:ascii="Arial" w:cs="Arial" w:eastAsia="Arial" w:hAnsi="Arial"/>
          <w:sz w:val="16"/>
          <w:szCs w:val="16"/>
          <w:color w:val="auto"/>
        </w:rPr>
        <w:t>On January 9, 2020 the Company entered into a credit agreement with OrbiMed Royalty &amp; Credit Opportunities, LP for an aggregate amount of $200,000 (the “OrbiMed Loan”), which matures in January 2026. Borrowings under the OrbiMed Loan are collateralized by all of the Company’s assets, excluding the intellectual property licensed through the License Agreement. The OrbiMed Loan bears an interest rate equal to the sum of (i) the greater of</w:t>
      </w:r>
    </w:p>
    <w:p>
      <w:pPr>
        <w:spacing w:after="0" w:line="2" w:lineRule="exact"/>
        <w:rPr>
          <w:sz w:val="20"/>
          <w:szCs w:val="20"/>
          <w:color w:val="auto"/>
        </w:rPr>
      </w:pPr>
    </w:p>
    <w:p>
      <w:pPr>
        <w:ind w:right="40" w:firstLine="7"/>
        <w:spacing w:after="0" w:line="250" w:lineRule="auto"/>
        <w:tabs>
          <w:tab w:leader="none" w:pos="2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1-month LIBOR or (b) 2.00% per annum, plus (ii) 11.00% per annum, paid in cash monthly in arrears on the last day of each month starting in January 2020. At the time of prepayment or repayment of all or any portion of the principal of the OrbiMed Loan, the Company is required to pay an exit fee of 7.0% of the principal amount of the OrbiMed Loan prepaid, repaid, or required to be prepaid or repaid. The Company recorded as a liability and debt discount the exit fee at the origination of the term loan.</w:t>
      </w:r>
    </w:p>
    <w:p>
      <w:pPr>
        <w:spacing w:after="0" w:line="195" w:lineRule="exact"/>
        <w:rPr>
          <w:sz w:val="20"/>
          <w:szCs w:val="20"/>
          <w:color w:val="auto"/>
        </w:rPr>
      </w:pPr>
    </w:p>
    <w:p>
      <w:pPr>
        <w:ind w:right="40" w:firstLine="761"/>
        <w:spacing w:after="0" w:line="290" w:lineRule="auto"/>
        <w:rPr>
          <w:sz w:val="20"/>
          <w:szCs w:val="20"/>
          <w:color w:val="auto"/>
        </w:rPr>
      </w:pPr>
      <w:r>
        <w:rPr>
          <w:rFonts w:ascii="Arial" w:cs="Arial" w:eastAsia="Arial" w:hAnsi="Arial"/>
          <w:sz w:val="16"/>
          <w:szCs w:val="16"/>
          <w:color w:val="auto"/>
        </w:rPr>
        <w:t>In addition to entering into the OrbiMed Loan, the Company extinguished the CRG Loan which required a payoff amount of $120,893 consisting of principal repayment, interest, and exit fees. In connection with extinguishment of the CRG Loan, we recognized a loss on extinguishment of $22,639, which included an exit fee of $18,047 and the write-off of the remaining unamortized debt issuance costs of $4,592. The loss on extinguishment of debt was recorded in loss on debt extinguishment within the Company’s consolidated statements of operations. The net cash received as a result of the transaction, less debt issuance costs of $5,804, was $73,313. These debt issuance costs will be amortized as additional interest expense over the six-year loan term of the OrbiMed Loan. The fair value of the OrbiMed loan as of December 31, 2020 was $245,700.</w:t>
      </w:r>
    </w:p>
    <w:p>
      <w:pPr>
        <w:spacing w:after="0" w:line="231" w:lineRule="exact"/>
        <w:rPr>
          <w:sz w:val="20"/>
          <w:szCs w:val="20"/>
          <w:color w:val="auto"/>
        </w:rPr>
      </w:pPr>
    </w:p>
    <w:p>
      <w:pPr>
        <w:ind w:right="100" w:firstLine="761"/>
        <w:spacing w:after="0" w:line="287" w:lineRule="auto"/>
        <w:rPr>
          <w:sz w:val="20"/>
          <w:szCs w:val="20"/>
          <w:color w:val="auto"/>
        </w:rPr>
      </w:pPr>
      <w:r>
        <w:rPr>
          <w:rFonts w:ascii="Arial" w:cs="Arial" w:eastAsia="Arial" w:hAnsi="Arial"/>
          <w:sz w:val="16"/>
          <w:szCs w:val="16"/>
          <w:color w:val="auto"/>
        </w:rPr>
        <w:t>In connection with the OrbiMed Loan, the Company issued warrants (the “Warrants”) to OrbiMed Royalty &amp; Credit Opportunities, LP on January 9, 2020. See Note 13 for further discussion of the Warrants.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at January 9, 2020. The portion of the OrbiMed Loan proceeds allocated to the warrant liability resulted in a debt discount, which is presented in the consolidated balance sheets as a direct deduction from the carrying value of the debt and is being amortized as additional interest expense over the six-year loan term of the OrbiMed Loan. The unamortized debt discount as of December 31, 2020 is $2,097 and is presented in the consolidated balance sheets as a direct deduction from the carrying value of the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80" w:type="dxa"/>
            <w:vAlign w:val="bottom"/>
            <w:gridSpan w:val="6"/>
          </w:tcPr>
          <w:p>
            <w:pPr>
              <w:ind w:left="760"/>
              <w:spacing w:after="0"/>
              <w:rPr>
                <w:sz w:val="20"/>
                <w:szCs w:val="20"/>
                <w:color w:val="auto"/>
              </w:rPr>
            </w:pPr>
            <w:r>
              <w:rPr>
                <w:rFonts w:ascii="Arial" w:cs="Arial" w:eastAsia="Arial" w:hAnsi="Arial"/>
                <w:sz w:val="18"/>
                <w:szCs w:val="18"/>
                <w:color w:val="auto"/>
                <w:w w:val="89"/>
              </w:rPr>
              <w:t>The balances of the OrbiMed Loan as of December 31, 2020 and the CRG Loan as of December 31, 2019 were as follows: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4"/>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December 31,</w:t>
            </w:r>
          </w:p>
        </w:tc>
      </w:tr>
      <w:tr>
        <w:trPr>
          <w:trHeight w:val="232"/>
        </w:trPr>
        <w:tc>
          <w:tcPr>
            <w:tcW w:w="69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Liability component - principal</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102,538</w:t>
            </w:r>
          </w:p>
        </w:tc>
        <w:tc>
          <w:tcPr>
            <w:tcW w:w="120" w:type="dxa"/>
            <w:vAlign w:val="bottom"/>
            <w:shd w:val="clear" w:color="auto" w:fill="CFF0FC"/>
          </w:tcPr>
          <w:p>
            <w:pPr>
              <w:spacing w:after="0"/>
              <w:rPr>
                <w:sz w:val="19"/>
                <w:szCs w:val="19"/>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Exit fee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w w:val="96"/>
              </w:rPr>
              <w:t>Unamortized debt discount associated with the exit fee, debt financing costs and discount</w:t>
            </w: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with warrant financing</w:t>
            </w:r>
          </w:p>
        </w:tc>
        <w:tc>
          <w:tcPr>
            <w:tcW w:w="2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(19,750)</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(4,592)</w:t>
            </w:r>
          </w:p>
        </w:tc>
      </w:tr>
      <w:tr>
        <w:trPr>
          <w:trHeight w:val="220"/>
        </w:trPr>
        <w:tc>
          <w:tcPr>
            <w:tcW w:w="6920" w:type="dxa"/>
            <w:vAlign w:val="bottom"/>
          </w:tcPr>
          <w:p>
            <w:pPr>
              <w:spacing w:after="0"/>
              <w:rPr>
                <w:sz w:val="20"/>
                <w:szCs w:val="20"/>
                <w:color w:val="auto"/>
              </w:rPr>
            </w:pPr>
            <w:r>
              <w:rPr>
                <w:rFonts w:ascii="Arial" w:cs="Arial" w:eastAsia="Arial" w:hAnsi="Arial"/>
                <w:sz w:val="18"/>
                <w:szCs w:val="18"/>
                <w:color w:val="auto"/>
              </w:rPr>
              <w:t>Liability component - net carrying value</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194,250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97,946</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3" w:lineRule="exact"/>
        <w:rPr>
          <w:sz w:val="20"/>
          <w:szCs w:val="20"/>
          <w:color w:val="auto"/>
        </w:rPr>
      </w:pPr>
    </w:p>
    <w:p>
      <w:pPr>
        <w:ind w:right="120" w:firstLine="761"/>
        <w:spacing w:after="0" w:line="271" w:lineRule="auto"/>
        <w:rPr>
          <w:sz w:val="20"/>
          <w:szCs w:val="20"/>
          <w:color w:val="auto"/>
        </w:rPr>
      </w:pPr>
      <w:r>
        <w:rPr>
          <w:rFonts w:ascii="Arial" w:cs="Arial" w:eastAsia="Arial" w:hAnsi="Arial"/>
          <w:sz w:val="18"/>
          <w:szCs w:val="18"/>
          <w:color w:val="auto"/>
        </w:rPr>
        <w:t>Interest expense related to the OrbiMed Loan and CRG Loan were included in interest expense, net in the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2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on principal balance</w:t>
            </w:r>
          </w:p>
        </w:tc>
        <w:tc>
          <w:tcPr>
            <w:tcW w:w="26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Interest on PIK</w:t>
            </w: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6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140"/>
              <w:spacing w:after="0"/>
              <w:rPr>
                <w:sz w:val="20"/>
                <w:szCs w:val="20"/>
                <w:color w:val="auto"/>
              </w:rPr>
            </w:pPr>
            <w:r>
              <w:rPr>
                <w:rFonts w:ascii="Arial" w:cs="Arial" w:eastAsia="Arial" w:hAnsi="Arial"/>
                <w:sz w:val="18"/>
                <w:szCs w:val="18"/>
                <w:color w:val="auto"/>
              </w:rPr>
              <w:t>Total term loan interest expense</w:t>
            </w:r>
          </w:p>
        </w:tc>
        <w:tc>
          <w:tcPr>
            <w:tcW w:w="26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28,615</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0" w:type="dxa"/>
            <w:vAlign w:val="bottom"/>
            <w:vMerge w:val="restart"/>
          </w:tcPr>
          <w:p>
            <w:pPr>
              <w:jc w:val="right"/>
              <w:ind w:right="851"/>
              <w:spacing w:after="0"/>
              <w:rPr>
                <w:sz w:val="20"/>
                <w:szCs w:val="20"/>
                <w:color w:val="auto"/>
              </w:rPr>
            </w:pPr>
            <w:r>
              <w:rPr>
                <w:rFonts w:ascii="Arial" w:cs="Arial" w:eastAsia="Arial" w:hAnsi="Arial"/>
                <w:sz w:val="18"/>
                <w:szCs w:val="18"/>
                <w:color w:val="auto"/>
              </w:rPr>
              <w:t>135</w:t>
            </w: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43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760" w:right="7760" w:hanging="753"/>
        <w:spacing w:after="0" w:line="372" w:lineRule="auto"/>
        <w:tabs>
          <w:tab w:leader="none" w:pos="177"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 Litigation</w:t>
      </w:r>
    </w:p>
    <w:p>
      <w:pPr>
        <w:ind w:right="320" w:firstLine="761"/>
        <w:spacing w:after="0" w:line="271"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w:t>
      </w:r>
    </w:p>
    <w:p>
      <w:pPr>
        <w:spacing w:after="0" w:line="175" w:lineRule="exact"/>
        <w:rPr>
          <w:sz w:val="20"/>
          <w:szCs w:val="20"/>
          <w:color w:val="auto"/>
        </w:rPr>
      </w:pPr>
    </w:p>
    <w:p>
      <w:pPr>
        <w:ind w:right="140" w:firstLine="761"/>
        <w:spacing w:after="0" w:line="259" w:lineRule="auto"/>
        <w:rPr>
          <w:sz w:val="20"/>
          <w:szCs w:val="20"/>
          <w:color w:val="auto"/>
        </w:rPr>
      </w:pPr>
      <w:r>
        <w:rPr>
          <w:rFonts w:ascii="Arial" w:cs="Arial" w:eastAsia="Arial" w:hAnsi="Arial"/>
          <w:sz w:val="18"/>
          <w:szCs w:val="18"/>
          <w:color w:val="auto"/>
        </w:rPr>
        <w:t>During 2019 the Company was involved in ongoing litigation with its former chief executive officer related to arbitration and the value of vested common shares. On October 24, 2019, the Company reached a settlement resulting in $3,466 of general and administrative expense reflected in the Company’s consolidated results of operations for the year ended December 31, 2019.</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4" w:lineRule="exact"/>
        <w:rPr>
          <w:sz w:val="20"/>
          <w:szCs w:val="20"/>
          <w:color w:val="auto"/>
        </w:rPr>
      </w:pPr>
    </w:p>
    <w:p>
      <w:pPr>
        <w:ind w:right="120" w:firstLine="761"/>
        <w:spacing w:after="0" w:line="271" w:lineRule="auto"/>
        <w:rPr>
          <w:sz w:val="20"/>
          <w:szCs w:val="20"/>
          <w:color w:val="auto"/>
        </w:rPr>
      </w:pPr>
      <w:r>
        <w:rPr>
          <w:rFonts w:ascii="Arial" w:cs="Arial" w:eastAsia="Arial" w:hAnsi="Arial"/>
          <w:sz w:val="18"/>
          <w:szCs w:val="18"/>
          <w:color w:val="auto"/>
        </w:rPr>
        <w:t>In April 2018, the Company entered into an operating lease for approximately nine thousand square feet of office space in Northbrook, IL, which expired in January 2020.</w:t>
      </w:r>
    </w:p>
    <w:p>
      <w:pPr>
        <w:spacing w:after="0" w:line="175" w:lineRule="exact"/>
        <w:rPr>
          <w:sz w:val="20"/>
          <w:szCs w:val="20"/>
          <w:color w:val="auto"/>
        </w:rPr>
      </w:pPr>
    </w:p>
    <w:p>
      <w:pPr>
        <w:ind w:right="240" w:firstLine="761"/>
        <w:spacing w:after="0" w:line="271"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w:t>
      </w:r>
    </w:p>
    <w:p>
      <w:pPr>
        <w:spacing w:after="0" w:line="175" w:lineRule="exact"/>
        <w:rPr>
          <w:sz w:val="20"/>
          <w:szCs w:val="20"/>
          <w:color w:val="auto"/>
        </w:rPr>
      </w:pPr>
    </w:p>
    <w:p>
      <w:pPr>
        <w:ind w:right="420" w:firstLine="761"/>
        <w:spacing w:after="0" w:line="301" w:lineRule="auto"/>
        <w:rPr>
          <w:sz w:val="20"/>
          <w:szCs w:val="20"/>
          <w:color w:val="auto"/>
        </w:rPr>
      </w:pPr>
      <w:r>
        <w:rPr>
          <w:rFonts w:ascii="Arial" w:cs="Arial" w:eastAsia="Arial" w:hAnsi="Arial"/>
          <w:sz w:val="17"/>
          <w:szCs w:val="17"/>
          <w:color w:val="auto"/>
        </w:rPr>
        <w:t>In December 2020, the Company entered into an operating lease for approximately thirteen thousand square feet of additional office space in Plymouth Meeting, PA, which expires in May 2024. The term will not commence until the Company takes occupancy in mid-2021.</w:t>
      </w:r>
    </w:p>
    <w:p>
      <w:pPr>
        <w:spacing w:after="0" w:line="152" w:lineRule="exact"/>
        <w:rPr>
          <w:sz w:val="20"/>
          <w:szCs w:val="20"/>
          <w:color w:val="auto"/>
        </w:rPr>
      </w:pPr>
    </w:p>
    <w:p>
      <w:pPr>
        <w:ind w:right="40" w:firstLine="761"/>
        <w:spacing w:after="0" w:line="253" w:lineRule="auto"/>
        <w:rPr>
          <w:sz w:val="20"/>
          <w:szCs w:val="20"/>
          <w:color w:val="auto"/>
        </w:rPr>
      </w:pPr>
      <w:r>
        <w:rPr>
          <w:rFonts w:ascii="Arial" w:cs="Arial" w:eastAsia="Arial" w:hAnsi="Arial"/>
          <w:sz w:val="18"/>
          <w:szCs w:val="18"/>
          <w:color w:val="auto"/>
        </w:rPr>
        <w:t>The terms of the lease payments provide for rental payments on a monthly basis and on a graduated scale. The Company recognizes rent expense on a straight-line basis over the lease period and has accrued for rent expense incurred but not paid. In addition, tenant improvement allowances recorded are amortized as a reduction to rent expense on a straight-line basis over the lease term. Rent expense was $686 for the year ended December 31, 2020, compared to $1,051 for the year ended December 31, 2019. The following table sets forth the lease payment obligations as of December 31, 2020, for the periods indicated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9260" w:type="dxa"/>
            <w:vAlign w:val="bottom"/>
          </w:tcPr>
          <w:p>
            <w:pPr>
              <w:ind w:left="260"/>
              <w:spacing w:after="0"/>
              <w:rPr>
                <w:sz w:val="20"/>
                <w:szCs w:val="20"/>
                <w:color w:val="auto"/>
              </w:rPr>
            </w:pPr>
            <w:r>
              <w:rPr>
                <w:rFonts w:ascii="Arial" w:cs="Arial" w:eastAsia="Arial" w:hAnsi="Arial"/>
                <w:sz w:val="18"/>
                <w:szCs w:val="18"/>
                <w:color w:val="auto"/>
              </w:rPr>
              <w:t>2021</w:t>
            </w:r>
          </w:p>
        </w:tc>
        <w:tc>
          <w:tcPr>
            <w:tcW w:w="780" w:type="dxa"/>
            <w:vAlign w:val="bottom"/>
            <w:gridSpan w:val="2"/>
          </w:tcPr>
          <w:p>
            <w:pPr>
              <w:jc w:val="right"/>
              <w:ind w:right="608"/>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r>
      <w:tr>
        <w:trPr>
          <w:trHeight w:val="228"/>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FF0FC"/>
          </w:tcPr>
          <w:p>
            <w:pPr>
              <w:spacing w:after="0"/>
              <w:rPr>
                <w:sz w:val="19"/>
                <w:szCs w:val="19"/>
                <w:color w:val="auto"/>
              </w:rPr>
            </w:pPr>
          </w:p>
        </w:tc>
      </w:tr>
      <w:tr>
        <w:trPr>
          <w:trHeight w:val="227"/>
        </w:trPr>
        <w:tc>
          <w:tcPr>
            <w:tcW w:w="9260" w:type="dxa"/>
            <w:vAlign w:val="bottom"/>
          </w:tcPr>
          <w:p>
            <w:pPr>
              <w:ind w:left="26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r>
      <w:tr>
        <w:trPr>
          <w:trHeight w:val="228"/>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27"/>
        </w:trPr>
        <w:tc>
          <w:tcPr>
            <w:tcW w:w="9260" w:type="dxa"/>
            <w:vAlign w:val="bottom"/>
          </w:tcPr>
          <w:p>
            <w:pPr>
              <w:ind w:left="26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9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CONVERTIBLE PREFERRED STOCK</w:t>
      </w:r>
    </w:p>
    <w:p>
      <w:pPr>
        <w:spacing w:after="0" w:line="114" w:lineRule="exact"/>
        <w:rPr>
          <w:sz w:val="20"/>
          <w:szCs w:val="20"/>
          <w:color w:val="auto"/>
        </w:rPr>
      </w:pPr>
    </w:p>
    <w:p>
      <w:pPr>
        <w:ind w:right="120" w:firstLine="761"/>
        <w:spacing w:after="0" w:line="281" w:lineRule="auto"/>
        <w:rPr>
          <w:sz w:val="20"/>
          <w:szCs w:val="20"/>
          <w:color w:val="auto"/>
        </w:rPr>
      </w:pPr>
      <w:r>
        <w:rPr>
          <w:rFonts w:ascii="Arial" w:cs="Arial" w:eastAsia="Arial" w:hAnsi="Arial"/>
          <w:sz w:val="17"/>
          <w:szCs w:val="17"/>
          <w:color w:val="auto"/>
        </w:rPr>
        <w:t>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14" w:lineRule="exact"/>
        <w:rPr>
          <w:sz w:val="20"/>
          <w:szCs w:val="20"/>
          <w:color w:val="auto"/>
        </w:rPr>
      </w:pPr>
    </w:p>
    <w:p>
      <w:pPr>
        <w:ind w:right="100" w:firstLine="761"/>
        <w:spacing w:after="0" w:line="290" w:lineRule="auto"/>
        <w:rPr>
          <w:sz w:val="20"/>
          <w:szCs w:val="20"/>
          <w:color w:val="auto"/>
        </w:rPr>
      </w:pPr>
      <w:r>
        <w:rPr>
          <w:rFonts w:ascii="Arial" w:cs="Arial" w:eastAsia="Arial" w:hAnsi="Arial"/>
          <w:sz w:val="16"/>
          <w:szCs w:val="16"/>
          <w:color w:val="auto"/>
        </w:rPr>
        <w:t>On September 22, 2017, the Company issued 270,000,000 shares of Series A convertible preferred stock for a purchase price of $1.00 per share, or $270,000 in the aggregate. On January 8, 2018, the Company issued an additional 15,000,000 shares of Series A convertible preferred stock for a purchase price of $1.00 per share, or $15,000 in the aggregate. As of December 31, 2019, there were 286,000,000 Series A convertible preferred stock authorized of which 285,000,000 were issued and outstanding. Each outstanding share of Series A convertible preferred stock accrued dividends at 10% per annum of the Series A original issue price, subject to adjustment for stock splits, combinations, recapitalizations, stock dividends and similar transactions. Preferred dividends on the Series A convertible preferred stock were cumulative and were compounded annually.</w:t>
      </w:r>
    </w:p>
    <w:p>
      <w:pPr>
        <w:spacing w:after="0" w:line="16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114" w:lineRule="exact"/>
        <w:rPr>
          <w:sz w:val="20"/>
          <w:szCs w:val="20"/>
          <w:color w:val="auto"/>
        </w:rPr>
      </w:pPr>
    </w:p>
    <w:p>
      <w:pPr>
        <w:ind w:right="60" w:firstLine="761"/>
        <w:spacing w:after="0" w:line="272" w:lineRule="auto"/>
        <w:rPr>
          <w:sz w:val="20"/>
          <w:szCs w:val="20"/>
          <w:color w:val="auto"/>
        </w:rPr>
      </w:pPr>
      <w:r>
        <w:rPr>
          <w:rFonts w:ascii="Arial" w:cs="Arial" w:eastAsia="Arial" w:hAnsi="Arial"/>
          <w:sz w:val="17"/>
          <w:szCs w:val="17"/>
          <w:color w:val="auto"/>
        </w:rPr>
        <w:t>On January 8, 2018, the Company issued 8,000,000 shares of Series B convertible preferred stock for a purchase price of $1.25 per share, or $10,000 in the aggregate. As of December 31, 2019, there were 8,030,000 shares of Series B convertible preferred stock authorized, of which 8,000,000 were issued and outstanding. Each outstanding share of Series B convertible preferred stock accrued dividends at 10% per annum of the Series B original issue price, subject to adjustment for stock splits, combinations, recapitalizations, stock dividends and similar transactions. Preferred dividends on the Series B convertible preferred stock were cumulative and were compounded annually.</w:t>
      </w:r>
    </w:p>
    <w:p>
      <w:pPr>
        <w:spacing w:after="0" w:line="28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August 9, 2019, the Company issued 25,510,205 shares of Series C convertible preferred stock for a purchase price of $1.96 per share, or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$50,000 in the aggregate. As December 31, 2019, there were 25,600,000 shares of Series C convertible preferred stock authorized, of which 25,510,205 were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Each outstanding share of Series C convertible preferred stock accrued dividends at 10% per annum of the Series C original issue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price, subject to adjustment for stock splits, combinations, recapitalizations, stock dividends and similar transactions. Preferred dividends on the Series 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were cumulative and were compounded annually.</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Dividends</w:t>
      </w:r>
    </w:p>
    <w:p>
      <w:pPr>
        <w:spacing w:after="0" w:line="114" w:lineRule="exact"/>
        <w:rPr>
          <w:sz w:val="20"/>
          <w:szCs w:val="20"/>
          <w:color w:val="auto"/>
        </w:rPr>
      </w:pPr>
    </w:p>
    <w:p>
      <w:pPr>
        <w:ind w:right="20" w:firstLine="761"/>
        <w:spacing w:after="0" w:line="251" w:lineRule="auto"/>
        <w:rPr>
          <w:sz w:val="20"/>
          <w:szCs w:val="20"/>
          <w:color w:val="auto"/>
        </w:rPr>
      </w:pPr>
      <w:r>
        <w:rPr>
          <w:rFonts w:ascii="Arial" w:cs="Arial" w:eastAsia="Arial" w:hAnsi="Arial"/>
          <w:sz w:val="18"/>
          <w:szCs w:val="18"/>
          <w:color w:val="auto"/>
        </w:rPr>
        <w:t>The holders of Series A, Series B, and Series C convertible preferred stock were entitled to receive, when and if declared by the board of directors of the Company, cumulative dividends equal to a 10% per annum of Series A, Series B, and Series C convertible preferred stock. In addition, the holders of the outstanding shares of Series A, Series B, and Series C convertible preferred stock were entitled to receive, when and if declared by the board of directors of the Company, a dividend at least equal to any dividend payable on the Company’s common stock as if all convertible preferred stock had been converted to common stock. No dividends were declared as of December 31, 2019. As part of the Company’s IPO, the Company’s accrued cumulative dividend was paid out to holders of Series A, Series B, and Series C convertible preferred stock in shares of the Company’s common stock and reflects the reverse stock split in connection with the mandatory conversion of the Series A, Series B, and Series C convertible preferred stock into shares of the Company’s common stock.</w:t>
      </w:r>
    </w:p>
    <w:p>
      <w:pPr>
        <w:spacing w:after="0" w:line="301" w:lineRule="exact"/>
        <w:rPr>
          <w:sz w:val="20"/>
          <w:szCs w:val="20"/>
          <w:color w:val="auto"/>
        </w:rPr>
      </w:pPr>
    </w:p>
    <w:p>
      <w:pPr>
        <w:ind w:left="760" w:right="7880" w:hanging="753"/>
        <w:spacing w:after="0" w:line="432" w:lineRule="auto"/>
        <w:tabs>
          <w:tab w:leader="none" w:pos="256" w:val="left"/>
        </w:tabs>
        <w:numPr>
          <w:ilvl w:val="0"/>
          <w:numId w:val="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STOCKHOLDERS’ EQUITY (DEFICIT) Common Stock</w:t>
      </w:r>
    </w:p>
    <w:p>
      <w:pPr>
        <w:spacing w:after="0" w:line="45" w:lineRule="exact"/>
        <w:rPr>
          <w:sz w:val="20"/>
          <w:szCs w:val="20"/>
          <w:color w:val="auto"/>
        </w:rPr>
      </w:pPr>
    </w:p>
    <w:p>
      <w:pPr>
        <w:ind w:right="60" w:firstLine="761"/>
        <w:spacing w:after="0" w:line="267" w:lineRule="auto"/>
        <w:rPr>
          <w:sz w:val="20"/>
          <w:szCs w:val="20"/>
          <w:color w:val="auto"/>
        </w:rPr>
      </w:pPr>
      <w:r>
        <w:rPr>
          <w:rFonts w:ascii="Arial" w:cs="Arial" w:eastAsia="Arial" w:hAnsi="Arial"/>
          <w:sz w:val="17"/>
          <w:szCs w:val="17"/>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with the exception of the preferred stock.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As of August 11, 2020, all outstanding shares of preferred stock and preferred stock dividend were convertible into shares of common stock on a 1-for-8.215 basis. On August 21, 2020, the Company completed its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incurred by the Company.</w:t>
      </w:r>
    </w:p>
    <w:p>
      <w:pPr>
        <w:spacing w:after="0" w:line="179" w:lineRule="exact"/>
        <w:rPr>
          <w:sz w:val="20"/>
          <w:szCs w:val="20"/>
          <w:color w:val="auto"/>
        </w:rPr>
      </w:pPr>
    </w:p>
    <w:p>
      <w:pPr>
        <w:jc w:val="both"/>
        <w:ind w:right="200" w:firstLine="761"/>
        <w:spacing w:after="0" w:line="297" w:lineRule="auto"/>
        <w:rPr>
          <w:sz w:val="20"/>
          <w:szCs w:val="20"/>
          <w:color w:val="auto"/>
        </w:rPr>
      </w:pPr>
      <w:r>
        <w:rPr>
          <w:rFonts w:ascii="Arial" w:cs="Arial" w:eastAsia="Arial" w:hAnsi="Arial"/>
          <w:sz w:val="16"/>
          <w:szCs w:val="16"/>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59"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1,217,285 common shares held by an investor were subject to certain forfeiture provisions that are dependent upon the outcome of certain future events. On November 15, 2019, the Company removed the</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provision associated with this forfeiture resulting in $8,400 of noncash stock compensation expense reflected in the Company’s consolidated results of operations for the year ended December 31, 2019.</w:t>
      </w:r>
    </w:p>
    <w:p>
      <w:pPr>
        <w:spacing w:after="0" w:line="175" w:lineRule="exact"/>
        <w:rPr>
          <w:sz w:val="20"/>
          <w:szCs w:val="20"/>
          <w:color w:val="auto"/>
        </w:rPr>
      </w:pPr>
    </w:p>
    <w:p>
      <w:pPr>
        <w:ind w:left="760" w:right="5720" w:hanging="753"/>
        <w:spacing w:after="0" w:line="372" w:lineRule="auto"/>
        <w:tabs>
          <w:tab w:leader="none" w:pos="266"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INCENTIVE PLAN AND STOCK-BASED COMPENSATION Stock Incentive Plan</w:t>
      </w:r>
    </w:p>
    <w:p>
      <w:pPr>
        <w:ind w:right="280" w:firstLine="761"/>
        <w:spacing w:after="0" w:line="259" w:lineRule="auto"/>
        <w:rPr>
          <w:sz w:val="20"/>
          <w:szCs w:val="20"/>
          <w:color w:val="auto"/>
        </w:rPr>
      </w:pPr>
      <w:r>
        <w:rPr>
          <w:rFonts w:ascii="Arial" w:cs="Arial" w:eastAsia="Arial" w:hAnsi="Arial"/>
          <w:sz w:val="18"/>
          <w:szCs w:val="18"/>
          <w:color w:val="auto"/>
        </w:rPr>
        <w:t>On August 7,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or restricted stock.</w:t>
      </w:r>
    </w:p>
    <w:p>
      <w:pPr>
        <w:spacing w:after="0" w:line="186" w:lineRule="exact"/>
        <w:rPr>
          <w:sz w:val="20"/>
          <w:szCs w:val="20"/>
          <w:color w:val="auto"/>
        </w:rPr>
      </w:pPr>
    </w:p>
    <w:p>
      <w:pPr>
        <w:ind w:right="140" w:firstLine="761"/>
        <w:spacing w:after="0" w:line="293" w:lineRule="auto"/>
        <w:rPr>
          <w:sz w:val="20"/>
          <w:szCs w:val="20"/>
          <w:color w:val="auto"/>
        </w:rPr>
      </w:pPr>
      <w:r>
        <w:rPr>
          <w:rFonts w:ascii="Arial" w:cs="Arial" w:eastAsia="Arial" w:hAnsi="Arial"/>
          <w:sz w:val="16"/>
          <w:szCs w:val="16"/>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Upon the effectiveness of the 2020 Plan, no further grants will be made under the 2017 Plan. However, the 2017 Plan will continue to govern the terms and conditions of outstanding awards granted under it. The 2020 Plan provides for the grant of stock options, including ISOs and NSOs, SARs, restricted stock, dividend equivalents, RSUs and other stock or cash based awards.</w:t>
      </w:r>
    </w:p>
    <w:p>
      <w:pPr>
        <w:spacing w:after="0" w:line="161" w:lineRule="exact"/>
        <w:rPr>
          <w:sz w:val="20"/>
          <w:szCs w:val="20"/>
          <w:color w:val="auto"/>
        </w:rPr>
      </w:pPr>
    </w:p>
    <w:p>
      <w:pPr>
        <w:ind w:right="160" w:firstLine="761"/>
        <w:spacing w:after="0" w:line="301" w:lineRule="auto"/>
        <w:rPr>
          <w:sz w:val="20"/>
          <w:szCs w:val="20"/>
          <w:color w:val="auto"/>
        </w:rPr>
      </w:pPr>
      <w:r>
        <w:rPr>
          <w:rFonts w:ascii="Arial" w:cs="Arial" w:eastAsia="Arial" w:hAnsi="Arial"/>
          <w:sz w:val="17"/>
          <w:szCs w:val="17"/>
          <w:color w:val="auto"/>
        </w:rPr>
        <w:t>Stock options under the 2017 Plan and the 2020 Plan have a 10-year contractual term and vest over the vesting period specified in the applicable award agreement, at achievement of a performance requirement, or upon change of control (as defined in the applicable plan).</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awards granted under the Plan as of December 31, 2020 and 2019,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r>
      <w:tr>
        <w:trPr>
          <w:trHeight w:val="214"/>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4"/>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r>
      <w:tr>
        <w:trPr>
          <w:trHeight w:val="214"/>
        </w:trPr>
        <w:tc>
          <w:tcPr>
            <w:tcW w:w="66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r>
      <w:tr>
        <w:trPr>
          <w:trHeight w:val="232"/>
        </w:trPr>
        <w:tc>
          <w:tcPr>
            <w:tcW w:w="666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r>
      <w:tr>
        <w:trPr>
          <w:trHeight w:val="221"/>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outstanding—December 31, 2019</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2,375,218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Awards issued</w:t>
            </w:r>
          </w:p>
        </w:tc>
        <w:tc>
          <w:tcPr>
            <w:tcW w:w="1320" w:type="dxa"/>
            <w:vAlign w:val="bottom"/>
          </w:tcPr>
          <w:p>
            <w:pPr>
              <w:jc w:val="right"/>
              <w:spacing w:after="0"/>
              <w:rPr>
                <w:sz w:val="20"/>
                <w:szCs w:val="20"/>
                <w:color w:val="auto"/>
              </w:rPr>
            </w:pPr>
            <w:r>
              <w:rPr>
                <w:rFonts w:ascii="Arial" w:cs="Arial" w:eastAsia="Arial" w:hAnsi="Arial"/>
                <w:sz w:val="18"/>
                <w:szCs w:val="18"/>
                <w:color w:val="auto"/>
              </w:rPr>
              <w:t>3,035,400</w:t>
            </w:r>
          </w:p>
        </w:tc>
        <w:tc>
          <w:tcPr>
            <w:tcW w:w="160" w:type="dxa"/>
            <w:vAlign w:val="bottom"/>
          </w:tcPr>
          <w:p>
            <w:pPr>
              <w:spacing w:after="0"/>
              <w:rPr>
                <w:sz w:val="19"/>
                <w:szCs w:val="19"/>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24.54</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Awards exercised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(37,947)</w:t>
            </w: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Awards forfeited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(112,545)</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10.75</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outstanding—December 31,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5,260,126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80" w:firstLine="761"/>
        <w:spacing w:after="0" w:line="307" w:lineRule="auto"/>
        <w:rPr>
          <w:sz w:val="20"/>
          <w:szCs w:val="20"/>
          <w:color w:val="auto"/>
        </w:rPr>
      </w:pPr>
      <w:r>
        <w:rPr>
          <w:rFonts w:ascii="Arial" w:cs="Arial" w:eastAsia="Arial" w:hAnsi="Arial"/>
          <w:sz w:val="16"/>
          <w:szCs w:val="16"/>
          <w:color w:val="auto"/>
        </w:rPr>
        <w:t>As of December 31, 2020 and 2019, stock awards issued under the 2017 and 2020 Plans of 987,538 and 573,098 common shares, respectively, were vested. The Company has elected early adoption of ASU No. 2016-09 to recognize forfeitures as they occur. As a result of the adoption, for the year ended December 31, 2020 and 2019, respectively, the Company reversed $3 and $4 out of stock-based compensation previously recorded.</w:t>
      </w:r>
    </w:p>
    <w:p>
      <w:pPr>
        <w:spacing w:after="0" w:line="15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Value of Stock Options</w:t>
      </w:r>
    </w:p>
    <w:p>
      <w:pPr>
        <w:spacing w:after="0" w:line="114" w:lineRule="exact"/>
        <w:rPr>
          <w:sz w:val="20"/>
          <w:szCs w:val="20"/>
          <w:color w:val="auto"/>
        </w:rPr>
      </w:pPr>
    </w:p>
    <w:p>
      <w:pPr>
        <w:ind w:right="160" w:firstLine="761"/>
        <w:spacing w:after="0" w:line="288" w:lineRule="auto"/>
        <w:rPr>
          <w:sz w:val="20"/>
          <w:szCs w:val="20"/>
          <w:color w:val="auto"/>
        </w:rPr>
      </w:pPr>
      <w:r>
        <w:rPr>
          <w:rFonts w:ascii="Arial" w:cs="Arial" w:eastAsia="Arial" w:hAnsi="Arial"/>
          <w:sz w:val="16"/>
          <w:szCs w:val="16"/>
          <w:color w:val="auto"/>
        </w:rPr>
        <w:t>The Company has valued awards for each of the plans included herein using the Black-Scholes option-pricing model. The Company historically has been a private company and lacks company-specific historical and implied volatility information. Therefore, the Company estimates its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the time periods approximately equal to the expected term of the award. Expected dividend yield is based on the fact that the Company has never paid cash dividends and does not expect to pay any cash dividends in the foreseeable future.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80" w:type="dxa"/>
            <w:vAlign w:val="bottom"/>
          </w:tcPr>
          <w:p>
            <w:pPr>
              <w:ind w:left="760"/>
              <w:spacing w:after="0"/>
              <w:rPr>
                <w:sz w:val="20"/>
                <w:szCs w:val="20"/>
                <w:color w:val="auto"/>
              </w:rPr>
            </w:pPr>
            <w:r>
              <w:rPr>
                <w:rFonts w:ascii="Arial" w:cs="Arial" w:eastAsia="Arial" w:hAnsi="Arial"/>
                <w:sz w:val="18"/>
                <w:szCs w:val="18"/>
                <w:color w:val="auto"/>
              </w:rPr>
              <w:t>The assumptions used to value the awards are summarized in the following table.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69"/>
        </w:trPr>
        <w:tc>
          <w:tcPr>
            <w:tcW w:w="74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As of</w:t>
            </w:r>
          </w:p>
        </w:tc>
        <w:tc>
          <w:tcPr>
            <w:tcW w:w="1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7480" w:type="dxa"/>
            <w:vAlign w:val="bottom"/>
          </w:tcPr>
          <w:p>
            <w:pPr>
              <w:spacing w:after="0"/>
              <w:rPr>
                <w:sz w:val="17"/>
                <w:szCs w:val="17"/>
                <w:color w:val="auto"/>
              </w:rPr>
            </w:pPr>
          </w:p>
        </w:tc>
        <w:tc>
          <w:tcPr>
            <w:tcW w:w="1960" w:type="dxa"/>
            <w:vAlign w:val="bottom"/>
            <w:gridSpan w:val="3"/>
          </w:tcPr>
          <w:p>
            <w:pPr>
              <w:jc w:val="right"/>
              <w:ind w:right="611"/>
              <w:spacing w:after="0" w:line="203" w:lineRule="exact"/>
              <w:rPr>
                <w:sz w:val="20"/>
                <w:szCs w:val="20"/>
                <w:color w:val="auto"/>
              </w:rPr>
            </w:pPr>
            <w:r>
              <w:rPr>
                <w:rFonts w:ascii="Arial" w:cs="Arial" w:eastAsia="Arial" w:hAnsi="Arial"/>
                <w:sz w:val="18"/>
                <w:szCs w:val="18"/>
                <w:b w:val="1"/>
                <w:bCs w:val="1"/>
                <w:color w:val="auto"/>
              </w:rPr>
              <w:t>December 31,</w:t>
            </w:r>
          </w:p>
        </w:tc>
        <w:tc>
          <w:tcPr>
            <w:tcW w:w="1500" w:type="dxa"/>
            <w:vAlign w:val="bottom"/>
          </w:tcPr>
          <w:p>
            <w:pPr>
              <w:jc w:val="right"/>
              <w:ind w:right="151"/>
              <w:spacing w:after="0" w:line="203" w:lineRule="exact"/>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r>
      <w:tr>
        <w:trPr>
          <w:trHeight w:val="232"/>
        </w:trPr>
        <w:tc>
          <w:tcPr>
            <w:tcW w:w="748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r>
      <w:tr>
        <w:trPr>
          <w:trHeight w:val="221"/>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48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jc w:val="right"/>
              <w:spacing w:after="0"/>
              <w:rPr>
                <w:sz w:val="20"/>
                <w:szCs w:val="20"/>
                <w:color w:val="auto"/>
              </w:rPr>
            </w:pPr>
            <w:r>
              <w:rPr>
                <w:rFonts w:ascii="Arial" w:cs="Arial" w:eastAsia="Arial" w:hAnsi="Arial"/>
                <w:sz w:val="18"/>
                <w:szCs w:val="18"/>
                <w:color w:val="auto"/>
              </w:rPr>
              <w:t>55.00</w:t>
            </w:r>
          </w:p>
        </w:tc>
        <w:tc>
          <w:tcPr>
            <w:tcW w:w="1000" w:type="dxa"/>
            <w:vAlign w:val="bottom"/>
            <w:gridSpan w:val="2"/>
          </w:tcPr>
          <w:p>
            <w:pPr>
              <w:jc w:val="right"/>
              <w:ind w:right="111"/>
              <w:spacing w:after="0"/>
              <w:rPr>
                <w:sz w:val="20"/>
                <w:szCs w:val="20"/>
                <w:color w:val="auto"/>
              </w:rPr>
            </w:pPr>
            <w:r>
              <w:rPr>
                <w:rFonts w:ascii="Arial" w:cs="Arial" w:eastAsia="Arial" w:hAnsi="Arial"/>
                <w:sz w:val="18"/>
                <w:szCs w:val="18"/>
                <w:color w:val="auto"/>
                <w:w w:val="95"/>
              </w:rPr>
              <w:t>- 95.80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95.30 - 99.30  %</w:t>
            </w:r>
          </w:p>
        </w:tc>
      </w:tr>
      <w:tr>
        <w:trPr>
          <w:trHeight w:val="228"/>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gridSpan w:val="3"/>
            <w:shd w:val="clear" w:color="auto" w:fill="CFF0FC"/>
          </w:tcPr>
          <w:p>
            <w:pPr>
              <w:jc w:val="right"/>
              <w:ind w:right="111"/>
              <w:spacing w:after="0"/>
              <w:rPr>
                <w:sz w:val="20"/>
                <w:szCs w:val="20"/>
                <w:color w:val="auto"/>
              </w:rPr>
            </w:pPr>
            <w:r>
              <w:rPr>
                <w:rFonts w:ascii="Arial" w:cs="Arial" w:eastAsia="Arial" w:hAnsi="Arial"/>
                <w:sz w:val="18"/>
                <w:szCs w:val="18"/>
                <w:color w:val="auto"/>
              </w:rPr>
              <w:t>0.32 - 0.56  %</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1.60 - 2.59  %</w:t>
            </w:r>
          </w:p>
        </w:tc>
      </w:tr>
      <w:tr>
        <w:trPr>
          <w:trHeight w:val="227"/>
        </w:trPr>
        <w:tc>
          <w:tcPr>
            <w:tcW w:w="7480" w:type="dxa"/>
            <w:vAlign w:val="bottom"/>
          </w:tcPr>
          <w:p>
            <w:pPr>
              <w:spacing w:after="0"/>
              <w:rPr>
                <w:sz w:val="20"/>
                <w:szCs w:val="20"/>
                <w:color w:val="auto"/>
              </w:rPr>
            </w:pPr>
            <w:r>
              <w:rPr>
                <w:rFonts w:ascii="Arial" w:cs="Arial" w:eastAsia="Arial" w:hAnsi="Arial"/>
                <w:sz w:val="18"/>
                <w:szCs w:val="18"/>
                <w:color w:val="auto"/>
              </w:rPr>
              <w:t>Lack of marketability discount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ind w:right="111"/>
              <w:spacing w:after="0"/>
              <w:rPr>
                <w:sz w:val="20"/>
                <w:szCs w:val="20"/>
                <w:color w:val="auto"/>
              </w:rPr>
            </w:pPr>
            <w:r>
              <w:rPr>
                <w:rFonts w:ascii="Arial" w:cs="Arial" w:eastAsia="Arial" w:hAnsi="Arial"/>
                <w:sz w:val="18"/>
                <w:szCs w:val="18"/>
                <w:color w:val="auto"/>
                <w:w w:val="95"/>
              </w:rPr>
              <w:t>- 20.48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26.00 - 31.00  %</w:t>
            </w:r>
          </w:p>
        </w:tc>
      </w:tr>
      <w:tr>
        <w:trPr>
          <w:trHeight w:val="228"/>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5.4 - 6.5</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r>
    </w:tbl>
    <w:p>
      <w:pPr>
        <w:spacing w:after="0" w:line="2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weighted average per share fair value of awards issued under the Plan was $10.06 and $3.45 in 2020 and 2019, respectively.</w:t>
      </w:r>
    </w:p>
    <w:p>
      <w:pPr>
        <w:spacing w:after="0" w:line="221" w:lineRule="exact"/>
        <w:rPr>
          <w:sz w:val="20"/>
          <w:szCs w:val="20"/>
          <w:color w:val="auto"/>
        </w:rPr>
      </w:pPr>
    </w:p>
    <w:p>
      <w:pPr>
        <w:ind w:right="240" w:firstLine="761"/>
        <w:spacing w:after="0" w:line="271" w:lineRule="auto"/>
        <w:rPr>
          <w:sz w:val="20"/>
          <w:szCs w:val="20"/>
          <w:color w:val="auto"/>
        </w:rPr>
      </w:pPr>
      <w:r>
        <w:rPr>
          <w:rFonts w:ascii="Arial" w:cs="Arial" w:eastAsia="Arial" w:hAnsi="Arial"/>
          <w:sz w:val="18"/>
          <w:szCs w:val="18"/>
          <w:color w:val="auto"/>
        </w:rPr>
        <w:t>Stock-based compensation expense was $5,190 and $9,909 for the years ended December 31, 2020 and 2019, respectively, and was recorded in the consolidated statements of operations and comprehensive loss in the following line items: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5140" w:type="dxa"/>
            <w:vAlign w:val="bottom"/>
            <w:tcBorders>
              <w:bottom w:val="single" w:sz="8" w:color="CFF0FC"/>
            </w:tcBorders>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1"/>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r>
      <w:tr>
        <w:trPr>
          <w:trHeight w:val="227"/>
        </w:trPr>
        <w:tc>
          <w:tcPr>
            <w:tcW w:w="514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703</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r>
      <w:tr>
        <w:trPr>
          <w:trHeight w:val="228"/>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25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9,271</w:t>
            </w:r>
          </w:p>
        </w:tc>
        <w:tc>
          <w:tcPr>
            <w:tcW w:w="120" w:type="dxa"/>
            <w:vAlign w:val="bottom"/>
            <w:shd w:val="clear" w:color="auto" w:fill="CFF0FC"/>
          </w:tcPr>
          <w:p>
            <w:pPr>
              <w:spacing w:after="0"/>
              <w:rPr>
                <w:sz w:val="19"/>
                <w:szCs w:val="19"/>
                <w:color w:val="auto"/>
              </w:rPr>
            </w:pPr>
          </w:p>
        </w:tc>
      </w:tr>
      <w:tr>
        <w:trPr>
          <w:trHeight w:val="220"/>
        </w:trPr>
        <w:tc>
          <w:tcPr>
            <w:tcW w:w="5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4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20" w:firstLine="761"/>
        <w:spacing w:after="0" w:line="259" w:lineRule="auto"/>
        <w:rPr>
          <w:sz w:val="20"/>
          <w:szCs w:val="20"/>
          <w:color w:val="auto"/>
        </w:rPr>
      </w:pPr>
      <w:r>
        <w:rPr>
          <w:rFonts w:ascii="Arial" w:cs="Arial" w:eastAsia="Arial" w:hAnsi="Arial"/>
          <w:sz w:val="18"/>
          <w:szCs w:val="18"/>
          <w:color w:val="auto"/>
        </w:rPr>
        <w:t>Options issued under the 2017 Plan and 2020 Plan are reflected as a component of equity in these consolidated financial statements. Stock appreciation rights are reflected as other non-current liability. The Company will recognize compensation expense for these awards as summarized in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r>
      <w:tr>
        <w:trPr>
          <w:trHeight w:val="214"/>
        </w:trPr>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Compensation</w:t>
            </w:r>
          </w:p>
        </w:tc>
      </w:tr>
      <w:tr>
        <w:trPr>
          <w:trHeight w:val="232"/>
        </w:trPr>
        <w:tc>
          <w:tcPr>
            <w:tcW w:w="90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Expense</w:t>
            </w:r>
          </w:p>
        </w:tc>
      </w:tr>
      <w:tr>
        <w:trPr>
          <w:trHeight w:val="221"/>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90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19"/>
                <w:szCs w:val="19"/>
                <w:color w:val="auto"/>
              </w:rPr>
            </w:pPr>
          </w:p>
        </w:tc>
      </w:tr>
      <w:tr>
        <w:trPr>
          <w:trHeight w:val="228"/>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FF0FC"/>
          </w:tcPr>
          <w:p>
            <w:pPr>
              <w:spacing w:after="0"/>
              <w:rPr>
                <w:sz w:val="19"/>
                <w:szCs w:val="19"/>
                <w:color w:val="auto"/>
              </w:rPr>
            </w:pPr>
          </w:p>
        </w:tc>
      </w:tr>
      <w:tr>
        <w:trPr>
          <w:trHeight w:val="227"/>
        </w:trPr>
        <w:tc>
          <w:tcPr>
            <w:tcW w:w="9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8,949</w:t>
            </w:r>
          </w:p>
        </w:tc>
        <w:tc>
          <w:tcPr>
            <w:tcW w:w="100" w:type="dxa"/>
            <w:vAlign w:val="bottom"/>
          </w:tcPr>
          <w:p>
            <w:pPr>
              <w:spacing w:after="0"/>
              <w:rPr>
                <w:sz w:val="19"/>
                <w:szCs w:val="19"/>
                <w:color w:val="auto"/>
              </w:rPr>
            </w:pPr>
          </w:p>
        </w:tc>
      </w:tr>
      <w:tr>
        <w:trPr>
          <w:trHeight w:val="228"/>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WARRANTS</w:t>
      </w:r>
    </w:p>
    <w:p>
      <w:pPr>
        <w:spacing w:after="0" w:line="114" w:lineRule="exact"/>
        <w:rPr>
          <w:sz w:val="20"/>
          <w:szCs w:val="20"/>
          <w:color w:val="auto"/>
        </w:rPr>
      </w:pPr>
    </w:p>
    <w:p>
      <w:pPr>
        <w:ind w:right="160" w:firstLine="761"/>
        <w:spacing w:after="0" w:line="284" w:lineRule="auto"/>
        <w:rPr>
          <w:sz w:val="20"/>
          <w:szCs w:val="20"/>
          <w:color w:val="auto"/>
        </w:rPr>
      </w:pPr>
      <w:r>
        <w:rPr>
          <w:rFonts w:ascii="Arial" w:cs="Arial" w:eastAsia="Arial" w:hAnsi="Arial"/>
          <w:sz w:val="16"/>
          <w:szCs w:val="16"/>
          <w:color w:val="auto"/>
        </w:rPr>
        <w:t>In connection with the OrbiMed Loan, the Company issued Warrants to OrbiMed Royalty &amp; Credit Opportunities, LP on January 9, 2020.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w:t>
      </w:r>
    </w:p>
    <w:p>
      <w:pPr>
        <w:spacing w:after="0" w:line="2" w:lineRule="exact"/>
        <w:rPr>
          <w:sz w:val="20"/>
          <w:szCs w:val="20"/>
          <w:color w:val="auto"/>
        </w:rPr>
      </w:pPr>
    </w:p>
    <w:p>
      <w:pPr>
        <w:ind w:left="5720" w:right="4420" w:hanging="5713"/>
        <w:spacing w:after="0" w:line="548" w:lineRule="auto"/>
        <w:tabs>
          <w:tab w:leader="none" w:pos="225" w:val="left"/>
        </w:tabs>
        <w:numPr>
          <w:ilvl w:val="0"/>
          <w:numId w:val="63"/>
        </w:numPr>
        <w:rPr>
          <w:rFonts w:ascii="Arial" w:cs="Arial" w:eastAsia="Arial" w:hAnsi="Arial"/>
          <w:sz w:val="17"/>
          <w:szCs w:val="17"/>
          <w:color w:val="auto"/>
        </w:rPr>
      </w:pPr>
      <w:r>
        <w:rPr>
          <w:rFonts w:ascii="Arial" w:cs="Arial" w:eastAsia="Arial" w:hAnsi="Arial"/>
          <w:sz w:val="17"/>
          <w:szCs w:val="17"/>
          <w:color w:val="auto"/>
        </w:rPr>
        <w:t>January 9, 2027 and (ii) the closing date of a Corporate Reorganization. The fair value of the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7613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Warrants using the Black-Scholes option-pricing model was $2,359 on January 9, 2020 and was initially recorded as a warrant liability which was included in warrant liability in the consolidated balance sheet. The portion of the OrbiMed Loan proceeds allocated to the warrant liability resulted in a debt discount, which is presented in the consolidated balance sheets as a direct deduction from the carrying value of the debt and is being amortized as additional interest expense over the six-year loan term of the OrbiMed Loan. The unamortized debt discount as of December 31, 2020 is $2,102 and is presented in the consolidated balance sheet as a direct deduction from the carrying value of the debt. During the year ended December 31, 2020, a loss of $3,109 was recorded in other expense in the consolidated statements of operations due to the change in the fair value of the warrant liability. See footnote 16 for the fair value of the Warrants.</w:t>
      </w:r>
    </w:p>
    <w:p>
      <w:pPr>
        <w:spacing w:after="0" w:line="197" w:lineRule="exact"/>
        <w:rPr>
          <w:sz w:val="20"/>
          <w:szCs w:val="20"/>
          <w:color w:val="auto"/>
        </w:rPr>
      </w:pPr>
    </w:p>
    <w:p>
      <w:pPr>
        <w:jc w:val="both"/>
        <w:ind w:right="180" w:firstLine="770"/>
        <w:spacing w:after="0" w:line="259" w:lineRule="auto"/>
        <w:rPr>
          <w:sz w:val="20"/>
          <w:szCs w:val="20"/>
          <w:color w:val="auto"/>
        </w:rPr>
      </w:pPr>
      <w:r>
        <w:rPr>
          <w:rFonts w:ascii="Arial" w:cs="Arial" w:eastAsia="Arial" w:hAnsi="Arial"/>
          <w:sz w:val="18"/>
          <w:szCs w:val="18"/>
          <w:color w:val="auto"/>
        </w:rPr>
        <w:t>In connection with the IPO, the financial instrument underlying the warrants was converted from the Company’s Series C Preferred Stock to the Company’s Common Stock. As a result of this conversion the Warrants were re-evaluated under ASC 480 Distinguishing Liabilities from Equity and ASC 815 Derivatives and Hedging and reclassified to equity.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40" w:type="dxa"/>
            <w:vAlign w:val="bottom"/>
          </w:tcPr>
          <w:p>
            <w:pPr>
              <w:ind w:left="780"/>
              <w:spacing w:after="0"/>
              <w:rPr>
                <w:sz w:val="20"/>
                <w:szCs w:val="20"/>
                <w:color w:val="auto"/>
              </w:rPr>
            </w:pPr>
            <w:r>
              <w:rPr>
                <w:rFonts w:ascii="Arial" w:cs="Arial" w:eastAsia="Arial" w:hAnsi="Arial"/>
                <w:sz w:val="18"/>
                <w:szCs w:val="18"/>
                <w:color w:val="auto"/>
                <w:w w:val="95"/>
              </w:rPr>
              <w:t>A summary of the changes in the warrant liability for the year ended December 31, 2020 is as follows: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2"/>
        </w:trPr>
        <w:tc>
          <w:tcPr>
            <w:tcW w:w="8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7"/>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20" w:type="dxa"/>
            <w:vAlign w:val="bottom"/>
            <w:gridSpan w:val="2"/>
            <w:shd w:val="clear" w:color="auto" w:fill="CFF0FC"/>
          </w:tcPr>
          <w:p>
            <w:pPr>
              <w:jc w:val="right"/>
              <w:ind w:right="691"/>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8540" w:type="dxa"/>
            <w:vAlign w:val="bottom"/>
          </w:tcPr>
          <w:p>
            <w:pPr>
              <w:spacing w:after="0"/>
              <w:rPr>
                <w:sz w:val="20"/>
                <w:szCs w:val="20"/>
                <w:color w:val="auto"/>
              </w:rPr>
            </w:pPr>
            <w:r>
              <w:rPr>
                <w:rFonts w:ascii="Arial" w:cs="Arial" w:eastAsia="Arial" w:hAnsi="Arial"/>
                <w:sz w:val="18"/>
                <w:szCs w:val="18"/>
                <w:color w:val="auto"/>
              </w:rPr>
              <w:t>Fair Value at Issuance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r>
      <w:tr>
        <w:trPr>
          <w:trHeight w:val="228"/>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included in the statement of operations</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FF0FC"/>
          </w:tcPr>
          <w:p>
            <w:pPr>
              <w:spacing w:after="0"/>
              <w:rPr>
                <w:sz w:val="19"/>
                <w:szCs w:val="19"/>
                <w:color w:val="auto"/>
              </w:rPr>
            </w:pPr>
          </w:p>
        </w:tc>
      </w:tr>
      <w:tr>
        <w:trPr>
          <w:trHeight w:val="227"/>
        </w:trPr>
        <w:tc>
          <w:tcPr>
            <w:tcW w:w="8540" w:type="dxa"/>
            <w:vAlign w:val="bottom"/>
          </w:tcPr>
          <w:p>
            <w:pPr>
              <w:spacing w:after="0"/>
              <w:rPr>
                <w:sz w:val="20"/>
                <w:szCs w:val="20"/>
                <w:color w:val="auto"/>
              </w:rPr>
            </w:pPr>
            <w:r>
              <w:rPr>
                <w:rFonts w:ascii="Arial" w:cs="Arial" w:eastAsia="Arial" w:hAnsi="Arial"/>
                <w:sz w:val="18"/>
                <w:szCs w:val="18"/>
                <w:color w:val="auto"/>
              </w:rPr>
              <w:t>Reclassification to equity</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(5,468)</w:t>
            </w:r>
          </w:p>
        </w:tc>
      </w:tr>
      <w:tr>
        <w:trPr>
          <w:trHeight w:val="221"/>
        </w:trPr>
        <w:tc>
          <w:tcPr>
            <w:tcW w:w="8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4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EARNINGS PER SHARE</w:t>
      </w:r>
    </w:p>
    <w:p>
      <w:pPr>
        <w:spacing w:after="0" w:line="221" w:lineRule="exact"/>
        <w:rPr>
          <w:sz w:val="20"/>
          <w:szCs w:val="20"/>
          <w:color w:val="auto"/>
        </w:rPr>
      </w:pPr>
    </w:p>
    <w:p>
      <w:pPr>
        <w:ind w:right="80" w:firstLine="761"/>
        <w:spacing w:after="0" w:line="288" w:lineRule="auto"/>
        <w:rPr>
          <w:sz w:val="20"/>
          <w:szCs w:val="20"/>
          <w:color w:val="auto"/>
        </w:rPr>
      </w:pPr>
      <w:r>
        <w:rPr>
          <w:rFonts w:ascii="Arial" w:cs="Arial" w:eastAsia="Arial" w:hAnsi="Arial"/>
          <w:sz w:val="16"/>
          <w:szCs w:val="16"/>
          <w:color w:val="auto"/>
        </w:rPr>
        <w:t>For the years ended December 31, 2020 and 2019, the Company used the two-class method to compute net loss per common share because the Company has issued securities (convertible preferred stock) that entitle the holder to participate in dividends and earnings of the Company. Under this method, net income is reduced by the amount of any dividends earned and the accretion of convertible preferred stock to its redemption value during the period. The remaining earnings (undistributed earnings) are allocated to common stock and each series of convertible preferred stock to the extent that each preferred security may share in the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pacing w:after="0" w:line="166" w:lineRule="exact"/>
        <w:rPr>
          <w:sz w:val="20"/>
          <w:szCs w:val="20"/>
          <w:color w:val="auto"/>
        </w:rPr>
      </w:pPr>
    </w:p>
    <w:p>
      <w:pPr>
        <w:ind w:right="40" w:firstLine="761"/>
        <w:spacing w:after="0" w:line="252" w:lineRule="auto"/>
        <w:rPr>
          <w:sz w:val="20"/>
          <w:szCs w:val="20"/>
          <w:color w:val="auto"/>
        </w:rPr>
      </w:pPr>
      <w:r>
        <w:rPr>
          <w:rFonts w:ascii="Arial" w:cs="Arial" w:eastAsia="Arial" w:hAnsi="Arial"/>
          <w:sz w:val="18"/>
          <w:szCs w:val="18"/>
          <w:color w:val="auto"/>
        </w:rPr>
        <w:t>Diluted net loss per common share is computed under the treasury stock method by using the weighted average number of shares of common stock outstanding, plus, for periods with net income attributable to common stockholders, the potential dilutive effects of stock options and 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 period or when issued if later. The Company reports the more dilutive of the approaches (treasury stock or ‘if converted’) as their diluted net income per share during the period.</w:t>
      </w:r>
    </w:p>
    <w:p>
      <w:pPr>
        <w:spacing w:after="0" w:line="19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60" w:firstLine="761"/>
        <w:spacing w:after="0" w:line="253" w:lineRule="auto"/>
        <w:rPr>
          <w:sz w:val="20"/>
          <w:szCs w:val="20"/>
          <w:color w:val="auto"/>
        </w:rPr>
      </w:pPr>
      <w:r>
        <w:rPr>
          <w:rFonts w:ascii="Arial" w:cs="Arial" w:eastAsia="Arial" w:hAnsi="Arial"/>
          <w:sz w:val="18"/>
          <w:szCs w:val="18"/>
          <w:color w:val="auto"/>
        </w:rPr>
        <w:t>The Company has reported a net loss for the years ended December 31, 2020 and 2019, and the weighted average number of shares utilized for basic and diluted net loss per share attributable to common stockholders are the same for these periods because all convertible preferred stock and stock options have been excluded from the computation of diluted weighted-average shares outstanding because such securities would have an antidilutive impact. Additionally, the fair value adjustment for the warrants was excluded from the computation of diluted net loss for the year ended December 31, 2020 since the additional income would have an antidilutive impact.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tcPr>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9"/>
        </w:trPr>
        <w:tc>
          <w:tcPr>
            <w:tcW w:w="7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Year Ended December 31,</w:t>
            </w:r>
          </w:p>
        </w:tc>
      </w:tr>
      <w:tr>
        <w:trPr>
          <w:trHeight w:val="221"/>
        </w:trPr>
        <w:tc>
          <w:tcPr>
            <w:tcW w:w="77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1"/>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(36,944)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(151,977)</w:t>
            </w:r>
          </w:p>
        </w:tc>
      </w:tr>
      <w:tr>
        <w:trPr>
          <w:trHeight w:val="228"/>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Accumulation of dividends on preferred stock</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(26,904)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(35,231)</w:t>
            </w: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Net loss available to common shareholders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(63,848)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(187,208)</w:t>
            </w:r>
          </w:p>
        </w:tc>
      </w:tr>
      <w:tr>
        <w:trPr>
          <w:trHeight w:val="228"/>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Net loss per common share - basic</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(24.07)</w:t>
            </w:r>
          </w:p>
        </w:tc>
      </w:tr>
      <w:tr>
        <w:trPr>
          <w:trHeight w:val="228"/>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per common share - diluted</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(2.48)</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(24.07)</w:t>
            </w:r>
          </w:p>
        </w:tc>
      </w:tr>
      <w:tr>
        <w:trPr>
          <w:trHeight w:val="227"/>
        </w:trPr>
        <w:tc>
          <w:tcPr>
            <w:tcW w:w="7780" w:type="dxa"/>
            <w:vAlign w:val="bottom"/>
          </w:tcPr>
          <w:p>
            <w:pPr>
              <w:ind w:left="260"/>
              <w:spacing w:after="0"/>
              <w:rPr>
                <w:sz w:val="20"/>
                <w:szCs w:val="20"/>
                <w:color w:val="auto"/>
              </w:rPr>
            </w:pPr>
            <w:r>
              <w:rPr>
                <w:rFonts w:ascii="Arial" w:cs="Arial" w:eastAsia="Arial" w:hAnsi="Arial"/>
                <w:sz w:val="18"/>
                <w:szCs w:val="18"/>
                <w:color w:val="auto"/>
              </w:rPr>
              <w:t>Weighted average number of shares of common stock - basic</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25,772,419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7,777,441</w:t>
            </w:r>
          </w:p>
        </w:tc>
        <w:tc>
          <w:tcPr>
            <w:tcW w:w="100" w:type="dxa"/>
            <w:vAlign w:val="bottom"/>
          </w:tcPr>
          <w:p>
            <w:pPr>
              <w:spacing w:after="0"/>
              <w:rPr>
                <w:sz w:val="19"/>
                <w:szCs w:val="19"/>
                <w:color w:val="auto"/>
              </w:rPr>
            </w:pPr>
          </w:p>
        </w:tc>
      </w:tr>
      <w:tr>
        <w:trPr>
          <w:trHeight w:val="228"/>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shares of common stock - diluted</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25,772,419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7,777,441</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21" w:lineRule="exact"/>
        <w:rPr>
          <w:sz w:val="20"/>
          <w:szCs w:val="20"/>
          <w:color w:val="auto"/>
        </w:rPr>
      </w:pPr>
    </w:p>
    <w:p>
      <w:pPr>
        <w:ind w:right="200" w:firstLine="761"/>
        <w:spacing w:after="0" w:line="335" w:lineRule="auto"/>
        <w:rPr>
          <w:sz w:val="20"/>
          <w:szCs w:val="20"/>
          <w:color w:val="auto"/>
        </w:rPr>
      </w:pPr>
      <w:r>
        <w:rPr>
          <w:rFonts w:ascii="Arial" w:cs="Arial" w:eastAsia="Arial" w:hAnsi="Arial"/>
          <w:sz w:val="16"/>
          <w:szCs w:val="16"/>
          <w:color w:val="auto"/>
        </w:rPr>
        <w:t>Potential common shares issuable upon conversion of preferred stock, exercise of stock options, and exercise of warrants that are excluded from the computation of diluted weighted-average shares outstanding as well as the warrant fair value adjustments excluded from the numerator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8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2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5,260,126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2,271,632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36,891,576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2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410,239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5,670,365</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39,163,208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5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80" w:type="dxa"/>
            <w:vAlign w:val="bottom"/>
          </w:tcPr>
          <w:p>
            <w:pPr>
              <w:spacing w:after="0"/>
              <w:rPr>
                <w:sz w:val="20"/>
                <w:szCs w:val="20"/>
                <w:color w:val="auto"/>
              </w:rPr>
            </w:pPr>
            <w:r>
              <w:rPr>
                <w:rFonts w:ascii="Arial" w:cs="Arial" w:eastAsia="Arial" w:hAnsi="Arial"/>
                <w:sz w:val="18"/>
                <w:szCs w:val="18"/>
                <w:color w:val="auto"/>
              </w:rPr>
              <w:t>Adjustment for warrants</w:t>
            </w:r>
          </w:p>
        </w:tc>
        <w:tc>
          <w:tcPr>
            <w:tcW w:w="2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3,109</w:t>
            </w:r>
          </w:p>
        </w:tc>
        <w:tc>
          <w:tcPr>
            <w:tcW w:w="26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8"/>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15. INCOME TAXES</w:t>
            </w: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580" w:type="dxa"/>
            <w:vAlign w:val="bottom"/>
          </w:tcPr>
          <w:p>
            <w:pPr>
              <w:ind w:left="760"/>
              <w:spacing w:after="0"/>
              <w:rPr>
                <w:sz w:val="20"/>
                <w:szCs w:val="20"/>
                <w:color w:val="auto"/>
              </w:rPr>
            </w:pPr>
            <w:r>
              <w:rPr>
                <w:rFonts w:ascii="Arial" w:cs="Arial" w:eastAsia="Arial" w:hAnsi="Arial"/>
                <w:sz w:val="18"/>
                <w:szCs w:val="18"/>
                <w:color w:val="auto"/>
                <w:w w:val="94"/>
              </w:rPr>
              <w:t>Details of the provision for income taxes consist of the following:</w:t>
            </w: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5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8"/>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58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280" w:type="dxa"/>
            <w:vAlign w:val="bottom"/>
            <w:gridSpan w:val="2"/>
            <w:shd w:val="clear" w:color="auto" w:fill="CFF0FC"/>
          </w:tcPr>
          <w:p>
            <w:pPr>
              <w:spacing w:after="0"/>
              <w:rPr>
                <w:sz w:val="19"/>
                <w:szCs w:val="19"/>
                <w:color w:val="auto"/>
              </w:rPr>
            </w:pPr>
          </w:p>
        </w:tc>
        <w:tc>
          <w:tcPr>
            <w:tcW w:w="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(32,508)</w:t>
            </w:r>
          </w:p>
        </w:tc>
        <w:tc>
          <w:tcPr>
            <w:tcW w:w="120" w:type="dxa"/>
            <w:vAlign w:val="bottom"/>
            <w:gridSpan w:val="2"/>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spacing w:after="0"/>
              <w:rPr>
                <w:sz w:val="20"/>
                <w:szCs w:val="20"/>
                <w:color w:val="auto"/>
              </w:rPr>
            </w:pPr>
            <w:r>
              <w:rPr>
                <w:rFonts w:ascii="Arial" w:cs="Arial" w:eastAsia="Arial" w:hAnsi="Arial"/>
                <w:sz w:val="18"/>
                <w:szCs w:val="18"/>
                <w:color w:val="auto"/>
              </w:rPr>
              <w:t>State</w:t>
            </w: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(9,641)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580" w:type="dxa"/>
            <w:vAlign w:val="bottom"/>
            <w:tcBorders>
              <w:bottom w:val="single" w:sz="8" w:color="CFF0FC"/>
            </w:tcBorders>
          </w:tcPr>
          <w:p>
            <w:pPr>
              <w:spacing w:after="0"/>
              <w:rPr>
                <w:sz w:val="22"/>
                <w:szCs w:val="22"/>
                <w:color w:val="auto"/>
              </w:rPr>
            </w:pPr>
          </w:p>
        </w:tc>
        <w:tc>
          <w:tcPr>
            <w:tcW w:w="2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tcPr>
          <w:p>
            <w:pPr>
              <w:spacing w:after="0"/>
              <w:rPr>
                <w:sz w:val="22"/>
                <w:szCs w:val="22"/>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spacing w:after="0"/>
              <w:rPr>
                <w:sz w:val="18"/>
                <w:szCs w:val="18"/>
                <w:color w:val="auto"/>
              </w:rPr>
            </w:pPr>
          </w:p>
        </w:tc>
        <w:tc>
          <w:tcPr>
            <w:tcW w:w="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80" w:type="dxa"/>
            <w:vAlign w:val="bottom"/>
          </w:tcPr>
          <w:p>
            <w:pPr>
              <w:spacing w:after="0"/>
              <w:rPr>
                <w:sz w:val="20"/>
                <w:szCs w:val="20"/>
                <w:color w:val="auto"/>
              </w:rPr>
            </w:pPr>
            <w:r>
              <w:rPr>
                <w:rFonts w:ascii="Arial" w:cs="Arial" w:eastAsia="Arial" w:hAnsi="Arial"/>
                <w:sz w:val="18"/>
                <w:szCs w:val="18"/>
                <w:color w:val="auto"/>
              </w:rPr>
              <w:t>Deferred</w:t>
            </w: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(2,218)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(42,149)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140" w:type="dxa"/>
            <w:vAlign w:val="bottom"/>
            <w:vMerge w:val="restart"/>
          </w:tcPr>
          <w:p>
            <w:pPr>
              <w:jc w:val="right"/>
              <w:ind w:right="1651"/>
              <w:spacing w:after="0"/>
              <w:rPr>
                <w:sz w:val="20"/>
                <w:szCs w:val="20"/>
                <w:color w:val="auto"/>
              </w:rPr>
            </w:pPr>
            <w:r>
              <w:rPr>
                <w:rFonts w:ascii="Arial" w:cs="Arial" w:eastAsia="Arial" w:hAnsi="Arial"/>
                <w:sz w:val="18"/>
                <w:szCs w:val="18"/>
                <w:color w:val="auto"/>
              </w:rPr>
              <w:t>141</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55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right="20" w:firstLine="761"/>
        <w:spacing w:after="0" w:line="271" w:lineRule="auto"/>
        <w:rPr>
          <w:sz w:val="20"/>
          <w:szCs w:val="20"/>
          <w:color w:val="auto"/>
        </w:rPr>
      </w:pPr>
      <w:r>
        <w:rPr>
          <w:rFonts w:ascii="Arial" w:cs="Arial" w:eastAsia="Arial" w:hAnsi="Arial"/>
          <w:sz w:val="18"/>
          <w:szCs w:val="18"/>
          <w:color w:val="auto"/>
        </w:rPr>
        <w:t>The reasons for the difference between the statutory federal income tax rate and the Company’s effective income tax rate as of December 31, 2020 and 2019 are as follows:</w:t>
      </w:r>
    </w:p>
    <w:p>
      <w:pPr>
        <w:spacing w:after="0" w:line="184"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FF0FC"/>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rate</w:t>
            </w:r>
          </w:p>
        </w:tc>
        <w:tc>
          <w:tcPr>
            <w:tcW w:w="10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7"/>
        </w:trPr>
        <w:tc>
          <w:tcPr>
            <w:tcW w:w="868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(3.6)</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20" w:type="dxa"/>
            <w:vAlign w:val="bottom"/>
          </w:tcPr>
          <w:p>
            <w:pPr>
              <w:spacing w:after="0"/>
              <w:rPr>
                <w:sz w:val="20"/>
                <w:szCs w:val="20"/>
                <w:color w:val="auto"/>
              </w:rPr>
            </w:pPr>
            <w:r>
              <w:rPr>
                <w:rFonts w:ascii="Arial" w:cs="Arial" w:eastAsia="Arial" w:hAnsi="Arial"/>
                <w:sz w:val="18"/>
                <w:szCs w:val="18"/>
                <w:color w:val="auto"/>
              </w:rPr>
              <w:t>Valuation allowance</w:t>
            </w:r>
          </w:p>
        </w:tc>
        <w:tc>
          <w:tcPr>
            <w:tcW w:w="106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7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Significant components of the Company’s deferred tax assets and liabilities as of December 31, 2020 and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As of 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4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tcPr>
          <w:p>
            <w:pPr>
              <w:spacing w:after="0"/>
              <w:rPr>
                <w:sz w:val="19"/>
                <w:szCs w:val="19"/>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w w:val="93"/>
              </w:rPr>
              <w:t>Liabilities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b w:val="1"/>
                <w:bCs w:val="1"/>
                <w:color w:val="auto"/>
                <w:w w:val="96"/>
              </w:rPr>
              <w:t>Liabilities</w:t>
            </w:r>
          </w:p>
        </w:tc>
        <w:tc>
          <w:tcPr>
            <w:tcW w:w="120" w:type="dxa"/>
            <w:vAlign w:val="bottom"/>
          </w:tcPr>
          <w:p>
            <w:pPr>
              <w:spacing w:after="0"/>
              <w:rPr>
                <w:sz w:val="19"/>
                <w:szCs w:val="19"/>
                <w:color w:val="auto"/>
              </w:rPr>
            </w:pPr>
          </w:p>
        </w:tc>
      </w:tr>
      <w:tr>
        <w:trPr>
          <w:trHeight w:val="221"/>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Acquired in-process research and development</w:t>
            </w:r>
          </w:p>
        </w:tc>
        <w:tc>
          <w:tcPr>
            <w:tcW w:w="1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50,628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Credits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Disallowed interest</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Deferred rent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r>
      <w:tr>
        <w:trPr>
          <w:trHeight w:val="26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104,116</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FF0FC"/>
            </w:tcBorders>
          </w:tcPr>
          <w:p>
            <w:pPr>
              <w:spacing w:after="0"/>
              <w:rPr>
                <w:sz w:val="22"/>
                <w:szCs w:val="22"/>
                <w:color w:val="auto"/>
              </w:rPr>
            </w:pPr>
          </w:p>
        </w:tc>
      </w:tr>
      <w:tr>
        <w:trPr>
          <w:trHeight w:val="208"/>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102,874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8"/>
                <w:szCs w:val="18"/>
                <w:color w:val="auto"/>
              </w:rPr>
              <w:t>Valuation allowance</w:t>
            </w:r>
          </w:p>
        </w:tc>
        <w:tc>
          <w:tcPr>
            <w:tcW w:w="14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(102,874)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(100,656)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6" w:lineRule="exact"/>
        <w:rPr>
          <w:sz w:val="20"/>
          <w:szCs w:val="20"/>
          <w:color w:val="auto"/>
        </w:rPr>
      </w:pPr>
    </w:p>
    <w:p>
      <w:pPr>
        <w:ind w:right="20" w:firstLine="761"/>
        <w:spacing w:after="0" w:line="270" w:lineRule="auto"/>
        <w:rPr>
          <w:sz w:val="20"/>
          <w:szCs w:val="20"/>
          <w:color w:val="auto"/>
        </w:rPr>
      </w:pPr>
      <w:r>
        <w:rPr>
          <w:rFonts w:ascii="Arial" w:cs="Arial" w:eastAsia="Arial" w:hAnsi="Arial"/>
          <w:sz w:val="17"/>
          <w:szCs w:val="17"/>
          <w:color w:val="auto"/>
        </w:rPr>
        <w:t>The Company has considered available positive and negative evidence to estimate if sufficient future taxable income will be generated to allow utilization of the existing deferred tax assets. The Company has incurred operating losses and negative cash flows from operations since inception. In light of these considerations, as well as the uncertainty as to when the Company might generate taxable income, the Company has recorded a full valuation allowance of $102,874, which represents an increase of $2,218 in the Company’s valuation allowance from December 31, 2019 to December 31, 2020. The amount of the net deferred tax asset considered realizable could be adjusted in the future if estimates of taxable income change or if objective negative evidence in no longer present and additional weight may be given to subjective evidence.</w:t>
      </w:r>
    </w:p>
    <w:p>
      <w:pPr>
        <w:spacing w:after="0" w:line="178" w:lineRule="exact"/>
        <w:rPr>
          <w:sz w:val="20"/>
          <w:szCs w:val="20"/>
          <w:color w:val="auto"/>
        </w:rPr>
      </w:pPr>
    </w:p>
    <w:p>
      <w:pPr>
        <w:ind w:firstLine="761"/>
        <w:spacing w:after="0" w:line="285" w:lineRule="auto"/>
        <w:rPr>
          <w:sz w:val="20"/>
          <w:szCs w:val="20"/>
          <w:color w:val="auto"/>
        </w:rPr>
      </w:pPr>
      <w:r>
        <w:rPr>
          <w:rFonts w:ascii="Arial" w:cs="Arial" w:eastAsia="Arial" w:hAnsi="Arial"/>
          <w:sz w:val="16"/>
          <w:szCs w:val="16"/>
          <w:color w:val="auto"/>
        </w:rPr>
        <w:t>As of December 31, 2020 and 2019, the Company has approximately $159,395 and $147,823, respectively, of federal net operating loss ("NOL") carryforward available to offset future federal taxable income. The Company also has approximately $157,743 and $139,336 of state NOL carryforwards as of December 31, 2020 and 2019, respectively, available to offset future state taxable income. All of the Company's tax years remain open to examination by federal and state taxing authorities. The Company's pre-2018 federal NOLs expire in 2037 whereas the Company's NOLs arising in 2018, and subsequent years, have an unlimited carryforward period. The Company's state NOLs begin to expire in 2037. Utilization of the net operating loss carryforwards may be subject to a substantial limitation due to ownership change limitations that may occur in the future, as required by Section 382 of the Internal Revenue Code of 1986, as amended (the “Code”), as well as similar state provisions. These ownership changes may limit the amount of net operating loss and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As of December 31, 2020 and 2019, the Company has federal tax credits of $1,603 and $837, respectively. These credits begin to expire in 2037.</w:t>
      </w:r>
    </w:p>
    <w:p>
      <w:pPr>
        <w:spacing w:after="0" w:line="24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FINANCIAL INSTRUMENTS</w:t>
      </w:r>
    </w:p>
    <w:p>
      <w:pPr>
        <w:spacing w:after="0" w:line="114" w:lineRule="exact"/>
        <w:rPr>
          <w:sz w:val="20"/>
          <w:szCs w:val="20"/>
          <w:color w:val="auto"/>
        </w:rPr>
      </w:pPr>
    </w:p>
    <w:p>
      <w:pPr>
        <w:ind w:right="500" w:firstLine="761"/>
        <w:spacing w:after="0" w:line="297" w:lineRule="auto"/>
        <w:rPr>
          <w:sz w:val="20"/>
          <w:szCs w:val="20"/>
          <w:color w:val="auto"/>
        </w:rPr>
      </w:pPr>
      <w:r>
        <w:rPr>
          <w:rFonts w:ascii="Arial" w:cs="Arial" w:eastAsia="Arial" w:hAnsi="Arial"/>
          <w:sz w:val="16"/>
          <w:szCs w:val="16"/>
          <w:color w:val="auto"/>
        </w:rPr>
        <w:t>The Company primarily applies the market approach to determine the fair value of financial instruments that are measured at fair value on a recurring basis. There were no changes to its valuation techniques used to determine the fair value of financial instruments during the year ended December 31, 2020. The Company’s financial assets and liabilities which are measured at fair value on a recurring basis were comprised of cash, cash equivalents, and restricted cash of $229,381 and $25,207 as of December 31, 2020 and 2019, respectively, based on Level 1 inputs.</w:t>
      </w:r>
    </w:p>
    <w:p>
      <w:pPr>
        <w:spacing w:after="0" w:line="159" w:lineRule="exact"/>
        <w:rPr>
          <w:sz w:val="20"/>
          <w:szCs w:val="20"/>
          <w:color w:val="auto"/>
        </w:rPr>
      </w:pPr>
    </w:p>
    <w:p>
      <w:pPr>
        <w:ind w:right="280" w:firstLine="761"/>
        <w:spacing w:after="0" w:line="253" w:lineRule="auto"/>
        <w:rPr>
          <w:sz w:val="20"/>
          <w:szCs w:val="20"/>
          <w:color w:val="auto"/>
        </w:rPr>
      </w:pPr>
      <w:r>
        <w:rPr>
          <w:rFonts w:ascii="Arial" w:cs="Arial" w:eastAsia="Arial" w:hAnsi="Arial"/>
          <w:sz w:val="18"/>
          <w:szCs w:val="18"/>
          <w:color w:val="auto"/>
        </w:rPr>
        <w:t>The Company estimates the fair value of the warrant liability using the Black-Scholes option-pricing model at each balance sheet date or when specific events occur. As discussed in Note 13, in connection with the Company’s IPO the warrant fair value was updated on August 19, 2020 with the change in fair value recorded in current period earnings as other expense in the consolidated statement of operations and reclassified to equity. During the year ended December 31, 2020, a loss of $3,109 was recorded in other expense in the consolidated statements of operations due to the change in the fair value of the warrant liability.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760"/>
              <w:spacing w:after="0"/>
              <w:rPr>
                <w:sz w:val="20"/>
                <w:szCs w:val="20"/>
                <w:color w:val="auto"/>
              </w:rPr>
            </w:pPr>
            <w:r>
              <w:rPr>
                <w:rFonts w:ascii="Arial" w:cs="Arial" w:eastAsia="Arial" w:hAnsi="Arial"/>
                <w:sz w:val="18"/>
                <w:szCs w:val="18"/>
                <w:color w:val="auto"/>
                <w:w w:val="92"/>
              </w:rPr>
              <w:t>The range of assumptions used to determine the fair value of the warrant liability through August 19, 2020 were as follows:</w:t>
            </w:r>
          </w:p>
        </w:tc>
        <w:tc>
          <w:tcPr>
            <w:tcW w:w="1420" w:type="dxa"/>
            <w:vAlign w:val="bottom"/>
          </w:tcPr>
          <w:p>
            <w:pPr>
              <w:spacing w:after="0"/>
              <w:rPr>
                <w:sz w:val="19"/>
                <w:szCs w:val="19"/>
                <w:color w:val="auto"/>
              </w:rPr>
            </w:pPr>
          </w:p>
        </w:tc>
      </w:tr>
      <w:tr>
        <w:trPr>
          <w:trHeight w:val="242"/>
        </w:trPr>
        <w:tc>
          <w:tcPr>
            <w:tcW w:w="98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7"/>
        </w:trPr>
        <w:tc>
          <w:tcPr>
            <w:tcW w:w="98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0.0%</w:t>
            </w:r>
          </w:p>
        </w:tc>
      </w:tr>
      <w:tr>
        <w:trPr>
          <w:trHeight w:val="227"/>
        </w:trPr>
        <w:tc>
          <w:tcPr>
            <w:tcW w:w="982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54.2% - 68.8%</w:t>
            </w:r>
          </w:p>
        </w:tc>
      </w:tr>
      <w:tr>
        <w:trPr>
          <w:trHeight w:val="228"/>
        </w:trPr>
        <w:tc>
          <w:tcPr>
            <w:tcW w:w="9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0.17% - 1.56%</w:t>
            </w:r>
          </w:p>
        </w:tc>
      </w:tr>
      <w:tr>
        <w:trPr>
          <w:trHeight w:val="227"/>
        </w:trPr>
        <w:tc>
          <w:tcPr>
            <w:tcW w:w="9820" w:type="dxa"/>
            <w:vAlign w:val="bottom"/>
          </w:tcPr>
          <w:p>
            <w:pPr>
              <w:spacing w:after="0"/>
              <w:rPr>
                <w:sz w:val="20"/>
                <w:szCs w:val="20"/>
                <w:color w:val="auto"/>
              </w:rPr>
            </w:pPr>
            <w:r>
              <w:rPr>
                <w:rFonts w:ascii="Arial" w:cs="Arial" w:eastAsia="Arial" w:hAnsi="Arial"/>
                <w:sz w:val="18"/>
                <w:szCs w:val="18"/>
                <w:color w:val="auto"/>
              </w:rPr>
              <w:t>Lack of marketability discount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0.0%</w:t>
            </w:r>
          </w:p>
        </w:tc>
      </w:tr>
      <w:tr>
        <w:trPr>
          <w:trHeight w:val="228"/>
        </w:trPr>
        <w:tc>
          <w:tcPr>
            <w:tcW w:w="98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4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1 - 4.5</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RELATED-PARTY TRANSACTIONS</w:t>
      </w:r>
    </w:p>
    <w:p>
      <w:pPr>
        <w:spacing w:after="0" w:line="114" w:lineRule="exact"/>
        <w:rPr>
          <w:sz w:val="20"/>
          <w:szCs w:val="20"/>
          <w:color w:val="auto"/>
        </w:rPr>
      </w:pPr>
    </w:p>
    <w:p>
      <w:pPr>
        <w:ind w:right="40" w:firstLine="761"/>
        <w:spacing w:after="0" w:line="286" w:lineRule="auto"/>
        <w:rPr>
          <w:sz w:val="20"/>
          <w:szCs w:val="20"/>
          <w:color w:val="auto"/>
        </w:rPr>
      </w:pPr>
      <w:r>
        <w:rPr>
          <w:rFonts w:ascii="Arial" w:cs="Arial" w:eastAsia="Arial" w:hAnsi="Arial"/>
          <w:sz w:val="16"/>
          <w:szCs w:val="16"/>
          <w:color w:val="auto"/>
        </w:rPr>
        <w:t>The Company was party to a management agreement for professional services provided by a related party, Paragon. The related party is an entity that shares common ownership with the Company. In addition, the Chairman of the Company’s board of directors was the President and owner of the entity. For the year ended December 31, 2020 and 2019, respectively, the Company incurred $7,384 and $5,378, respectively, in management fee expense and other expenses to this related party, which are included in general and administrative expense in the consolidated statements of operations and comprehensive loss. The Company terminated the Management Services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As of December 31, 2020 and 2019, respectively, the amounts due to related parties included in current liabilities were $0 and $1,208, respectively, and the amount included in other assets was $1 and $210,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SUBSEQUENT EVENTS</w:t>
      </w:r>
    </w:p>
    <w:p>
      <w:pPr>
        <w:spacing w:after="0" w:line="221" w:lineRule="exact"/>
        <w:rPr>
          <w:sz w:val="20"/>
          <w:szCs w:val="20"/>
          <w:color w:val="auto"/>
        </w:rPr>
      </w:pPr>
    </w:p>
    <w:p>
      <w:pPr>
        <w:ind w:right="540" w:firstLine="761"/>
        <w:spacing w:after="0" w:line="271" w:lineRule="auto"/>
        <w:rPr>
          <w:sz w:val="20"/>
          <w:szCs w:val="20"/>
          <w:color w:val="auto"/>
        </w:rPr>
      </w:pPr>
      <w:r>
        <w:rPr>
          <w:rFonts w:ascii="Arial" w:cs="Arial" w:eastAsia="Arial" w:hAnsi="Arial"/>
          <w:sz w:val="18"/>
          <w:szCs w:val="18"/>
          <w:color w:val="auto"/>
        </w:rPr>
        <w:t>On January 6, 2021, the Company paid the $100,000 milestone payment to Bioprojet for the FDA approval of the NDA for WAKIX for the treatment of cataplexy in adult patients with narcolepsy.</w:t>
      </w:r>
    </w:p>
    <w:p>
      <w:pPr>
        <w:spacing w:after="0" w:line="161" w:lineRule="exact"/>
        <w:rPr>
          <w:sz w:val="20"/>
          <w:szCs w:val="20"/>
          <w:color w:val="auto"/>
        </w:rPr>
      </w:pPr>
    </w:p>
    <w:p>
      <w:pPr>
        <w:jc w:val="both"/>
        <w:ind w:right="260" w:firstLine="761"/>
        <w:spacing w:after="0" w:line="259" w:lineRule="auto"/>
        <w:rPr>
          <w:sz w:val="20"/>
          <w:szCs w:val="20"/>
          <w:color w:val="auto"/>
        </w:rPr>
      </w:pPr>
      <w:r>
        <w:rPr>
          <w:rFonts w:ascii="Arial" w:cs="Arial" w:eastAsia="Arial" w:hAnsi="Arial"/>
          <w:sz w:val="18"/>
          <w:szCs w:val="18"/>
          <w:color w:val="auto"/>
        </w:rPr>
        <w:t>In January and F</w:t>
      </w:r>
      <w:r>
        <w:rPr>
          <w:rFonts w:ascii="Arial" w:cs="Arial" w:eastAsia="Arial" w:hAnsi="Arial"/>
          <w:sz w:val="16"/>
          <w:szCs w:val="16"/>
          <w:color w:val="auto"/>
        </w:rPr>
        <w:t>e</w:t>
      </w:r>
      <w:r>
        <w:rPr>
          <w:rFonts w:ascii="Arial" w:cs="Arial" w:eastAsia="Arial" w:hAnsi="Arial"/>
          <w:sz w:val="18"/>
          <w:szCs w:val="18"/>
          <w:color w:val="auto"/>
        </w:rPr>
        <w:t>bruary 2021, the board of directors granted to various employees 882,606 employee stock options to purchase the Company’s common stock. These awards were granted under the 2020 Plan and vest over a four-year period where 50% cliff vest after the second year and monthly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1" w:lineRule="exact"/>
        <w:rPr>
          <w:sz w:val="20"/>
          <w:szCs w:val="20"/>
          <w:color w:val="auto"/>
        </w:rPr>
      </w:pPr>
    </w:p>
    <w:p>
      <w:pPr>
        <w:ind w:firstLine="770"/>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1" w:lineRule="exact"/>
        <w:rPr>
          <w:sz w:val="20"/>
          <w:szCs w:val="20"/>
          <w:color w:val="auto"/>
        </w:rPr>
      </w:pPr>
    </w:p>
    <w:p>
      <w:pPr>
        <w:jc w:val="both"/>
        <w:ind w:right="60" w:firstLine="770"/>
        <w:spacing w:after="0" w:line="335"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4" w:lineRule="exact"/>
        <w:rPr>
          <w:sz w:val="20"/>
          <w:szCs w:val="20"/>
          <w:color w:val="auto"/>
        </w:rPr>
      </w:pPr>
    </w:p>
    <w:p>
      <w:pPr>
        <w:ind w:right="100" w:firstLine="770"/>
        <w:spacing w:after="0" w:line="27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2020 that have materially affected, or are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81" w:lineRule="exact"/>
        <w:rPr>
          <w:sz w:val="20"/>
          <w:szCs w:val="20"/>
          <w:color w:val="auto"/>
        </w:rPr>
      </w:pPr>
    </w:p>
    <w:p>
      <w:pPr>
        <w:ind w:right="20" w:firstLine="770"/>
        <w:spacing w:after="0" w:line="272"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8" w:lineRule="exact"/>
        <w:rPr>
          <w:sz w:val="20"/>
          <w:szCs w:val="20"/>
          <w:color w:val="auto"/>
        </w:rPr>
      </w:pPr>
    </w:p>
    <w:p>
      <w:pPr>
        <w:ind w:right="40" w:firstLine="896"/>
        <w:spacing w:after="0" w:line="271"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Stockholders and is incorporated by reference. The Proxy Statement will be filed with the SEC within 120 days of the fiscal year ended December 31, 2020.</w:t>
      </w:r>
    </w:p>
    <w:p>
      <w:pPr>
        <w:spacing w:after="0" w:line="175" w:lineRule="exact"/>
        <w:rPr>
          <w:sz w:val="20"/>
          <w:szCs w:val="20"/>
          <w:color w:val="auto"/>
        </w:rPr>
      </w:pPr>
    </w:p>
    <w:p>
      <w:pPr>
        <w:ind w:firstLine="896"/>
        <w:spacing w:after="0" w:line="253"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https://ir.harmonybiosciences.com. We will post any amendments to our code of business conduct and ethics other than technical, administrative or other non-substantive amendments, or waivers of its requirements, on our website or in a Form 8-K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8" w:lineRule="exact"/>
        <w:rPr>
          <w:sz w:val="20"/>
          <w:szCs w:val="20"/>
          <w:color w:val="auto"/>
        </w:rPr>
      </w:pPr>
    </w:p>
    <w:p>
      <w:pPr>
        <w:ind w:right="40" w:firstLine="896"/>
        <w:spacing w:after="0" w:line="301" w:lineRule="auto"/>
        <w:rPr>
          <w:sz w:val="20"/>
          <w:szCs w:val="20"/>
          <w:color w:val="auto"/>
        </w:rPr>
      </w:pPr>
      <w:r>
        <w:rPr>
          <w:rFonts w:ascii="Arial" w:cs="Arial" w:eastAsia="Arial" w:hAnsi="Arial"/>
          <w:sz w:val="17"/>
          <w:szCs w:val="17"/>
          <w:color w:val="auto"/>
        </w:rPr>
        <w:t>The information required by this item will be set forth in our Proxy Statement for the 2021 Annual Meeting of Stockholders and is incorporated herein by reference. The Proxy Statement will be filed with the SEC within 120 days of the fiscal year ended December 31, 2020.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40" w:firstLine="896"/>
        <w:spacing w:after="0" w:line="301" w:lineRule="auto"/>
        <w:rPr>
          <w:sz w:val="20"/>
          <w:szCs w:val="20"/>
          <w:color w:val="auto"/>
        </w:rPr>
      </w:pPr>
      <w:r>
        <w:rPr>
          <w:rFonts w:ascii="Arial" w:cs="Arial" w:eastAsia="Arial" w:hAnsi="Arial"/>
          <w:sz w:val="17"/>
          <w:szCs w:val="17"/>
          <w:color w:val="auto"/>
        </w:rPr>
        <w:t>The information required by this item will be set forth in our Proxy Statement for the 2021 Annual Meeting of Stockholders and is incorporated herein by reference. The Proxy Statement will be filed with the SEC within 120 days of the fiscal year ended December 31, 2020.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8" w:lineRule="exact"/>
        <w:rPr>
          <w:sz w:val="20"/>
          <w:szCs w:val="20"/>
          <w:color w:val="auto"/>
        </w:rPr>
      </w:pPr>
    </w:p>
    <w:p>
      <w:pPr>
        <w:ind w:right="40" w:firstLine="896"/>
        <w:spacing w:after="0" w:line="301" w:lineRule="auto"/>
        <w:rPr>
          <w:sz w:val="20"/>
          <w:szCs w:val="20"/>
          <w:color w:val="auto"/>
        </w:rPr>
      </w:pPr>
      <w:r>
        <w:rPr>
          <w:rFonts w:ascii="Arial" w:cs="Arial" w:eastAsia="Arial" w:hAnsi="Arial"/>
          <w:sz w:val="17"/>
          <w:szCs w:val="17"/>
          <w:color w:val="auto"/>
        </w:rPr>
        <w:t>The information required by this item will be set forth in our Proxy Statement for the 2021 Annual Meeting of Stockholders and is incorporated herein by reference. The Proxy Statement will be filed with the SEC within 120 days of the fiscal year ended December 31, 2020.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8" w:lineRule="exact"/>
        <w:rPr>
          <w:sz w:val="20"/>
          <w:szCs w:val="20"/>
          <w:color w:val="auto"/>
        </w:rPr>
      </w:pPr>
    </w:p>
    <w:p>
      <w:pPr>
        <w:ind w:right="40" w:firstLine="896"/>
        <w:spacing w:after="0" w:line="301" w:lineRule="auto"/>
        <w:rPr>
          <w:sz w:val="20"/>
          <w:szCs w:val="20"/>
          <w:color w:val="auto"/>
        </w:rPr>
      </w:pPr>
      <w:r>
        <w:rPr>
          <w:rFonts w:ascii="Arial" w:cs="Arial" w:eastAsia="Arial" w:hAnsi="Arial"/>
          <w:sz w:val="17"/>
          <w:szCs w:val="17"/>
          <w:color w:val="auto"/>
        </w:rPr>
        <w:t>The information required by this item will be set forth in our Proxy Statement for the 2021 Annual Meeting of Stockholders and is incorporated herein by reference. The Proxy Statement will be filed with the SEC within 120 days of the fiscal year ended December 31, 2020.</w:t>
      </w:r>
    </w:p>
    <w:p>
      <w:pPr>
        <w:spacing w:after="0" w:line="15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(a)(1) Financial Statements</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“Part II—Item 8. Financial Statements and Supplementary Data.—Index to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(a)(2) Financial Statement Schedules</w:t>
      </w:r>
    </w:p>
    <w:p>
      <w:pPr>
        <w:spacing w:after="0" w:line="114" w:lineRule="exact"/>
        <w:rPr>
          <w:sz w:val="20"/>
          <w:szCs w:val="20"/>
          <w:color w:val="auto"/>
        </w:rPr>
      </w:pPr>
    </w:p>
    <w:p>
      <w:pPr>
        <w:ind w:right="520" w:firstLine="896"/>
        <w:spacing w:after="0" w:line="301" w:lineRule="auto"/>
        <w:rPr>
          <w:sz w:val="20"/>
          <w:szCs w:val="20"/>
          <w:color w:val="auto"/>
        </w:rPr>
      </w:pPr>
      <w:r>
        <w:rPr>
          <w:rFonts w:ascii="Arial" w:cs="Arial" w:eastAsia="Arial" w:hAnsi="Arial"/>
          <w:sz w:val="17"/>
          <w:szCs w:val="17"/>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(a)(3) Exhibits.</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ind w:left="2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2"/>
        </w:trPr>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Incorporated by Reference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Filed</w:t>
            </w:r>
          </w:p>
        </w:tc>
        <w:tc>
          <w:tcPr>
            <w:tcW w:w="20" w:type="dxa"/>
            <w:vAlign w:val="bottom"/>
          </w:tcPr>
          <w:p>
            <w:pPr>
              <w:spacing w:after="0"/>
              <w:rPr>
                <w:sz w:val="24"/>
                <w:szCs w:val="24"/>
                <w:color w:val="auto"/>
              </w:rPr>
            </w:pPr>
          </w:p>
        </w:tc>
      </w:tr>
      <w:tr>
        <w:trPr>
          <w:trHeight w:val="222"/>
        </w:trPr>
        <w:tc>
          <w:tcPr>
            <w:tcW w:w="1140" w:type="dxa"/>
            <w:vAlign w:val="bottom"/>
          </w:tcPr>
          <w:p>
            <w:pPr>
              <w:ind w:left="44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gridSpan w:val="20"/>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19"/>
                <w:szCs w:val="19"/>
                <w:color w:val="auto"/>
              </w:rPr>
            </w:pPr>
          </w:p>
        </w:tc>
        <w:tc>
          <w:tcPr>
            <w:tcW w:w="840" w:type="dxa"/>
            <w:vAlign w:val="bottom"/>
          </w:tcPr>
          <w:p>
            <w:pPr>
              <w:jc w:val="center"/>
              <w:ind w:left="211"/>
              <w:spacing w:after="0"/>
              <w:rPr>
                <w:sz w:val="20"/>
                <w:szCs w:val="20"/>
                <w:color w:val="auto"/>
              </w:rPr>
            </w:pPr>
            <w:r>
              <w:rPr>
                <w:rFonts w:ascii="Arial" w:cs="Arial" w:eastAsia="Arial" w:hAnsi="Arial"/>
                <w:sz w:val="18"/>
                <w:szCs w:val="18"/>
                <w:b w:val="1"/>
                <w:bCs w:val="1"/>
                <w:color w:val="auto"/>
                <w:w w:val="93"/>
              </w:rPr>
              <w:t>Form</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40" w:type="dxa"/>
            <w:vAlign w:val="bottom"/>
          </w:tcPr>
          <w:p>
            <w:pPr>
              <w:spacing w:after="0"/>
              <w:rPr>
                <w:sz w:val="19"/>
                <w:szCs w:val="19"/>
                <w:color w:val="auto"/>
              </w:rPr>
            </w:pPr>
          </w:p>
        </w:tc>
        <w:tc>
          <w:tcPr>
            <w:tcW w:w="2540" w:type="dxa"/>
            <w:vAlign w:val="bottom"/>
            <w:gridSpan w:val="2"/>
          </w:tcPr>
          <w:p>
            <w:pPr>
              <w:ind w:left="880"/>
              <w:spacing w:after="0"/>
              <w:rPr>
                <w:sz w:val="20"/>
                <w:szCs w:val="20"/>
                <w:color w:val="auto"/>
              </w:rPr>
            </w:pPr>
            <w:r>
              <w:rPr>
                <w:rFonts w:ascii="Arial" w:cs="Arial" w:eastAsia="Arial" w:hAnsi="Arial"/>
                <w:sz w:val="18"/>
                <w:szCs w:val="18"/>
                <w:b w:val="1"/>
                <w:bCs w:val="1"/>
                <w:color w:val="auto"/>
              </w:rPr>
              <w:t>Number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20" w:type="dxa"/>
            <w:vAlign w:val="bottom"/>
          </w:tcPr>
          <w:p>
            <w:pPr>
              <w:spacing w:after="0"/>
              <w:rPr>
                <w:sz w:val="19"/>
                <w:szCs w:val="19"/>
                <w:color w:val="auto"/>
              </w:rPr>
            </w:pPr>
          </w:p>
        </w:tc>
      </w:tr>
      <w:tr>
        <w:trPr>
          <w:trHeight w:val="174"/>
        </w:trPr>
        <w:tc>
          <w:tcPr>
            <w:tcW w:w="1140" w:type="dxa"/>
            <w:vAlign w:val="bottom"/>
            <w:tcBorders>
              <w:top w:val="single" w:sz="8" w:color="auto"/>
            </w:tcBorders>
          </w:tcPr>
          <w:p>
            <w:pPr>
              <w:spacing w:after="0" w:line="174"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640" w:type="dxa"/>
            <w:vAlign w:val="bottom"/>
            <w:tcBorders>
              <w:top w:val="single" w:sz="8" w:color="auto"/>
              <w:bottom w:val="single" w:sz="8" w:color="0000EE"/>
            </w:tcBorders>
            <w:gridSpan w:val="9"/>
          </w:tcPr>
          <w:p>
            <w:pPr>
              <w:spacing w:after="0" w:line="174" w:lineRule="exact"/>
              <w:rPr>
                <w:rFonts w:ascii="Arial" w:cs="Arial" w:eastAsia="Arial" w:hAnsi="Arial"/>
                <w:sz w:val="18"/>
                <w:szCs w:val="18"/>
                <w:color w:val="0000EE"/>
                <w:w w:val="88"/>
              </w:rPr>
            </w:pPr>
            <w:hyperlink r:id="rId192">
              <w:r>
                <w:rPr>
                  <w:rFonts w:ascii="Arial" w:cs="Arial" w:eastAsia="Arial" w:hAnsi="Arial"/>
                  <w:sz w:val="18"/>
                  <w:szCs w:val="18"/>
                  <w:color w:val="0000EE"/>
                  <w:w w:val="88"/>
                </w:rPr>
                <w:t>Amended and Restated Certificate of</w:t>
              </w:r>
            </w:hyperlink>
          </w:p>
        </w:tc>
        <w:tc>
          <w:tcPr>
            <w:tcW w:w="740" w:type="dxa"/>
            <w:vAlign w:val="bottom"/>
            <w:tcBorders>
              <w:top w:val="single" w:sz="8" w:color="auto"/>
            </w:tcBorders>
            <w:gridSpan w:val="13"/>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center"/>
              <w:ind w:left="211"/>
              <w:spacing w:after="0" w:line="174" w:lineRule="exact"/>
              <w:rPr>
                <w:sz w:val="20"/>
                <w:szCs w:val="20"/>
                <w:color w:val="auto"/>
              </w:rPr>
            </w:pPr>
            <w:r>
              <w:rPr>
                <w:rFonts w:ascii="Arial" w:cs="Arial" w:eastAsia="Arial" w:hAnsi="Arial"/>
                <w:sz w:val="18"/>
                <w:szCs w:val="18"/>
                <w:color w:val="auto"/>
                <w:w w:val="92"/>
              </w:rPr>
              <w:t>8-K</w:t>
            </w: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8"/>
                <w:szCs w:val="18"/>
                <w:color w:val="auto"/>
                <w:w w:val="89"/>
              </w:rPr>
              <w:t>August 21, 2020</w:t>
            </w:r>
          </w:p>
        </w:tc>
        <w:tc>
          <w:tcPr>
            <w:tcW w:w="40" w:type="dxa"/>
            <w:vAlign w:val="bottom"/>
          </w:tcPr>
          <w:p>
            <w:pPr>
              <w:spacing w:after="0"/>
              <w:rPr>
                <w:sz w:val="15"/>
                <w:szCs w:val="15"/>
                <w:color w:val="auto"/>
              </w:rPr>
            </w:pPr>
          </w:p>
        </w:tc>
        <w:tc>
          <w:tcPr>
            <w:tcW w:w="238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2">
              <w:r>
                <w:rPr>
                  <w:rFonts w:ascii="Arial" w:cs="Arial" w:eastAsia="Arial" w:hAnsi="Arial"/>
                  <w:sz w:val="18"/>
                  <w:szCs w:val="18"/>
                  <w:color w:val="0000EE"/>
                </w:rPr>
                <w:t>Incorporation of Harmony Biosciences</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r:id="rId192">
              <w:r>
                <w:rPr>
                  <w:rFonts w:ascii="Arial" w:cs="Arial" w:eastAsia="Arial" w:hAnsi="Arial"/>
                  <w:sz w:val="18"/>
                  <w:szCs w:val="18"/>
                  <w:color w:val="0000EE"/>
                </w:rPr>
                <w:t>Holdings, Inc.</w:t>
              </w:r>
            </w:hyperlink>
          </w:p>
        </w:tc>
        <w:tc>
          <w:tcPr>
            <w:tcW w:w="620" w:type="dxa"/>
            <w:vAlign w:val="bottom"/>
            <w:gridSpan w:val="11"/>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3">
              <w:r>
                <w:rPr>
                  <w:rFonts w:ascii="Arial" w:cs="Arial" w:eastAsia="Arial" w:hAnsi="Arial"/>
                  <w:sz w:val="18"/>
                  <w:szCs w:val="18"/>
                  <w:color w:val="0000EE"/>
                </w:rPr>
                <w:t>Amended and Restated Bylaws.</w:t>
              </w:r>
            </w:hyperlink>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2"/>
              </w:rPr>
              <w:t>8-K</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89"/>
              </w:rPr>
              <w:t>August 21,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6"/>
                <w:szCs w:val="16"/>
                <w:color w:val="auto"/>
              </w:rPr>
            </w:pPr>
          </w:p>
        </w:tc>
        <w:tc>
          <w:tcPr>
            <w:tcW w:w="2580" w:type="dxa"/>
            <w:vAlign w:val="bottom"/>
            <w:tcBorders>
              <w:bottom w:val="single" w:sz="8" w:color="0000EE"/>
            </w:tcBorders>
            <w:gridSpan w:val="8"/>
          </w:tcPr>
          <w:p>
            <w:pPr>
              <w:spacing w:after="0" w:line="194"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Form of Common Stock Certificate.</w:t>
              </w:r>
            </w:hyperlink>
          </w:p>
        </w:tc>
        <w:tc>
          <w:tcPr>
            <w:tcW w:w="800" w:type="dxa"/>
            <w:vAlign w:val="bottom"/>
            <w:gridSpan w:val="14"/>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3"/>
              </w:rPr>
              <w:t>S-1/A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90"/>
              </w:rPr>
              <w:t>August 6,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w:anchor="page151">
              <w:r>
                <w:rPr>
                  <w:rFonts w:ascii="Arial" w:cs="Arial" w:eastAsia="Arial" w:hAnsi="Arial"/>
                  <w:sz w:val="18"/>
                  <w:szCs w:val="18"/>
                  <w:color w:val="0000EE"/>
                </w:rPr>
                <w:t>Description of Registrant’s Securities.</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3360" w:type="dxa"/>
            <w:vAlign w:val="bottom"/>
            <w:tcBorders>
              <w:bottom w:val="single" w:sz="8" w:color="0000EE"/>
            </w:tcBorders>
            <w:gridSpan w:val="21"/>
          </w:tcPr>
          <w:p>
            <w:pPr>
              <w:spacing w:after="0" w:line="194" w:lineRule="exact"/>
              <w:rPr>
                <w:rFonts w:ascii="Arial" w:cs="Arial" w:eastAsia="Arial" w:hAnsi="Arial"/>
                <w:sz w:val="18"/>
                <w:szCs w:val="18"/>
                <w:color w:val="0000EE"/>
                <w:w w:val="88"/>
              </w:rPr>
            </w:pPr>
            <w:hyperlink r:id="rId195">
              <w:r>
                <w:rPr>
                  <w:rFonts w:ascii="Arial" w:cs="Arial" w:eastAsia="Arial" w:hAnsi="Arial"/>
                  <w:sz w:val="18"/>
                  <w:szCs w:val="18"/>
                  <w:color w:val="0000EE"/>
                  <w:w w:val="88"/>
                </w:rPr>
                <w:t>Credit Agreement, dated as of January 9, 2020,</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2"/>
              </w:rPr>
              <w:t>S-1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91"/>
              </w:rPr>
              <w:t>July 27,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5">
              <w:r>
                <w:rPr>
                  <w:rFonts w:ascii="Arial" w:cs="Arial" w:eastAsia="Arial" w:hAnsi="Arial"/>
                  <w:sz w:val="18"/>
                  <w:szCs w:val="18"/>
                  <w:color w:val="0000EE"/>
                </w:rPr>
                <w:t>among Harmony Biosciences, LLC, the</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0000EE"/>
            </w:tcBorders>
            <w:gridSpan w:val="18"/>
          </w:tcPr>
          <w:p>
            <w:pPr>
              <w:spacing w:after="0" w:line="194"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Lenders from time to time party thereto and</w:t>
              </w:r>
            </w:hyperlink>
          </w:p>
        </w:tc>
        <w:tc>
          <w:tcPr>
            <w:tcW w:w="26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0000EE"/>
            </w:tcBorders>
            <w:gridSpan w:val="20"/>
          </w:tcPr>
          <w:p>
            <w:pPr>
              <w:spacing w:after="0" w:line="194"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OrbiMed Royalty &amp; Credit Opportunities III,</w:t>
              </w:r>
            </w:hyperlink>
          </w:p>
        </w:tc>
        <w:tc>
          <w:tcPr>
            <w:tcW w:w="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5">
              <w:r>
                <w:rPr>
                  <w:rFonts w:ascii="Arial" w:cs="Arial" w:eastAsia="Arial" w:hAnsi="Arial"/>
                  <w:sz w:val="18"/>
                  <w:szCs w:val="18"/>
                  <w:color w:val="0000EE"/>
                </w:rPr>
                <w:t>LP.</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3120" w:type="dxa"/>
            <w:vAlign w:val="bottom"/>
            <w:tcBorders>
              <w:bottom w:val="single" w:sz="8" w:color="0000EE"/>
            </w:tcBorders>
            <w:gridSpan w:val="18"/>
          </w:tcPr>
          <w:p>
            <w:pPr>
              <w:spacing w:after="0" w:line="194"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Pledge and Security Agreement, dated as of</w:t>
              </w:r>
            </w:hyperlink>
          </w:p>
        </w:tc>
        <w:tc>
          <w:tcPr>
            <w:tcW w:w="26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2"/>
              </w:rPr>
              <w:t>S-1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91"/>
              </w:rPr>
              <w:t>July 27,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Borders>
              <w:bottom w:val="single" w:sz="8" w:color="0000EE"/>
            </w:tcBorders>
            <w:gridSpan w:val="21"/>
          </w:tcPr>
          <w:p>
            <w:pPr>
              <w:spacing w:after="0" w:line="194" w:lineRule="exact"/>
              <w:rPr>
                <w:rFonts w:ascii="Arial" w:cs="Arial" w:eastAsia="Arial" w:hAnsi="Arial"/>
                <w:sz w:val="18"/>
                <w:szCs w:val="18"/>
                <w:color w:val="0000EE"/>
                <w:w w:val="88"/>
              </w:rPr>
            </w:pPr>
            <w:hyperlink r:id="rId196">
              <w:r>
                <w:rPr>
                  <w:rFonts w:ascii="Arial" w:cs="Arial" w:eastAsia="Arial" w:hAnsi="Arial"/>
                  <w:sz w:val="18"/>
                  <w:szCs w:val="18"/>
                  <w:color w:val="0000EE"/>
                  <w:w w:val="88"/>
                </w:rPr>
                <w:t>January 9, 2020, among Harmony Biosciences,</w:t>
              </w:r>
            </w:hyperlink>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6">
              <w:r>
                <w:rPr>
                  <w:rFonts w:ascii="Arial" w:cs="Arial" w:eastAsia="Arial" w:hAnsi="Arial"/>
                  <w:sz w:val="18"/>
                  <w:szCs w:val="18"/>
                  <w:color w:val="0000EE"/>
                </w:rPr>
                <w:t>LLC, the Registrant, OrbiMed Royalty &amp;</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w w:val="96"/>
              </w:rPr>
            </w:pPr>
            <w:hyperlink r:id="rId196">
              <w:r>
                <w:rPr>
                  <w:rFonts w:ascii="Arial" w:cs="Arial" w:eastAsia="Arial" w:hAnsi="Arial"/>
                  <w:sz w:val="18"/>
                  <w:szCs w:val="18"/>
                  <w:color w:val="0000EE"/>
                  <w:w w:val="96"/>
                </w:rPr>
                <w:t>Credit Opportunities III, LP and the Secured</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Parties as defined therein.</w:t>
              </w:r>
            </w:hyperlink>
          </w:p>
        </w:tc>
        <w:tc>
          <w:tcPr>
            <w:tcW w:w="1320" w:type="dxa"/>
            <w:vAlign w:val="bottom"/>
            <w:tcBorders>
              <w:top w:val="single" w:sz="8" w:color="0000EE"/>
            </w:tcBorders>
            <w:gridSpan w:val="14"/>
          </w:tcPr>
          <w:p>
            <w:pPr>
              <w:spacing w:after="0"/>
              <w:rPr>
                <w:sz w:val="16"/>
                <w:szCs w:val="16"/>
                <w:color w:val="auto"/>
              </w:rPr>
            </w:pPr>
          </w:p>
        </w:tc>
        <w:tc>
          <w:tcPr>
            <w:tcW w:w="22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304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Harmony Biosciences Holdings, Inc. 2020</w:t>
              </w:r>
            </w:hyperlink>
          </w:p>
        </w:tc>
        <w:tc>
          <w:tcPr>
            <w:tcW w:w="34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2"/>
              </w:rPr>
              <w:t>S-8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89"/>
              </w:rPr>
              <w:t>August 21,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7">
              <w:r>
                <w:rPr>
                  <w:rFonts w:ascii="Arial" w:cs="Arial" w:eastAsia="Arial" w:hAnsi="Arial"/>
                  <w:sz w:val="18"/>
                  <w:szCs w:val="18"/>
                  <w:color w:val="0000EE"/>
                </w:rPr>
                <w:t>Incentive Award Plan</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3120" w:type="dxa"/>
            <w:vAlign w:val="bottom"/>
            <w:tcBorders>
              <w:bottom w:val="single" w:sz="8" w:color="0000EE"/>
            </w:tcBorders>
            <w:gridSpan w:val="18"/>
          </w:tcPr>
          <w:p>
            <w:pPr>
              <w:spacing w:after="0" w:line="194"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Form of Option Agreement under Harmony</w:t>
              </w:r>
            </w:hyperlink>
          </w:p>
        </w:tc>
        <w:tc>
          <w:tcPr>
            <w:tcW w:w="26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2"/>
              </w:rPr>
              <w:t>S-8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89"/>
              </w:rPr>
              <w:t>August 21,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0000EE"/>
            </w:tcBorders>
            <w:gridSpan w:val="15"/>
          </w:tcPr>
          <w:p>
            <w:pPr>
              <w:spacing w:after="0" w:line="194"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Biosciences Holdings, Inc. 2020 Incentive</w:t>
              </w:r>
            </w:hyperlink>
          </w:p>
        </w:tc>
        <w:tc>
          <w:tcPr>
            <w:tcW w:w="360" w:type="dxa"/>
            <w:vAlign w:val="bottom"/>
            <w:gridSpan w:val="7"/>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8">
              <w:r>
                <w:rPr>
                  <w:rFonts w:ascii="Arial" w:cs="Arial" w:eastAsia="Arial" w:hAnsi="Arial"/>
                  <w:sz w:val="18"/>
                  <w:szCs w:val="18"/>
                  <w:color w:val="0000EE"/>
                </w:rPr>
                <w:t>Award Plan.</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199">
              <w:r>
                <w:rPr>
                  <w:rFonts w:ascii="Arial" w:cs="Arial" w:eastAsia="Arial" w:hAnsi="Arial"/>
                  <w:sz w:val="18"/>
                  <w:szCs w:val="18"/>
                  <w:color w:val="0000EE"/>
                </w:rPr>
                <w:t>Form of Restricted Stock Unit Agreement</w:t>
              </w:r>
            </w:hyperlink>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3"/>
              </w:rPr>
              <w:t>S-1/A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89"/>
              </w:rPr>
              <w:t>August 11,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w w:val="99"/>
              </w:rPr>
            </w:pPr>
            <w:hyperlink r:id="rId199">
              <w:r>
                <w:rPr>
                  <w:rFonts w:ascii="Arial" w:cs="Arial" w:eastAsia="Arial" w:hAnsi="Arial"/>
                  <w:sz w:val="18"/>
                  <w:szCs w:val="18"/>
                  <w:color w:val="0000EE"/>
                  <w:w w:val="99"/>
                </w:rPr>
                <w:t>under Harmony Biosciences Holdings, Inc.</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2020 Incentive Award Plan.</w:t>
              </w:r>
            </w:hyperlink>
          </w:p>
        </w:tc>
        <w:tc>
          <w:tcPr>
            <w:tcW w:w="1080" w:type="dxa"/>
            <w:vAlign w:val="bottom"/>
            <w:tcBorders>
              <w:top w:val="single" w:sz="8" w:color="0000EE"/>
            </w:tcBorders>
            <w:gridSpan w:val="11"/>
          </w:tcPr>
          <w:p>
            <w:pPr>
              <w:spacing w:after="0"/>
              <w:rPr>
                <w:sz w:val="16"/>
                <w:szCs w:val="16"/>
                <w:color w:val="auto"/>
              </w:rPr>
            </w:pPr>
          </w:p>
        </w:tc>
        <w:tc>
          <w:tcPr>
            <w:tcW w:w="320" w:type="dxa"/>
            <w:vAlign w:val="bottom"/>
            <w:gridSpan w:val="5"/>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6"/>
                <w:szCs w:val="16"/>
                <w:color w:val="auto"/>
              </w:rPr>
            </w:pPr>
          </w:p>
        </w:tc>
        <w:tc>
          <w:tcPr>
            <w:tcW w:w="304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Harmony Biosciences Holdings, Inc. 2020</w:t>
              </w:r>
            </w:hyperlink>
          </w:p>
        </w:tc>
        <w:tc>
          <w:tcPr>
            <w:tcW w:w="34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left="211"/>
              <w:spacing w:after="0" w:line="194" w:lineRule="exact"/>
              <w:rPr>
                <w:sz w:val="20"/>
                <w:szCs w:val="20"/>
                <w:color w:val="auto"/>
              </w:rPr>
            </w:pPr>
            <w:r>
              <w:rPr>
                <w:rFonts w:ascii="Arial" w:cs="Arial" w:eastAsia="Arial" w:hAnsi="Arial"/>
                <w:sz w:val="18"/>
                <w:szCs w:val="18"/>
                <w:color w:val="auto"/>
                <w:w w:val="93"/>
              </w:rPr>
              <w:t>S-1/A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color w:val="auto"/>
                <w:w w:val="89"/>
              </w:rPr>
              <w:t>August 11, 2020</w:t>
            </w:r>
          </w:p>
        </w:tc>
        <w:tc>
          <w:tcPr>
            <w:tcW w:w="2420" w:type="dxa"/>
            <w:vAlign w:val="bottom"/>
            <w:gridSpan w:val="2"/>
          </w:tcPr>
          <w:p>
            <w:pPr>
              <w:jc w:val="center"/>
              <w:spacing w:after="0" w:line="194" w:lineRule="exact"/>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2"/>
          </w:tcPr>
          <w:p>
            <w:pPr>
              <w:spacing w:after="0" w:line="194" w:lineRule="exact"/>
              <w:rPr>
                <w:rFonts w:ascii="Arial" w:cs="Arial" w:eastAsia="Arial" w:hAnsi="Arial"/>
                <w:sz w:val="18"/>
                <w:szCs w:val="18"/>
                <w:color w:val="0000EE"/>
              </w:rPr>
            </w:pPr>
            <w:hyperlink r:id="rId200">
              <w:r>
                <w:rPr>
                  <w:rFonts w:ascii="Arial" w:cs="Arial" w:eastAsia="Arial" w:hAnsi="Arial"/>
                  <w:sz w:val="18"/>
                  <w:szCs w:val="18"/>
                  <w:color w:val="0000EE"/>
                </w:rPr>
                <w:t>Employee Stock Purchase Plan.</w:t>
              </w:r>
            </w:hyperlink>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47"/>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3360" w:type="dxa"/>
            <w:vAlign w:val="bottom"/>
            <w:gridSpan w:val="31"/>
          </w:tcPr>
          <w:p>
            <w:pPr>
              <w:spacing w:after="0"/>
              <w:rPr>
                <w:rFonts w:ascii="Arial" w:cs="Arial" w:eastAsia="Arial" w:hAnsi="Arial"/>
                <w:sz w:val="18"/>
                <w:szCs w:val="18"/>
                <w:color w:val="0000EE"/>
              </w:rPr>
            </w:pPr>
            <w:hyperlink r:id="rId203">
              <w:r>
                <w:rPr>
                  <w:rFonts w:ascii="Arial" w:cs="Arial" w:eastAsia="Arial" w:hAnsi="Arial"/>
                  <w:sz w:val="18"/>
                  <w:szCs w:val="18"/>
                  <w:color w:val="0000EE"/>
                </w:rPr>
                <w:t>Amended and Restated Employment</w:t>
              </w:r>
            </w:hyperlink>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3060" w:type="dxa"/>
            <w:vAlign w:val="bottom"/>
            <w:tcBorders>
              <w:bottom w:val="single" w:sz="8" w:color="0000EE"/>
            </w:tcBorders>
            <w:gridSpan w:val="19"/>
          </w:tcPr>
          <w:p>
            <w:pPr>
              <w:spacing w:after="0" w:line="194" w:lineRule="exact"/>
              <w:rPr>
                <w:rFonts w:ascii="Arial" w:cs="Arial" w:eastAsia="Arial" w:hAnsi="Arial"/>
                <w:sz w:val="18"/>
                <w:szCs w:val="18"/>
                <w:color w:val="0000EE"/>
                <w:w w:val="88"/>
              </w:rPr>
            </w:pPr>
            <w:hyperlink r:id="rId203">
              <w:r>
                <w:rPr>
                  <w:rFonts w:ascii="Arial" w:cs="Arial" w:eastAsia="Arial" w:hAnsi="Arial"/>
                  <w:sz w:val="18"/>
                  <w:szCs w:val="18"/>
                  <w:color w:val="0000EE"/>
                  <w:w w:val="88"/>
                </w:rPr>
                <w:t>Agreement, dated August 11, 2020, by and</w:t>
              </w:r>
            </w:hyperlink>
          </w:p>
        </w:tc>
        <w:tc>
          <w:tcPr>
            <w:tcW w:w="300" w:type="dxa"/>
            <w:vAlign w:val="bottom"/>
            <w:gridSpan w:val="12"/>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rPr>
            </w:pPr>
            <w:hyperlink r:id="rId203">
              <w:r>
                <w:rPr>
                  <w:rFonts w:ascii="Arial" w:cs="Arial" w:eastAsia="Arial" w:hAnsi="Arial"/>
                  <w:sz w:val="18"/>
                  <w:szCs w:val="18"/>
                  <w:color w:val="0000EE"/>
                </w:rPr>
                <w:t>between Harmony Biosciences, LLC and</w:t>
              </w:r>
            </w:hyperlink>
          </w:p>
        </w:tc>
      </w:tr>
      <w:tr>
        <w:trPr>
          <w:trHeight w:val="194"/>
        </w:trPr>
        <w:tc>
          <w:tcPr>
            <w:tcW w:w="1260" w:type="dxa"/>
            <w:vAlign w:val="bottom"/>
          </w:tcPr>
          <w:p>
            <w:pPr>
              <w:spacing w:after="0"/>
              <w:rPr>
                <w:sz w:val="16"/>
                <w:szCs w:val="16"/>
                <w:color w:val="auto"/>
              </w:rPr>
            </w:pPr>
          </w:p>
        </w:tc>
        <w:tc>
          <w:tcPr>
            <w:tcW w:w="1100" w:type="dxa"/>
            <w:vAlign w:val="bottom"/>
            <w:tcBorders>
              <w:top w:val="single" w:sz="8" w:color="0000EE"/>
              <w:bottom w:val="single" w:sz="8" w:color="auto"/>
            </w:tcBorders>
            <w:gridSpan w:val="4"/>
          </w:tcPr>
          <w:p>
            <w:pPr>
              <w:spacing w:after="0" w:line="194" w:lineRule="exact"/>
              <w:rPr>
                <w:sz w:val="20"/>
                <w:szCs w:val="20"/>
                <w:color w:val="auto"/>
              </w:rPr>
            </w:pPr>
            <w:r>
              <w:rPr>
                <w:rFonts w:ascii="Arial" w:cs="Arial" w:eastAsia="Arial" w:hAnsi="Arial"/>
                <w:sz w:val="18"/>
                <w:szCs w:val="18"/>
                <w:color w:val="auto"/>
                <w:w w:val="83"/>
              </w:rPr>
              <w:t>John C. Jacobs.</w:t>
            </w:r>
          </w:p>
        </w:tc>
        <w:tc>
          <w:tcPr>
            <w:tcW w:w="1820" w:type="dxa"/>
            <w:vAlign w:val="bottom"/>
            <w:tcBorders>
              <w:top w:val="single" w:sz="8" w:color="0000EE"/>
            </w:tcBorders>
            <w:gridSpan w:val="10"/>
          </w:tcPr>
          <w:p>
            <w:pPr>
              <w:spacing w:after="0"/>
              <w:rPr>
                <w:sz w:val="16"/>
                <w:szCs w:val="16"/>
                <w:color w:val="auto"/>
              </w:rPr>
            </w:pPr>
          </w:p>
        </w:tc>
        <w:tc>
          <w:tcPr>
            <w:tcW w:w="440" w:type="dxa"/>
            <w:vAlign w:val="bottom"/>
            <w:gridSpan w:val="17"/>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10.8</w:t>
            </w:r>
          </w:p>
        </w:tc>
        <w:tc>
          <w:tcPr>
            <w:tcW w:w="3360" w:type="dxa"/>
            <w:vAlign w:val="bottom"/>
            <w:gridSpan w:val="31"/>
          </w:tcPr>
          <w:p>
            <w:pPr>
              <w:spacing w:after="0" w:line="194" w:lineRule="exact"/>
              <w:rPr>
                <w:rFonts w:ascii="Arial" w:cs="Arial" w:eastAsia="Arial" w:hAnsi="Arial"/>
                <w:sz w:val="18"/>
                <w:szCs w:val="18"/>
                <w:color w:val="0000EE"/>
                <w:w w:val="94"/>
              </w:rPr>
            </w:pPr>
            <w:hyperlink r:id="rId204">
              <w:r>
                <w:rPr>
                  <w:rFonts w:ascii="Arial" w:cs="Arial" w:eastAsia="Arial" w:hAnsi="Arial"/>
                  <w:sz w:val="18"/>
                  <w:szCs w:val="18"/>
                  <w:color w:val="0000EE"/>
                  <w:w w:val="94"/>
                </w:rPr>
                <w:t>Form of Indemnification Agreement between</w:t>
              </w:r>
            </w:hyperlink>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3260" w:type="dxa"/>
            <w:vAlign w:val="bottom"/>
            <w:tcBorders>
              <w:bottom w:val="single" w:sz="8" w:color="0000EE"/>
            </w:tcBorders>
            <w:gridSpan w:val="27"/>
          </w:tcPr>
          <w:p>
            <w:pPr>
              <w:spacing w:after="0" w:line="194"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Harmony Biosciences, LLC and each director</w:t>
              </w:r>
            </w:hyperlink>
          </w:p>
        </w:tc>
        <w:tc>
          <w:tcPr>
            <w:tcW w:w="100" w:type="dxa"/>
            <w:vAlign w:val="bottom"/>
            <w:gridSpan w:val="4"/>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rPr>
            </w:pPr>
            <w:hyperlink r:id="rId204">
              <w:r>
                <w:rPr>
                  <w:rFonts w:ascii="Arial" w:cs="Arial" w:eastAsia="Arial" w:hAnsi="Arial"/>
                  <w:sz w:val="18"/>
                  <w:szCs w:val="18"/>
                  <w:color w:val="0000EE"/>
                </w:rPr>
                <w:t>and executive officer.</w:t>
              </w:r>
            </w:hyperlink>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10.9</w:t>
            </w:r>
          </w:p>
        </w:tc>
        <w:tc>
          <w:tcPr>
            <w:tcW w:w="3220" w:type="dxa"/>
            <w:vAlign w:val="bottom"/>
            <w:tcBorders>
              <w:bottom w:val="single" w:sz="8" w:color="0000EE"/>
            </w:tcBorders>
            <w:gridSpan w:val="25"/>
          </w:tcPr>
          <w:p>
            <w:pPr>
              <w:spacing w:after="0" w:line="194"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Harmony Biosciences, LLC Separation Plan.</w:t>
              </w:r>
            </w:hyperlink>
          </w:p>
        </w:tc>
        <w:tc>
          <w:tcPr>
            <w:tcW w:w="140" w:type="dxa"/>
            <w:vAlign w:val="bottom"/>
            <w:gridSpan w:val="6"/>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10.10</w:t>
            </w:r>
          </w:p>
        </w:tc>
        <w:tc>
          <w:tcPr>
            <w:tcW w:w="3360" w:type="dxa"/>
            <w:vAlign w:val="bottom"/>
            <w:tcBorders>
              <w:bottom w:val="single" w:sz="8" w:color="0000EE"/>
            </w:tcBorders>
            <w:gridSpan w:val="31"/>
          </w:tcPr>
          <w:p>
            <w:pPr>
              <w:spacing w:after="0" w:line="194"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Harmony Biosciences Holdings, Inc. Amended</w:t>
              </w:r>
            </w:hyperlink>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rPr>
            </w:pPr>
            <w:hyperlink r:id="rId206">
              <w:r>
                <w:rPr>
                  <w:rFonts w:ascii="Arial" w:cs="Arial" w:eastAsia="Arial" w:hAnsi="Arial"/>
                  <w:sz w:val="18"/>
                  <w:szCs w:val="18"/>
                  <w:color w:val="0000EE"/>
                </w:rPr>
                <w:t>and Restated 2017 Equity Incentive Plan.</w:t>
              </w:r>
            </w:hyperlink>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10.11</w:t>
            </w:r>
          </w:p>
        </w:tc>
        <w:tc>
          <w:tcPr>
            <w:tcW w:w="3040" w:type="dxa"/>
            <w:vAlign w:val="bottom"/>
            <w:tcBorders>
              <w:bottom w:val="single" w:sz="8" w:color="0000EE"/>
            </w:tcBorders>
            <w:gridSpan w:val="18"/>
          </w:tcPr>
          <w:p>
            <w:pPr>
              <w:spacing w:after="0" w:line="194"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Harmony Biosciences Holdings, Inc. Non-</w:t>
              </w:r>
            </w:hyperlink>
          </w:p>
        </w:tc>
        <w:tc>
          <w:tcPr>
            <w:tcW w:w="320" w:type="dxa"/>
            <w:vAlign w:val="bottom"/>
            <w:gridSpan w:val="13"/>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140" w:type="dxa"/>
            <w:vAlign w:val="bottom"/>
            <w:tcBorders>
              <w:bottom w:val="single" w:sz="8" w:color="0000EE"/>
            </w:tcBorders>
            <w:gridSpan w:val="22"/>
          </w:tcPr>
          <w:p>
            <w:pPr>
              <w:spacing w:after="0" w:line="194"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Employee Director Compensation Program.</w:t>
              </w:r>
            </w:hyperlink>
          </w:p>
        </w:tc>
        <w:tc>
          <w:tcPr>
            <w:tcW w:w="220" w:type="dxa"/>
            <w:vAlign w:val="bottom"/>
            <w:gridSpan w:val="9"/>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10.12</w:t>
            </w:r>
          </w:p>
        </w:tc>
        <w:tc>
          <w:tcPr>
            <w:tcW w:w="3360" w:type="dxa"/>
            <w:vAlign w:val="bottom"/>
            <w:gridSpan w:val="31"/>
          </w:tcPr>
          <w:p>
            <w:pPr>
              <w:spacing w:after="0" w:line="194" w:lineRule="exact"/>
              <w:rPr>
                <w:rFonts w:ascii="Arial" w:cs="Arial" w:eastAsia="Arial" w:hAnsi="Arial"/>
                <w:sz w:val="18"/>
                <w:szCs w:val="18"/>
                <w:color w:val="0000EE"/>
                <w:w w:val="94"/>
              </w:rPr>
            </w:pPr>
            <w:hyperlink r:id="rId208">
              <w:r>
                <w:rPr>
                  <w:rFonts w:ascii="Arial" w:cs="Arial" w:eastAsia="Arial" w:hAnsi="Arial"/>
                  <w:sz w:val="18"/>
                  <w:szCs w:val="18"/>
                  <w:color w:val="0000EE"/>
                  <w:w w:val="94"/>
                </w:rPr>
                <w:t>Offer Letter, dated October 10, 2017, by and</w:t>
              </w:r>
            </w:hyperlink>
          </w:p>
        </w:tc>
      </w:tr>
      <w:tr>
        <w:trPr>
          <w:trHeight w:val="194"/>
        </w:trPr>
        <w:tc>
          <w:tcPr>
            <w:tcW w:w="1260" w:type="dxa"/>
            <w:vAlign w:val="bottom"/>
          </w:tcPr>
          <w:p>
            <w:pPr>
              <w:spacing w:after="0"/>
              <w:rPr>
                <w:sz w:val="16"/>
                <w:szCs w:val="16"/>
                <w:color w:val="auto"/>
              </w:rPr>
            </w:pPr>
          </w:p>
        </w:tc>
        <w:tc>
          <w:tcPr>
            <w:tcW w:w="3160" w:type="dxa"/>
            <w:vAlign w:val="bottom"/>
            <w:tcBorders>
              <w:top w:val="single" w:sz="8" w:color="0000EE"/>
            </w:tcBorders>
            <w:gridSpan w:val="23"/>
          </w:tcPr>
          <w:p>
            <w:pPr>
              <w:spacing w:after="0" w:line="194" w:lineRule="exact"/>
              <w:rPr>
                <w:rFonts w:ascii="Arial" w:cs="Arial" w:eastAsia="Arial" w:hAnsi="Arial"/>
                <w:sz w:val="18"/>
                <w:szCs w:val="18"/>
                <w:color w:val="0000EE"/>
                <w:w w:val="96"/>
              </w:rPr>
            </w:pPr>
            <w:hyperlink r:id="rId208">
              <w:r>
                <w:rPr>
                  <w:rFonts w:ascii="Arial" w:cs="Arial" w:eastAsia="Arial" w:hAnsi="Arial"/>
                  <w:sz w:val="18"/>
                  <w:szCs w:val="18"/>
                  <w:color w:val="0000EE"/>
                  <w:w w:val="96"/>
                </w:rPr>
                <w:t>between Harmony Biosciences, LLC and</w:t>
              </w:r>
            </w:hyperlink>
          </w:p>
        </w:tc>
        <w:tc>
          <w:tcPr>
            <w:tcW w:w="200" w:type="dxa"/>
            <w:vAlign w:val="bottom"/>
            <w:gridSpan w:val="8"/>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292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r:id="rId208">
              <w:r>
                <w:rPr>
                  <w:rFonts w:ascii="Arial" w:cs="Arial" w:eastAsia="Arial" w:hAnsi="Arial"/>
                  <w:sz w:val="18"/>
                  <w:szCs w:val="18"/>
                  <w:color w:val="0000EE"/>
                </w:rPr>
                <w:t>Jeffrey Dayno.</w:t>
              </w:r>
            </w:hyperlink>
          </w:p>
        </w:tc>
        <w:tc>
          <w:tcPr>
            <w:tcW w:w="440" w:type="dxa"/>
            <w:vAlign w:val="bottom"/>
            <w:gridSpan w:val="17"/>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10.13</w:t>
            </w:r>
          </w:p>
        </w:tc>
        <w:tc>
          <w:tcPr>
            <w:tcW w:w="3280" w:type="dxa"/>
            <w:vAlign w:val="bottom"/>
            <w:tcBorders>
              <w:bottom w:val="single" w:sz="8" w:color="0000EE"/>
            </w:tcBorders>
            <w:gridSpan w:val="28"/>
          </w:tcPr>
          <w:p>
            <w:pPr>
              <w:spacing w:after="0" w:line="194"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Offer Letter, dated September 8, 2017, by and</w:t>
              </w:r>
            </w:hyperlink>
          </w:p>
        </w:tc>
        <w:tc>
          <w:tcPr>
            <w:tcW w:w="80" w:type="dxa"/>
            <w:vAlign w:val="bottom"/>
            <w:gridSpan w:val="3"/>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rPr>
            </w:pPr>
            <w:hyperlink r:id="rId209">
              <w:r>
                <w:rPr>
                  <w:rFonts w:ascii="Arial" w:cs="Arial" w:eastAsia="Arial" w:hAnsi="Arial"/>
                  <w:sz w:val="18"/>
                  <w:szCs w:val="18"/>
                  <w:color w:val="0000EE"/>
                </w:rPr>
                <w:t>between Harmony Biosciences, LLC and</w:t>
              </w:r>
            </w:hyperlink>
          </w:p>
        </w:tc>
      </w:tr>
      <w:tr>
        <w:trPr>
          <w:trHeight w:val="194"/>
        </w:trPr>
        <w:tc>
          <w:tcPr>
            <w:tcW w:w="1260" w:type="dxa"/>
            <w:vAlign w:val="bottom"/>
          </w:tcPr>
          <w:p>
            <w:pPr>
              <w:spacing w:after="0"/>
              <w:rPr>
                <w:sz w:val="16"/>
                <w:szCs w:val="16"/>
                <w:color w:val="auto"/>
              </w:rPr>
            </w:pPr>
          </w:p>
        </w:tc>
        <w:tc>
          <w:tcPr>
            <w:tcW w:w="292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r:id="rId209">
              <w:r>
                <w:rPr>
                  <w:rFonts w:ascii="Arial" w:cs="Arial" w:eastAsia="Arial" w:hAnsi="Arial"/>
                  <w:sz w:val="18"/>
                  <w:szCs w:val="18"/>
                  <w:color w:val="0000EE"/>
                </w:rPr>
                <w:t>Andrew Serafin.</w:t>
              </w:r>
            </w:hyperlink>
          </w:p>
        </w:tc>
        <w:tc>
          <w:tcPr>
            <w:tcW w:w="440" w:type="dxa"/>
            <w:vAlign w:val="bottom"/>
            <w:gridSpan w:val="17"/>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10.14</w:t>
            </w:r>
          </w:p>
        </w:tc>
        <w:tc>
          <w:tcPr>
            <w:tcW w:w="3140" w:type="dxa"/>
            <w:vAlign w:val="bottom"/>
            <w:tcBorders>
              <w:bottom w:val="single" w:sz="8" w:color="0000EE"/>
            </w:tcBorders>
            <w:gridSpan w:val="22"/>
          </w:tcPr>
          <w:p>
            <w:pPr>
              <w:spacing w:after="0" w:line="194"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License and Commercialization Agreement,</w:t>
              </w:r>
            </w:hyperlink>
          </w:p>
        </w:tc>
        <w:tc>
          <w:tcPr>
            <w:tcW w:w="220" w:type="dxa"/>
            <w:vAlign w:val="bottom"/>
            <w:gridSpan w:val="9"/>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40" w:type="dxa"/>
            <w:vAlign w:val="bottom"/>
            <w:tcBorders>
              <w:bottom w:val="single" w:sz="8" w:color="0000EE"/>
            </w:tcBorders>
            <w:gridSpan w:val="30"/>
          </w:tcPr>
          <w:p>
            <w:pPr>
              <w:spacing w:after="0" w:line="194"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dated July 28, 2017, by and between Bioprojet</w:t>
              </w:r>
            </w:hyperlink>
          </w:p>
        </w:tc>
        <w:tc>
          <w:tcPr>
            <w:tcW w:w="2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w w:val="98"/>
              </w:rPr>
            </w:pPr>
            <w:hyperlink r:id="rId210">
              <w:r>
                <w:rPr>
                  <w:rFonts w:ascii="Arial" w:cs="Arial" w:eastAsia="Arial" w:hAnsi="Arial"/>
                  <w:sz w:val="18"/>
                  <w:szCs w:val="18"/>
                  <w:color w:val="0000EE"/>
                  <w:w w:val="98"/>
                </w:rPr>
                <w:t>Société Civile de Recherche and Harmony</w:t>
              </w:r>
            </w:hyperlink>
          </w:p>
        </w:tc>
      </w:tr>
      <w:tr>
        <w:trPr>
          <w:trHeight w:val="194"/>
        </w:trPr>
        <w:tc>
          <w:tcPr>
            <w:tcW w:w="1260" w:type="dxa"/>
            <w:vAlign w:val="bottom"/>
          </w:tcPr>
          <w:p>
            <w:pPr>
              <w:spacing w:after="0"/>
              <w:rPr>
                <w:sz w:val="16"/>
                <w:szCs w:val="16"/>
                <w:color w:val="auto"/>
              </w:rPr>
            </w:pPr>
          </w:p>
        </w:tc>
        <w:tc>
          <w:tcPr>
            <w:tcW w:w="132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Biosciences, LLC.</w:t>
              </w:r>
            </w:hyperlink>
          </w:p>
        </w:tc>
        <w:tc>
          <w:tcPr>
            <w:tcW w:w="1700" w:type="dxa"/>
            <w:vAlign w:val="bottom"/>
            <w:tcBorders>
              <w:top w:val="single" w:sz="8" w:color="0000EE"/>
            </w:tcBorders>
            <w:gridSpan w:val="11"/>
          </w:tcPr>
          <w:p>
            <w:pPr>
              <w:spacing w:after="0"/>
              <w:rPr>
                <w:sz w:val="16"/>
                <w:szCs w:val="16"/>
                <w:color w:val="auto"/>
              </w:rPr>
            </w:pPr>
          </w:p>
        </w:tc>
        <w:tc>
          <w:tcPr>
            <w:tcW w:w="340" w:type="dxa"/>
            <w:vAlign w:val="bottom"/>
            <w:gridSpan w:val="14"/>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10.15</w:t>
            </w:r>
          </w:p>
        </w:tc>
        <w:tc>
          <w:tcPr>
            <w:tcW w:w="2400" w:type="dxa"/>
            <w:vAlign w:val="bottom"/>
            <w:tcBorders>
              <w:bottom w:val="single" w:sz="8" w:color="0000EE"/>
            </w:tcBorders>
            <w:gridSpan w:val="9"/>
          </w:tcPr>
          <w:p>
            <w:pPr>
              <w:spacing w:after="0" w:line="194"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Amendment No. 1 to License and</w:t>
              </w:r>
            </w:hyperlink>
          </w:p>
        </w:tc>
        <w:tc>
          <w:tcPr>
            <w:tcW w:w="960" w:type="dxa"/>
            <w:vAlign w:val="bottom"/>
            <w:gridSpan w:val="22"/>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w w:val="93"/>
              </w:rPr>
            </w:pPr>
            <w:hyperlink r:id="rId211">
              <w:r>
                <w:rPr>
                  <w:rFonts w:ascii="Arial" w:cs="Arial" w:eastAsia="Arial" w:hAnsi="Arial"/>
                  <w:sz w:val="18"/>
                  <w:szCs w:val="18"/>
                  <w:color w:val="0000EE"/>
                  <w:w w:val="93"/>
                </w:rPr>
                <w:t>Commercialization Agreement, dated August</w:t>
              </w:r>
            </w:hyperlink>
          </w:p>
        </w:tc>
      </w:tr>
      <w:tr>
        <w:trPr>
          <w:trHeight w:val="194"/>
        </w:trPr>
        <w:tc>
          <w:tcPr>
            <w:tcW w:w="1260" w:type="dxa"/>
            <w:vAlign w:val="bottom"/>
          </w:tcPr>
          <w:p>
            <w:pPr>
              <w:spacing w:after="0"/>
              <w:rPr>
                <w:sz w:val="16"/>
                <w:szCs w:val="16"/>
                <w:color w:val="auto"/>
              </w:rPr>
            </w:pPr>
          </w:p>
        </w:tc>
        <w:tc>
          <w:tcPr>
            <w:tcW w:w="3120" w:type="dxa"/>
            <w:vAlign w:val="bottom"/>
            <w:tcBorders>
              <w:top w:val="single" w:sz="8" w:color="0000EE"/>
              <w:bottom w:val="single" w:sz="8" w:color="0000EE"/>
            </w:tcBorders>
            <w:gridSpan w:val="21"/>
          </w:tcPr>
          <w:p>
            <w:pPr>
              <w:spacing w:after="0" w:line="194"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27, 2018, by and between Bioprojet Société</w:t>
              </w:r>
            </w:hyperlink>
          </w:p>
        </w:tc>
        <w:tc>
          <w:tcPr>
            <w:tcW w:w="100" w:type="dxa"/>
            <w:vAlign w:val="bottom"/>
            <w:tcBorders>
              <w:top w:val="single" w:sz="8" w:color="0000EE"/>
            </w:tcBorders>
            <w:gridSpan w:val="4"/>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2460" w:type="dxa"/>
            <w:vAlign w:val="bottom"/>
            <w:tcBorders>
              <w:bottom w:val="single" w:sz="8" w:color="0000EE"/>
            </w:tcBorders>
            <w:gridSpan w:val="10"/>
          </w:tcPr>
          <w:p>
            <w:pPr>
              <w:spacing w:after="0" w:line="194"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Civile de Recherche and Harmony</w:t>
              </w:r>
            </w:hyperlink>
          </w:p>
        </w:tc>
        <w:tc>
          <w:tcPr>
            <w:tcW w:w="900" w:type="dxa"/>
            <w:vAlign w:val="bottom"/>
            <w:gridSpan w:val="21"/>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1320" w:type="dxa"/>
            <w:vAlign w:val="bottom"/>
            <w:tcBorders>
              <w:bottom w:val="single" w:sz="8" w:color="0000EE"/>
            </w:tcBorders>
            <w:gridSpan w:val="6"/>
          </w:tcPr>
          <w:p>
            <w:pPr>
              <w:spacing w:after="0" w:line="194"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Biosciences, LLC.</w:t>
              </w:r>
            </w:hyperlink>
          </w:p>
        </w:tc>
        <w:tc>
          <w:tcPr>
            <w:tcW w:w="2040" w:type="dxa"/>
            <w:vAlign w:val="bottom"/>
            <w:gridSpan w:val="25"/>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10.16</w:t>
            </w:r>
          </w:p>
        </w:tc>
        <w:tc>
          <w:tcPr>
            <w:tcW w:w="3240" w:type="dxa"/>
            <w:vAlign w:val="bottom"/>
            <w:tcBorders>
              <w:bottom w:val="single" w:sz="8" w:color="0000EE"/>
            </w:tcBorders>
            <w:gridSpan w:val="26"/>
          </w:tcPr>
          <w:p>
            <w:pPr>
              <w:spacing w:after="0" w:line="194" w:lineRule="exact"/>
              <w:rPr>
                <w:rFonts w:ascii="Arial" w:cs="Arial" w:eastAsia="Arial" w:hAnsi="Arial"/>
                <w:sz w:val="18"/>
                <w:szCs w:val="18"/>
                <w:color w:val="0000EE"/>
                <w:w w:val="88"/>
              </w:rPr>
            </w:pPr>
            <w:hyperlink r:id="rId212">
              <w:r>
                <w:rPr>
                  <w:rFonts w:ascii="Arial" w:cs="Arial" w:eastAsia="Arial" w:hAnsi="Arial"/>
                  <w:sz w:val="18"/>
                  <w:szCs w:val="18"/>
                  <w:color w:val="0000EE"/>
                  <w:w w:val="88"/>
                </w:rPr>
                <w:t>Trademark License Agreement, dated August</w:t>
              </w:r>
            </w:hyperlink>
          </w:p>
        </w:tc>
        <w:tc>
          <w:tcPr>
            <w:tcW w:w="120" w:type="dxa"/>
            <w:vAlign w:val="bottom"/>
            <w:gridSpan w:val="5"/>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040" w:type="dxa"/>
            <w:vAlign w:val="bottom"/>
            <w:tcBorders>
              <w:bottom w:val="single" w:sz="8" w:color="0000EE"/>
            </w:tcBorders>
            <w:gridSpan w:val="18"/>
          </w:tcPr>
          <w:p>
            <w:pPr>
              <w:spacing w:after="0" w:line="194"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23, 2018, by and among Bioprojet Europe,</w:t>
              </w:r>
            </w:hyperlink>
          </w:p>
        </w:tc>
        <w:tc>
          <w:tcPr>
            <w:tcW w:w="320" w:type="dxa"/>
            <w:vAlign w:val="bottom"/>
            <w:gridSpan w:val="13"/>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w w:val="97"/>
              </w:rPr>
            </w:pPr>
            <w:hyperlink r:id="rId212">
              <w:r>
                <w:rPr>
                  <w:rFonts w:ascii="Arial" w:cs="Arial" w:eastAsia="Arial" w:hAnsi="Arial"/>
                  <w:sz w:val="18"/>
                  <w:szCs w:val="18"/>
                  <w:color w:val="0000EE"/>
                  <w:w w:val="97"/>
                </w:rPr>
                <w:t>Ltd., Bioprojet Société Civile de Recherche</w:t>
              </w:r>
            </w:hyperlink>
          </w:p>
        </w:tc>
      </w:tr>
      <w:tr>
        <w:trPr>
          <w:trHeight w:val="194"/>
        </w:trPr>
        <w:tc>
          <w:tcPr>
            <w:tcW w:w="1260" w:type="dxa"/>
            <w:vAlign w:val="bottom"/>
          </w:tcPr>
          <w:p>
            <w:pPr>
              <w:spacing w:after="0"/>
              <w:rPr>
                <w:sz w:val="16"/>
                <w:szCs w:val="16"/>
                <w:color w:val="auto"/>
              </w:rPr>
            </w:pPr>
          </w:p>
        </w:tc>
        <w:tc>
          <w:tcPr>
            <w:tcW w:w="234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and Harmony Biosciences, LLC.</w:t>
              </w:r>
            </w:hyperlink>
          </w:p>
        </w:tc>
        <w:tc>
          <w:tcPr>
            <w:tcW w:w="760" w:type="dxa"/>
            <w:vAlign w:val="bottom"/>
            <w:tcBorders>
              <w:top w:val="single" w:sz="8" w:color="0000EE"/>
            </w:tcBorders>
            <w:gridSpan w:val="12"/>
          </w:tcPr>
          <w:p>
            <w:pPr>
              <w:spacing w:after="0"/>
              <w:rPr>
                <w:sz w:val="16"/>
                <w:szCs w:val="16"/>
                <w:color w:val="auto"/>
              </w:rPr>
            </w:pPr>
          </w:p>
        </w:tc>
        <w:tc>
          <w:tcPr>
            <w:tcW w:w="260" w:type="dxa"/>
            <w:vAlign w:val="bottom"/>
            <w:gridSpan w:val="11"/>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10.17</w:t>
            </w:r>
          </w:p>
        </w:tc>
        <w:tc>
          <w:tcPr>
            <w:tcW w:w="3360" w:type="dxa"/>
            <w:vAlign w:val="bottom"/>
            <w:gridSpan w:val="31"/>
          </w:tcPr>
          <w:p>
            <w:pPr>
              <w:spacing w:after="0" w:line="194" w:lineRule="exact"/>
              <w:rPr>
                <w:rFonts w:ascii="Arial" w:cs="Arial" w:eastAsia="Arial" w:hAnsi="Arial"/>
                <w:sz w:val="18"/>
                <w:szCs w:val="18"/>
                <w:color w:val="0000EE"/>
              </w:rPr>
            </w:pPr>
            <w:hyperlink r:id="rId213">
              <w:r>
                <w:rPr>
                  <w:rFonts w:ascii="Arial" w:cs="Arial" w:eastAsia="Arial" w:hAnsi="Arial"/>
                  <w:sz w:val="18"/>
                  <w:szCs w:val="18"/>
                  <w:color w:val="0000EE"/>
                </w:rPr>
                <w:t>Management Services Agreement, dated</w:t>
              </w:r>
            </w:hyperlink>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3260" w:type="dxa"/>
            <w:vAlign w:val="bottom"/>
            <w:tcBorders>
              <w:bottom w:val="single" w:sz="8" w:color="0000EE"/>
            </w:tcBorders>
            <w:gridSpan w:val="27"/>
          </w:tcPr>
          <w:p>
            <w:pPr>
              <w:spacing w:after="0" w:line="194" w:lineRule="exact"/>
              <w:rPr>
                <w:rFonts w:ascii="Arial" w:cs="Arial" w:eastAsia="Arial" w:hAnsi="Arial"/>
                <w:sz w:val="18"/>
                <w:szCs w:val="18"/>
                <w:color w:val="0000EE"/>
                <w:w w:val="86"/>
              </w:rPr>
            </w:pPr>
            <w:hyperlink r:id="rId213">
              <w:r>
                <w:rPr>
                  <w:rFonts w:ascii="Arial" w:cs="Arial" w:eastAsia="Arial" w:hAnsi="Arial"/>
                  <w:sz w:val="18"/>
                  <w:szCs w:val="18"/>
                  <w:color w:val="0000EE"/>
                  <w:w w:val="86"/>
                </w:rPr>
                <w:t>September 22, 2017, by and between Paragon</w:t>
              </w:r>
            </w:hyperlink>
          </w:p>
        </w:tc>
        <w:tc>
          <w:tcPr>
            <w:tcW w:w="100" w:type="dxa"/>
            <w:vAlign w:val="bottom"/>
            <w:gridSpan w:val="4"/>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w w:val="93"/>
              </w:rPr>
            </w:pPr>
            <w:hyperlink r:id="rId213">
              <w:r>
                <w:rPr>
                  <w:rFonts w:ascii="Arial" w:cs="Arial" w:eastAsia="Arial" w:hAnsi="Arial"/>
                  <w:sz w:val="18"/>
                  <w:szCs w:val="18"/>
                  <w:color w:val="0000EE"/>
                  <w:w w:val="93"/>
                </w:rPr>
                <w:t>Biosciences, LLC and Harmony Biosciences,</w:t>
              </w:r>
            </w:hyperlink>
          </w:p>
        </w:tc>
      </w:tr>
      <w:tr>
        <w:trPr>
          <w:trHeight w:val="194"/>
        </w:trPr>
        <w:tc>
          <w:tcPr>
            <w:tcW w:w="1260" w:type="dxa"/>
            <w:vAlign w:val="bottom"/>
          </w:tcPr>
          <w:p>
            <w:pPr>
              <w:spacing w:after="0"/>
              <w:rPr>
                <w:sz w:val="16"/>
                <w:szCs w:val="16"/>
                <w:color w:val="auto"/>
              </w:rPr>
            </w:pPr>
          </w:p>
        </w:tc>
        <w:tc>
          <w:tcPr>
            <w:tcW w:w="38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94"/>
              </w:rPr>
            </w:pPr>
            <w:hyperlink r:id="rId213">
              <w:r>
                <w:rPr>
                  <w:rFonts w:ascii="Arial" w:cs="Arial" w:eastAsia="Arial" w:hAnsi="Arial"/>
                  <w:sz w:val="18"/>
                  <w:szCs w:val="18"/>
                  <w:color w:val="0000EE"/>
                  <w:w w:val="94"/>
                </w:rPr>
                <w:t>LLC.</w:t>
              </w:r>
            </w:hyperlink>
          </w:p>
        </w:tc>
        <w:tc>
          <w:tcPr>
            <w:tcW w:w="2840" w:type="dxa"/>
            <w:vAlign w:val="bottom"/>
            <w:tcBorders>
              <w:top w:val="single" w:sz="8" w:color="0000EE"/>
            </w:tcBorders>
            <w:gridSpan w:val="24"/>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10.18</w:t>
            </w:r>
          </w:p>
        </w:tc>
        <w:tc>
          <w:tcPr>
            <w:tcW w:w="3220" w:type="dxa"/>
            <w:vAlign w:val="bottom"/>
            <w:tcBorders>
              <w:bottom w:val="single" w:sz="8" w:color="0000EE"/>
            </w:tcBorders>
            <w:gridSpan w:val="25"/>
          </w:tcPr>
          <w:p>
            <w:pPr>
              <w:spacing w:after="0" w:line="194"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Right of Use Agreement, dated November 1,</w:t>
              </w:r>
            </w:hyperlink>
          </w:p>
        </w:tc>
        <w:tc>
          <w:tcPr>
            <w:tcW w:w="140" w:type="dxa"/>
            <w:vAlign w:val="bottom"/>
            <w:gridSpan w:val="6"/>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60" w:type="dxa"/>
            <w:vAlign w:val="bottom"/>
            <w:gridSpan w:val="31"/>
          </w:tcPr>
          <w:p>
            <w:pPr>
              <w:spacing w:after="0" w:line="194" w:lineRule="exact"/>
              <w:rPr>
                <w:rFonts w:ascii="Arial" w:cs="Arial" w:eastAsia="Arial" w:hAnsi="Arial"/>
                <w:sz w:val="18"/>
                <w:szCs w:val="18"/>
                <w:color w:val="0000EE"/>
                <w:w w:val="93"/>
              </w:rPr>
            </w:pPr>
            <w:hyperlink r:id="rId214">
              <w:r>
                <w:rPr>
                  <w:rFonts w:ascii="Arial" w:cs="Arial" w:eastAsia="Arial" w:hAnsi="Arial"/>
                  <w:sz w:val="18"/>
                  <w:szCs w:val="18"/>
                  <w:color w:val="0000EE"/>
                  <w:w w:val="93"/>
                </w:rPr>
                <w:t>2019, by and between Paragon Biosciences,</w:t>
              </w:r>
            </w:hyperlink>
          </w:p>
        </w:tc>
      </w:tr>
      <w:tr>
        <w:trPr>
          <w:trHeight w:val="194"/>
        </w:trPr>
        <w:tc>
          <w:tcPr>
            <w:tcW w:w="1260" w:type="dxa"/>
            <w:vAlign w:val="bottom"/>
          </w:tcPr>
          <w:p>
            <w:pPr>
              <w:spacing w:after="0"/>
              <w:rPr>
                <w:sz w:val="16"/>
                <w:szCs w:val="16"/>
                <w:color w:val="auto"/>
              </w:rPr>
            </w:pPr>
          </w:p>
        </w:tc>
        <w:tc>
          <w:tcPr>
            <w:tcW w:w="2720" w:type="dxa"/>
            <w:vAlign w:val="bottom"/>
            <w:tcBorders>
              <w:top w:val="single" w:sz="8" w:color="0000EE"/>
              <w:bottom w:val="single" w:sz="8" w:color="0000EE"/>
            </w:tcBorders>
            <w:gridSpan w:val="12"/>
          </w:tcPr>
          <w:p>
            <w:pPr>
              <w:spacing w:after="0" w:line="194"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LLC and Harmony Biosciences, LLC.</w:t>
              </w:r>
            </w:hyperlink>
          </w:p>
        </w:tc>
        <w:tc>
          <w:tcPr>
            <w:tcW w:w="400" w:type="dxa"/>
            <w:vAlign w:val="bottom"/>
            <w:tcBorders>
              <w:top w:val="single" w:sz="8" w:color="0000EE"/>
            </w:tcBorders>
            <w:gridSpan w:val="9"/>
          </w:tcPr>
          <w:p>
            <w:pPr>
              <w:spacing w:after="0"/>
              <w:rPr>
                <w:sz w:val="16"/>
                <w:szCs w:val="16"/>
                <w:color w:val="auto"/>
              </w:rPr>
            </w:pPr>
          </w:p>
        </w:tc>
        <w:tc>
          <w:tcPr>
            <w:tcW w:w="240" w:type="dxa"/>
            <w:vAlign w:val="bottom"/>
            <w:gridSpan w:val="10"/>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10.19</w:t>
            </w:r>
          </w:p>
        </w:tc>
        <w:tc>
          <w:tcPr>
            <w:tcW w:w="2980" w:type="dxa"/>
            <w:vAlign w:val="bottom"/>
            <w:tcBorders>
              <w:bottom w:val="single" w:sz="8" w:color="0000EE"/>
            </w:tcBorders>
            <w:gridSpan w:val="16"/>
          </w:tcPr>
          <w:p>
            <w:pPr>
              <w:spacing w:after="0" w:line="194" w:lineRule="exact"/>
              <w:rPr>
                <w:rFonts w:ascii="Arial" w:cs="Arial" w:eastAsia="Arial" w:hAnsi="Arial"/>
                <w:sz w:val="18"/>
                <w:szCs w:val="18"/>
                <w:color w:val="0000EE"/>
                <w:w w:val="87"/>
              </w:rPr>
            </w:pPr>
            <w:hyperlink r:id="rId215">
              <w:r>
                <w:rPr>
                  <w:rFonts w:ascii="Arial" w:cs="Arial" w:eastAsia="Arial" w:hAnsi="Arial"/>
                  <w:sz w:val="18"/>
                  <w:szCs w:val="18"/>
                  <w:color w:val="0000EE"/>
                  <w:w w:val="87"/>
                </w:rPr>
                <w:t>Second Amended and Restated Investors’</w:t>
              </w:r>
            </w:hyperlink>
          </w:p>
        </w:tc>
        <w:tc>
          <w:tcPr>
            <w:tcW w:w="380" w:type="dxa"/>
            <w:vAlign w:val="bottom"/>
            <w:gridSpan w:val="15"/>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180" w:type="dxa"/>
            <w:vAlign w:val="bottom"/>
            <w:tcBorders>
              <w:bottom w:val="single" w:sz="8" w:color="0000EE"/>
            </w:tcBorders>
            <w:gridSpan w:val="24"/>
          </w:tcPr>
          <w:p>
            <w:pPr>
              <w:spacing w:after="0" w:line="194" w:lineRule="exact"/>
              <w:rPr>
                <w:rFonts w:ascii="Arial" w:cs="Arial" w:eastAsia="Arial" w:hAnsi="Arial"/>
                <w:sz w:val="18"/>
                <w:szCs w:val="18"/>
                <w:color w:val="0000EE"/>
                <w:w w:val="89"/>
              </w:rPr>
            </w:pPr>
            <w:hyperlink r:id="rId215">
              <w:r>
                <w:rPr>
                  <w:rFonts w:ascii="Arial" w:cs="Arial" w:eastAsia="Arial" w:hAnsi="Arial"/>
                  <w:sz w:val="18"/>
                  <w:szCs w:val="18"/>
                  <w:color w:val="0000EE"/>
                  <w:w w:val="89"/>
                </w:rPr>
                <w:t>Rights Agreement, dated August 9, 2019, by</w:t>
              </w:r>
            </w:hyperlink>
          </w:p>
        </w:tc>
        <w:tc>
          <w:tcPr>
            <w:tcW w:w="180" w:type="dxa"/>
            <w:vAlign w:val="bottom"/>
            <w:gridSpan w:val="7"/>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20" w:type="dxa"/>
            <w:vAlign w:val="bottom"/>
            <w:tcBorders>
              <w:bottom w:val="single" w:sz="8" w:color="0000EE"/>
            </w:tcBorders>
            <w:gridSpan w:val="29"/>
          </w:tcPr>
          <w:p>
            <w:pPr>
              <w:spacing w:after="0" w:line="194" w:lineRule="exact"/>
              <w:rPr>
                <w:rFonts w:ascii="Arial" w:cs="Arial" w:eastAsia="Arial" w:hAnsi="Arial"/>
                <w:sz w:val="18"/>
                <w:szCs w:val="18"/>
                <w:color w:val="0000EE"/>
                <w:w w:val="87"/>
              </w:rPr>
            </w:pPr>
            <w:hyperlink r:id="rId215">
              <w:r>
                <w:rPr>
                  <w:rFonts w:ascii="Arial" w:cs="Arial" w:eastAsia="Arial" w:hAnsi="Arial"/>
                  <w:sz w:val="18"/>
                  <w:szCs w:val="18"/>
                  <w:color w:val="0000EE"/>
                  <w:w w:val="87"/>
                </w:rPr>
                <w:t>and among the Registrant and the other parties</w:t>
              </w:r>
            </w:hyperlink>
          </w:p>
        </w:tc>
        <w:tc>
          <w:tcPr>
            <w:tcW w:w="40" w:type="dxa"/>
            <w:vAlign w:val="bottom"/>
            <w:gridSpan w:val="2"/>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540" w:type="dxa"/>
            <w:vAlign w:val="bottom"/>
            <w:tcBorders>
              <w:bottom w:val="single" w:sz="8" w:color="0000EE"/>
            </w:tcBorders>
            <w:gridSpan w:val="2"/>
          </w:tcPr>
          <w:p>
            <w:pPr>
              <w:spacing w:after="0" w:line="194" w:lineRule="exact"/>
              <w:rPr>
                <w:rFonts w:ascii="Arial" w:cs="Arial" w:eastAsia="Arial" w:hAnsi="Arial"/>
                <w:sz w:val="18"/>
                <w:szCs w:val="18"/>
                <w:color w:val="0000EE"/>
                <w:w w:val="85"/>
              </w:rPr>
            </w:pPr>
            <w:hyperlink r:id="rId215">
              <w:r>
                <w:rPr>
                  <w:rFonts w:ascii="Arial" w:cs="Arial" w:eastAsia="Arial" w:hAnsi="Arial"/>
                  <w:sz w:val="18"/>
                  <w:szCs w:val="18"/>
                  <w:color w:val="0000EE"/>
                  <w:w w:val="85"/>
                </w:rPr>
                <w:t>thereto.</w:t>
              </w:r>
            </w:hyperlink>
          </w:p>
        </w:tc>
        <w:tc>
          <w:tcPr>
            <w:tcW w:w="2820" w:type="dxa"/>
            <w:vAlign w:val="bottom"/>
            <w:gridSpan w:val="29"/>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3"/>
              </w:rPr>
              <w:t>S-1/A</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89"/>
              </w:rPr>
              <w:t>August 11,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91"/>
              </w:rPr>
              <w:t>10.8</w:t>
            </w:r>
          </w:p>
        </w:tc>
      </w:tr>
      <w:tr>
        <w:trPr>
          <w:trHeight w:val="856"/>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3"/>
              </w:rPr>
              <w:t>S-1/A</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89"/>
              </w:rPr>
              <w:t>August 11,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10.12</w:t>
            </w:r>
          </w:p>
        </w:tc>
      </w:tr>
      <w:tr>
        <w:trPr>
          <w:trHeight w:val="629"/>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3"/>
              </w:rPr>
              <w:t>S-1/A</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89"/>
              </w:rPr>
              <w:t>August 11,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10.13</w:t>
            </w:r>
          </w:p>
        </w:tc>
      </w:tr>
      <w:tr>
        <w:trPr>
          <w:trHeight w:val="227"/>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3"/>
              </w:rPr>
              <w:t>S-1/A</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89"/>
              </w:rPr>
              <w:t>August 11,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91"/>
              </w:rPr>
              <w:t>10.3</w:t>
            </w:r>
          </w:p>
        </w:tc>
      </w:tr>
      <w:tr>
        <w:trPr>
          <w:trHeight w:val="415"/>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4"/>
              </w:rPr>
              <w:t>10-Q</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90"/>
              </w:rPr>
              <w:t>November 12,</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91"/>
              </w:rPr>
              <w:t>10.9</w:t>
            </w:r>
          </w:p>
        </w:tc>
      </w:tr>
      <w:tr>
        <w:trPr>
          <w:trHeight w:val="214"/>
        </w:trPr>
        <w:tc>
          <w:tcPr>
            <w:tcW w:w="680" w:type="dxa"/>
            <w:vAlign w:val="bottom"/>
          </w:tcPr>
          <w:p>
            <w:pPr>
              <w:spacing w:after="0"/>
              <w:rPr>
                <w:sz w:val="18"/>
                <w:szCs w:val="18"/>
                <w:color w:val="auto"/>
              </w:rPr>
            </w:pPr>
          </w:p>
        </w:tc>
        <w:tc>
          <w:tcPr>
            <w:tcW w:w="2000" w:type="dxa"/>
            <w:vAlign w:val="bottom"/>
          </w:tcPr>
          <w:p>
            <w:pPr>
              <w:jc w:val="center"/>
              <w:ind w:right="231"/>
              <w:spacing w:after="0"/>
              <w:rPr>
                <w:sz w:val="20"/>
                <w:szCs w:val="20"/>
                <w:color w:val="auto"/>
              </w:rPr>
            </w:pPr>
            <w:r>
              <w:rPr>
                <w:rFonts w:ascii="Arial" w:cs="Arial" w:eastAsia="Arial" w:hAnsi="Arial"/>
                <w:sz w:val="18"/>
                <w:szCs w:val="18"/>
                <w:color w:val="auto"/>
                <w:w w:val="89"/>
              </w:rPr>
              <w:t>2020</w:t>
            </w:r>
          </w:p>
        </w:tc>
        <w:tc>
          <w:tcPr>
            <w:tcW w:w="960" w:type="dxa"/>
            <w:vAlign w:val="bottom"/>
          </w:tcPr>
          <w:p>
            <w:pPr>
              <w:spacing w:after="0"/>
              <w:rPr>
                <w:sz w:val="18"/>
                <w:szCs w:val="18"/>
                <w:color w:val="auto"/>
              </w:rPr>
            </w:pPr>
          </w:p>
        </w:tc>
      </w:tr>
      <w:tr>
        <w:trPr>
          <w:trHeight w:val="227"/>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3"/>
              </w:rPr>
              <w:t>S-1/A</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89"/>
              </w:rPr>
              <w:t>August 11,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91"/>
              </w:rPr>
              <w:t>10.9</w:t>
            </w:r>
          </w:p>
        </w:tc>
      </w:tr>
      <w:tr>
        <w:trPr>
          <w:trHeight w:val="642"/>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3"/>
              </w:rPr>
              <w:t>S-1/A</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89"/>
              </w:rPr>
              <w:t>August 11,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10.10</w:t>
            </w:r>
          </w:p>
        </w:tc>
      </w:tr>
      <w:tr>
        <w:trPr>
          <w:trHeight w:val="642"/>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2"/>
              </w:rPr>
              <w:t>S-1</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91"/>
              </w:rPr>
              <w:t>July 27,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10.10</w:t>
            </w:r>
          </w:p>
        </w:tc>
      </w:tr>
      <w:tr>
        <w:trPr>
          <w:trHeight w:val="856"/>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2"/>
              </w:rPr>
              <w:t>S-1</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91"/>
              </w:rPr>
              <w:t>July 27,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10.11</w:t>
            </w:r>
          </w:p>
        </w:tc>
      </w:tr>
      <w:tr>
        <w:trPr>
          <w:trHeight w:val="1070"/>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2"/>
              </w:rPr>
              <w:t>S-1</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91"/>
              </w:rPr>
              <w:t>July 27,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10.12</w:t>
            </w:r>
          </w:p>
        </w:tc>
      </w:tr>
      <w:tr>
        <w:trPr>
          <w:trHeight w:val="856"/>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2"/>
              </w:rPr>
              <w:t>S-1</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91"/>
              </w:rPr>
              <w:t>July 27,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10.13</w:t>
            </w:r>
          </w:p>
        </w:tc>
      </w:tr>
      <w:tr>
        <w:trPr>
          <w:trHeight w:val="856"/>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2"/>
              </w:rPr>
              <w:t>S-1</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91"/>
              </w:rPr>
              <w:t>July 27,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10.14</w:t>
            </w:r>
          </w:p>
        </w:tc>
      </w:tr>
      <w:tr>
        <w:trPr>
          <w:trHeight w:val="642"/>
        </w:trPr>
        <w:tc>
          <w:tcPr>
            <w:tcW w:w="680" w:type="dxa"/>
            <w:vAlign w:val="bottom"/>
          </w:tcPr>
          <w:p>
            <w:pPr>
              <w:jc w:val="center"/>
              <w:ind w:right="171"/>
              <w:spacing w:after="0"/>
              <w:rPr>
                <w:sz w:val="20"/>
                <w:szCs w:val="20"/>
                <w:color w:val="auto"/>
              </w:rPr>
            </w:pPr>
            <w:r>
              <w:rPr>
                <w:rFonts w:ascii="Arial" w:cs="Arial" w:eastAsia="Arial" w:hAnsi="Arial"/>
                <w:sz w:val="18"/>
                <w:szCs w:val="18"/>
                <w:color w:val="auto"/>
                <w:w w:val="92"/>
              </w:rPr>
              <w:t>S-1</w:t>
            </w:r>
          </w:p>
        </w:tc>
        <w:tc>
          <w:tcPr>
            <w:tcW w:w="2000" w:type="dxa"/>
            <w:vAlign w:val="bottom"/>
          </w:tcPr>
          <w:p>
            <w:pPr>
              <w:jc w:val="center"/>
              <w:ind w:right="211"/>
              <w:spacing w:after="0"/>
              <w:rPr>
                <w:sz w:val="20"/>
                <w:szCs w:val="20"/>
                <w:color w:val="auto"/>
              </w:rPr>
            </w:pPr>
            <w:r>
              <w:rPr>
                <w:rFonts w:ascii="Arial" w:cs="Arial" w:eastAsia="Arial" w:hAnsi="Arial"/>
                <w:sz w:val="18"/>
                <w:szCs w:val="18"/>
                <w:color w:val="auto"/>
                <w:w w:val="91"/>
              </w:rPr>
              <w:t>July 27, 2020</w:t>
            </w: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8"/>
              </w:rPr>
              <w:t>10.15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68580</wp:posOffset>
            </wp:positionV>
            <wp:extent cx="71761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2">
            <w:col w:w="4620" w:space="480"/>
            <w:col w:w="5039"/>
          </w:cols>
          <w:pgMar w:left="320" w:top="121"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490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21"/>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3640" w:type="dxa"/>
            <w:vAlign w:val="bottom"/>
            <w:gridSpan w:val="24"/>
          </w:tcPr>
          <w:p>
            <w:pPr>
              <w:spacing w:after="0"/>
              <w:rPr>
                <w:rFonts w:ascii="Arial" w:cs="Arial" w:eastAsia="Arial" w:hAnsi="Arial"/>
                <w:sz w:val="18"/>
                <w:szCs w:val="18"/>
                <w:color w:val="0000EE"/>
                <w:w w:val="98"/>
              </w:rPr>
            </w:pPr>
            <w:hyperlink w:anchor="page156">
              <w:r>
                <w:rPr>
                  <w:rFonts w:ascii="Arial" w:cs="Arial" w:eastAsia="Arial" w:hAnsi="Arial"/>
                  <w:sz w:val="18"/>
                  <w:szCs w:val="18"/>
                  <w:color w:val="0000EE"/>
                  <w:w w:val="98"/>
                </w:rPr>
                <w:t>Offer Letter, dated September 7, 2017, by and</w:t>
              </w:r>
            </w:hyperlink>
          </w:p>
        </w:tc>
        <w:tc>
          <w:tcPr>
            <w:tcW w:w="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194"/>
        </w:trPr>
        <w:tc>
          <w:tcPr>
            <w:tcW w:w="1260" w:type="dxa"/>
            <w:vAlign w:val="bottom"/>
          </w:tcPr>
          <w:p>
            <w:pPr>
              <w:spacing w:after="0"/>
              <w:rPr>
                <w:sz w:val="16"/>
                <w:szCs w:val="16"/>
                <w:color w:val="auto"/>
              </w:rPr>
            </w:pPr>
          </w:p>
        </w:tc>
        <w:tc>
          <w:tcPr>
            <w:tcW w:w="326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w:anchor="page156">
              <w:r>
                <w:rPr>
                  <w:rFonts w:ascii="Arial" w:cs="Arial" w:eastAsia="Arial" w:hAnsi="Arial"/>
                  <w:sz w:val="18"/>
                  <w:szCs w:val="18"/>
                  <w:color w:val="0000EE"/>
                </w:rPr>
                <w:t>between Harmony</w:t>
              </w:r>
            </w:hyperlink>
          </w:p>
        </w:tc>
        <w:tc>
          <w:tcPr>
            <w:tcW w:w="38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rPr>
            </w:pPr>
            <w:hyperlink w:anchor="page156">
              <w:r>
                <w:rPr>
                  <w:rFonts w:ascii="Arial" w:cs="Arial" w:eastAsia="Arial" w:hAnsi="Arial"/>
                  <w:sz w:val="18"/>
                  <w:szCs w:val="18"/>
                  <w:color w:val="0000EE"/>
                </w:rPr>
                <w:t>Biosciences, LLC and Jeffrey Dierks</w:t>
              </w:r>
            </w:hyperlink>
            <w:r>
              <w:rPr>
                <w:rFonts w:ascii="Arial" w:cs="Arial" w:eastAsia="Arial" w:hAnsi="Arial"/>
                <w:sz w:val="18"/>
                <w:szCs w:val="18"/>
                <w:color w:val="000000"/>
              </w:rPr>
              <w:t>.</w:t>
            </w: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10.21</w:t>
            </w:r>
          </w:p>
        </w:tc>
        <w:tc>
          <w:tcPr>
            <w:tcW w:w="3640" w:type="dxa"/>
            <w:vAlign w:val="bottom"/>
            <w:gridSpan w:val="24"/>
          </w:tcPr>
          <w:p>
            <w:pPr>
              <w:spacing w:after="0" w:line="194" w:lineRule="exact"/>
              <w:rPr>
                <w:rFonts w:ascii="Arial" w:cs="Arial" w:eastAsia="Arial" w:hAnsi="Arial"/>
                <w:sz w:val="18"/>
                <w:szCs w:val="18"/>
                <w:color w:val="0000EE"/>
              </w:rPr>
            </w:pPr>
            <w:hyperlink r:id="rId217">
              <w:r>
                <w:rPr>
                  <w:rFonts w:ascii="Arial" w:cs="Arial" w:eastAsia="Arial" w:hAnsi="Arial"/>
                  <w:sz w:val="18"/>
                  <w:szCs w:val="18"/>
                  <w:color w:val="0000EE"/>
                </w:rPr>
                <w:t>Confidential Separation Agreement and</w:t>
              </w:r>
            </w:hyperlink>
          </w:p>
        </w:tc>
        <w:tc>
          <w:tcPr>
            <w:tcW w:w="860" w:type="dxa"/>
            <w:vAlign w:val="bottom"/>
          </w:tcPr>
          <w:p>
            <w:pPr>
              <w:ind w:left="280"/>
              <w:spacing w:after="0" w:line="194" w:lineRule="exact"/>
              <w:rPr>
                <w:sz w:val="20"/>
                <w:szCs w:val="20"/>
                <w:color w:val="auto"/>
              </w:rPr>
            </w:pPr>
            <w:r>
              <w:rPr>
                <w:rFonts w:ascii="Arial" w:cs="Arial" w:eastAsia="Arial" w:hAnsi="Arial"/>
                <w:sz w:val="18"/>
                <w:szCs w:val="18"/>
                <w:color w:val="auto"/>
              </w:rPr>
              <w:t>8-K</w:t>
            </w:r>
          </w:p>
        </w:tc>
        <w:tc>
          <w:tcPr>
            <w:tcW w:w="2020" w:type="dxa"/>
            <w:vAlign w:val="bottom"/>
          </w:tcPr>
          <w:p>
            <w:pPr>
              <w:spacing w:after="0"/>
              <w:rPr>
                <w:sz w:val="16"/>
                <w:szCs w:val="16"/>
                <w:color w:val="auto"/>
              </w:rPr>
            </w:pPr>
          </w:p>
        </w:tc>
        <w:tc>
          <w:tcPr>
            <w:tcW w:w="2840" w:type="dxa"/>
            <w:vAlign w:val="bottom"/>
          </w:tcPr>
          <w:p>
            <w:pPr>
              <w:ind w:left="600"/>
              <w:spacing w:after="0" w:line="194" w:lineRule="exact"/>
              <w:rPr>
                <w:sz w:val="20"/>
                <w:szCs w:val="20"/>
                <w:color w:val="auto"/>
              </w:rPr>
            </w:pPr>
            <w:r>
              <w:rPr>
                <w:rFonts w:ascii="Arial" w:cs="Arial" w:eastAsia="Arial" w:hAnsi="Arial"/>
                <w:sz w:val="18"/>
                <w:szCs w:val="18"/>
                <w:color w:val="auto"/>
              </w:rPr>
              <w:t>10.1</w:t>
            </w:r>
          </w:p>
        </w:tc>
      </w:tr>
      <w:tr>
        <w:trPr>
          <w:trHeight w:val="194"/>
        </w:trPr>
        <w:tc>
          <w:tcPr>
            <w:tcW w:w="1260" w:type="dxa"/>
            <w:vAlign w:val="bottom"/>
          </w:tcPr>
          <w:p>
            <w:pPr>
              <w:spacing w:after="0"/>
              <w:rPr>
                <w:sz w:val="16"/>
                <w:szCs w:val="16"/>
                <w:color w:val="auto"/>
              </w:rPr>
            </w:pPr>
          </w:p>
        </w:tc>
        <w:tc>
          <w:tcPr>
            <w:tcW w:w="262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88"/>
              </w:rPr>
            </w:pPr>
            <w:hyperlink r:id="rId217">
              <w:r>
                <w:rPr>
                  <w:rFonts w:ascii="Arial" w:cs="Arial" w:eastAsia="Arial" w:hAnsi="Arial"/>
                  <w:sz w:val="18"/>
                  <w:szCs w:val="18"/>
                  <w:color w:val="0000EE"/>
                  <w:w w:val="88"/>
                </w:rPr>
                <w:t>General Release, between Harmony</w:t>
              </w:r>
            </w:hyperlink>
          </w:p>
        </w:tc>
        <w:tc>
          <w:tcPr>
            <w:tcW w:w="200" w:type="dxa"/>
            <w:vAlign w:val="bottom"/>
            <w:tcBorders>
              <w:top w:val="single" w:sz="8" w:color="0000EE"/>
            </w:tcBorders>
            <w:gridSpan w:val="3"/>
          </w:tcPr>
          <w:p>
            <w:pPr>
              <w:spacing w:after="0"/>
              <w:rPr>
                <w:sz w:val="16"/>
                <w:szCs w:val="16"/>
                <w:color w:val="auto"/>
              </w:rPr>
            </w:pPr>
          </w:p>
        </w:tc>
        <w:tc>
          <w:tcPr>
            <w:tcW w:w="820" w:type="dxa"/>
            <w:vAlign w:val="bottom"/>
            <w:gridSpan w:val="12"/>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00" w:type="dxa"/>
            <w:vAlign w:val="bottom"/>
            <w:tcBorders>
              <w:bottom w:val="single" w:sz="8" w:color="0000EE"/>
            </w:tcBorders>
            <w:gridSpan w:val="21"/>
          </w:tcPr>
          <w:p>
            <w:pPr>
              <w:spacing w:after="0" w:line="194" w:lineRule="exact"/>
              <w:rPr>
                <w:rFonts w:ascii="Arial" w:cs="Arial" w:eastAsia="Arial" w:hAnsi="Arial"/>
                <w:sz w:val="18"/>
                <w:szCs w:val="18"/>
                <w:color w:val="0000EE"/>
                <w:w w:val="89"/>
              </w:rPr>
            </w:pPr>
            <w:hyperlink r:id="rId217">
              <w:r>
                <w:rPr>
                  <w:rFonts w:ascii="Arial" w:cs="Arial" w:eastAsia="Arial" w:hAnsi="Arial"/>
                  <w:sz w:val="18"/>
                  <w:szCs w:val="18"/>
                  <w:color w:val="0000EE"/>
                  <w:w w:val="89"/>
                </w:rPr>
                <w:t>Biosciences, LLC and Susan L. Drexler, dated</w:t>
              </w:r>
            </w:hyperlink>
          </w:p>
        </w:tc>
        <w:tc>
          <w:tcPr>
            <w:tcW w:w="34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1080" w:type="dxa"/>
            <w:vAlign w:val="bottom"/>
            <w:tcBorders>
              <w:bottom w:val="single" w:sz="8" w:color="0000EE"/>
            </w:tcBorders>
            <w:gridSpan w:val="4"/>
          </w:tcPr>
          <w:p>
            <w:pPr>
              <w:spacing w:after="0" w:line="194" w:lineRule="exact"/>
              <w:rPr>
                <w:rFonts w:ascii="Arial" w:cs="Arial" w:eastAsia="Arial" w:hAnsi="Arial"/>
                <w:sz w:val="18"/>
                <w:szCs w:val="18"/>
                <w:color w:val="0000EE"/>
                <w:w w:val="88"/>
              </w:rPr>
            </w:pPr>
            <w:hyperlink r:id="rId217">
              <w:r>
                <w:rPr>
                  <w:rFonts w:ascii="Arial" w:cs="Arial" w:eastAsia="Arial" w:hAnsi="Arial"/>
                  <w:sz w:val="18"/>
                  <w:szCs w:val="18"/>
                  <w:color w:val="0000EE"/>
                  <w:w w:val="88"/>
                </w:rPr>
                <w:t>March 4, 2021.</w:t>
              </w:r>
            </w:hyperlink>
          </w:p>
        </w:tc>
        <w:tc>
          <w:tcPr>
            <w:tcW w:w="2560" w:type="dxa"/>
            <w:vAlign w:val="bottom"/>
            <w:gridSpan w:val="20"/>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10.22</w:t>
            </w:r>
          </w:p>
        </w:tc>
        <w:tc>
          <w:tcPr>
            <w:tcW w:w="3360" w:type="dxa"/>
            <w:vAlign w:val="bottom"/>
            <w:tcBorders>
              <w:bottom w:val="single" w:sz="8" w:color="0000EE"/>
            </w:tcBorders>
            <w:gridSpan w:val="23"/>
          </w:tcPr>
          <w:p>
            <w:pPr>
              <w:spacing w:after="0" w:line="194" w:lineRule="exact"/>
              <w:rPr>
                <w:rFonts w:ascii="Arial" w:cs="Arial" w:eastAsia="Arial" w:hAnsi="Arial"/>
                <w:sz w:val="18"/>
                <w:szCs w:val="18"/>
                <w:color w:val="0000EE"/>
                <w:w w:val="89"/>
              </w:rPr>
            </w:pPr>
            <w:hyperlink r:id="rId218">
              <w:r>
                <w:rPr>
                  <w:rFonts w:ascii="Arial" w:cs="Arial" w:eastAsia="Arial" w:hAnsi="Arial"/>
                  <w:sz w:val="18"/>
                  <w:szCs w:val="18"/>
                  <w:color w:val="0000EE"/>
                  <w:w w:val="89"/>
                </w:rPr>
                <w:t>Employment Agreement, dated March 4, 2021,</w:t>
              </w:r>
            </w:hyperlink>
          </w:p>
        </w:tc>
        <w:tc>
          <w:tcPr>
            <w:tcW w:w="280" w:type="dxa"/>
            <w:vAlign w:val="bottom"/>
          </w:tcPr>
          <w:p>
            <w:pPr>
              <w:spacing w:after="0"/>
              <w:rPr>
                <w:sz w:val="16"/>
                <w:szCs w:val="16"/>
                <w:color w:val="auto"/>
              </w:rPr>
            </w:pPr>
          </w:p>
        </w:tc>
        <w:tc>
          <w:tcPr>
            <w:tcW w:w="860" w:type="dxa"/>
            <w:vAlign w:val="bottom"/>
          </w:tcPr>
          <w:p>
            <w:pPr>
              <w:ind w:left="280"/>
              <w:spacing w:after="0" w:line="194" w:lineRule="exact"/>
              <w:rPr>
                <w:sz w:val="20"/>
                <w:szCs w:val="20"/>
                <w:color w:val="auto"/>
              </w:rPr>
            </w:pPr>
            <w:r>
              <w:rPr>
                <w:rFonts w:ascii="Arial" w:cs="Arial" w:eastAsia="Arial" w:hAnsi="Arial"/>
                <w:sz w:val="18"/>
                <w:szCs w:val="18"/>
                <w:color w:val="auto"/>
              </w:rPr>
              <w:t>8-K</w:t>
            </w:r>
          </w:p>
        </w:tc>
        <w:tc>
          <w:tcPr>
            <w:tcW w:w="2020" w:type="dxa"/>
            <w:vAlign w:val="bottom"/>
          </w:tcPr>
          <w:p>
            <w:pPr>
              <w:ind w:left="300"/>
              <w:spacing w:after="0" w:line="194" w:lineRule="exact"/>
              <w:rPr>
                <w:sz w:val="20"/>
                <w:szCs w:val="20"/>
                <w:color w:val="auto"/>
              </w:rPr>
            </w:pPr>
            <w:r>
              <w:rPr>
                <w:rFonts w:ascii="Arial" w:cs="Arial" w:eastAsia="Arial" w:hAnsi="Arial"/>
                <w:sz w:val="18"/>
                <w:szCs w:val="18"/>
                <w:color w:val="auto"/>
              </w:rPr>
              <w:t>March 15, 2021</w:t>
            </w:r>
          </w:p>
        </w:tc>
        <w:tc>
          <w:tcPr>
            <w:tcW w:w="2840" w:type="dxa"/>
            <w:vAlign w:val="bottom"/>
          </w:tcPr>
          <w:p>
            <w:pPr>
              <w:ind w:left="600"/>
              <w:spacing w:after="0" w:line="194" w:lineRule="exact"/>
              <w:rPr>
                <w:sz w:val="20"/>
                <w:szCs w:val="20"/>
                <w:color w:val="auto"/>
              </w:rPr>
            </w:pPr>
            <w:r>
              <w:rPr>
                <w:rFonts w:ascii="Arial" w:cs="Arial" w:eastAsia="Arial" w:hAnsi="Arial"/>
                <w:sz w:val="18"/>
                <w:szCs w:val="18"/>
                <w:color w:val="auto"/>
              </w:rPr>
              <w:t>10.1</w:t>
            </w: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rPr>
            </w:pPr>
            <w:hyperlink r:id="rId218">
              <w:r>
                <w:rPr>
                  <w:rFonts w:ascii="Arial" w:cs="Arial" w:eastAsia="Arial" w:hAnsi="Arial"/>
                  <w:sz w:val="18"/>
                  <w:szCs w:val="18"/>
                  <w:color w:val="0000EE"/>
                </w:rPr>
                <w:t>between Harmony Biosciences, LLC and</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2920" w:type="dxa"/>
            <w:vAlign w:val="bottom"/>
            <w:tcBorders>
              <w:top w:val="single" w:sz="8" w:color="0000EE"/>
            </w:tcBorders>
            <w:gridSpan w:val="15"/>
          </w:tcPr>
          <w:p>
            <w:pPr>
              <w:spacing w:after="0" w:line="194" w:lineRule="exact"/>
              <w:rPr>
                <w:rFonts w:ascii="Arial" w:cs="Arial" w:eastAsia="Arial" w:hAnsi="Arial"/>
                <w:sz w:val="18"/>
                <w:szCs w:val="18"/>
                <w:color w:val="0000EE"/>
              </w:rPr>
            </w:pPr>
            <w:hyperlink r:id="rId218">
              <w:r>
                <w:rPr>
                  <w:rFonts w:ascii="Arial" w:cs="Arial" w:eastAsia="Arial" w:hAnsi="Arial"/>
                  <w:sz w:val="18"/>
                  <w:szCs w:val="18"/>
                  <w:color w:val="0000EE"/>
                </w:rPr>
                <w:t>Sandip Kapadia.</w:t>
              </w:r>
            </w:hyperlink>
          </w:p>
        </w:tc>
        <w:tc>
          <w:tcPr>
            <w:tcW w:w="720" w:type="dxa"/>
            <w:vAlign w:val="bottom"/>
            <w:gridSpan w:val="9"/>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21.1</w:t>
            </w:r>
          </w:p>
        </w:tc>
        <w:tc>
          <w:tcPr>
            <w:tcW w:w="3640" w:type="dxa"/>
            <w:vAlign w:val="bottom"/>
            <w:gridSpan w:val="24"/>
          </w:tcPr>
          <w:p>
            <w:pPr>
              <w:spacing w:after="0" w:line="194" w:lineRule="exact"/>
              <w:rPr>
                <w:rFonts w:ascii="Arial" w:cs="Arial" w:eastAsia="Arial" w:hAnsi="Arial"/>
                <w:sz w:val="18"/>
                <w:szCs w:val="18"/>
                <w:color w:val="0000EE"/>
              </w:rPr>
            </w:pPr>
            <w:hyperlink w:anchor="page158">
              <w:r>
                <w:rPr>
                  <w:rFonts w:ascii="Arial" w:cs="Arial" w:eastAsia="Arial" w:hAnsi="Arial"/>
                  <w:sz w:val="18"/>
                  <w:szCs w:val="18"/>
                  <w:color w:val="0000EE"/>
                </w:rPr>
                <w:t>List of Subsidiaries of Harmony Biosciences</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ind w:left="2720"/>
              <w:spacing w:after="0" w:line="194" w:lineRule="exact"/>
              <w:rPr>
                <w:sz w:val="20"/>
                <w:szCs w:val="20"/>
                <w:color w:val="auto"/>
              </w:rPr>
            </w:pPr>
            <w:r>
              <w:rPr>
                <w:rFonts w:ascii="Arial" w:cs="Arial" w:eastAsia="Arial" w:hAnsi="Arial"/>
                <w:sz w:val="18"/>
                <w:szCs w:val="18"/>
                <w:color w:val="auto"/>
                <w:w w:val="82"/>
              </w:rPr>
              <w:t>X</w:t>
            </w:r>
          </w:p>
        </w:tc>
      </w:tr>
      <w:tr>
        <w:trPr>
          <w:trHeight w:val="194"/>
        </w:trPr>
        <w:tc>
          <w:tcPr>
            <w:tcW w:w="1260" w:type="dxa"/>
            <w:vAlign w:val="bottom"/>
          </w:tcPr>
          <w:p>
            <w:pPr>
              <w:spacing w:after="0"/>
              <w:rPr>
                <w:sz w:val="16"/>
                <w:szCs w:val="16"/>
                <w:color w:val="auto"/>
              </w:rPr>
            </w:pPr>
          </w:p>
        </w:tc>
        <w:tc>
          <w:tcPr>
            <w:tcW w:w="3180" w:type="dxa"/>
            <w:vAlign w:val="bottom"/>
            <w:tcBorders>
              <w:top w:val="single" w:sz="8" w:color="0000EE"/>
            </w:tcBorders>
            <w:gridSpan w:val="17"/>
          </w:tcPr>
          <w:p>
            <w:pPr>
              <w:spacing w:after="0" w:line="194" w:lineRule="exact"/>
              <w:rPr>
                <w:rFonts w:ascii="Arial" w:cs="Arial" w:eastAsia="Arial" w:hAnsi="Arial"/>
                <w:sz w:val="18"/>
                <w:szCs w:val="18"/>
                <w:color w:val="0000EE"/>
              </w:rPr>
            </w:pPr>
            <w:hyperlink w:anchor="page158">
              <w:r>
                <w:rPr>
                  <w:rFonts w:ascii="Arial" w:cs="Arial" w:eastAsia="Arial" w:hAnsi="Arial"/>
                  <w:sz w:val="18"/>
                  <w:szCs w:val="18"/>
                  <w:color w:val="0000EE"/>
                </w:rPr>
                <w:t>Holdings, Inc</w:t>
              </w:r>
              <w:r>
                <w:rPr>
                  <w:rFonts w:ascii="Arial" w:cs="Arial" w:eastAsia="Arial" w:hAnsi="Arial"/>
                  <w:sz w:val="18"/>
                  <w:szCs w:val="18"/>
                  <w:color w:val="000000"/>
                </w:rPr>
                <w:t>.</w:t>
              </w:r>
            </w:hyperlink>
          </w:p>
        </w:tc>
        <w:tc>
          <w:tcPr>
            <w:tcW w:w="460" w:type="dxa"/>
            <w:vAlign w:val="bottom"/>
            <w:gridSpan w:val="7"/>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23.1</w:t>
            </w:r>
          </w:p>
        </w:tc>
        <w:tc>
          <w:tcPr>
            <w:tcW w:w="3640" w:type="dxa"/>
            <w:vAlign w:val="bottom"/>
            <w:gridSpan w:val="24"/>
          </w:tcPr>
          <w:p>
            <w:pPr>
              <w:spacing w:after="0" w:line="194" w:lineRule="exact"/>
              <w:rPr>
                <w:rFonts w:ascii="Arial" w:cs="Arial" w:eastAsia="Arial" w:hAnsi="Arial"/>
                <w:sz w:val="18"/>
                <w:szCs w:val="18"/>
                <w:color w:val="0000EE"/>
              </w:rPr>
            </w:pPr>
            <w:hyperlink w:anchor="page159">
              <w:r>
                <w:rPr>
                  <w:rFonts w:ascii="Arial" w:cs="Arial" w:eastAsia="Arial" w:hAnsi="Arial"/>
                  <w:sz w:val="18"/>
                  <w:szCs w:val="18"/>
                  <w:color w:val="0000EE"/>
                </w:rPr>
                <w:t>Consent of Independent Registered Public</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ind w:left="2720"/>
              <w:spacing w:after="0" w:line="194" w:lineRule="exact"/>
              <w:rPr>
                <w:sz w:val="20"/>
                <w:szCs w:val="20"/>
                <w:color w:val="auto"/>
              </w:rPr>
            </w:pPr>
            <w:r>
              <w:rPr>
                <w:rFonts w:ascii="Arial" w:cs="Arial" w:eastAsia="Arial" w:hAnsi="Arial"/>
                <w:sz w:val="18"/>
                <w:szCs w:val="18"/>
                <w:color w:val="auto"/>
                <w:w w:val="82"/>
              </w:rPr>
              <w:t>X</w:t>
            </w:r>
          </w:p>
        </w:tc>
      </w:tr>
      <w:tr>
        <w:trPr>
          <w:trHeight w:val="194"/>
        </w:trPr>
        <w:tc>
          <w:tcPr>
            <w:tcW w:w="1260" w:type="dxa"/>
            <w:vAlign w:val="bottom"/>
          </w:tcPr>
          <w:p>
            <w:pPr>
              <w:spacing w:after="0"/>
              <w:rPr>
                <w:sz w:val="16"/>
                <w:szCs w:val="16"/>
                <w:color w:val="auto"/>
              </w:rPr>
            </w:pPr>
          </w:p>
        </w:tc>
        <w:tc>
          <w:tcPr>
            <w:tcW w:w="122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Accounting Firm</w:t>
              </w:r>
            </w:hyperlink>
          </w:p>
        </w:tc>
        <w:tc>
          <w:tcPr>
            <w:tcW w:w="1780" w:type="dxa"/>
            <w:vAlign w:val="bottom"/>
            <w:tcBorders>
              <w:top w:val="single" w:sz="8" w:color="0000EE"/>
            </w:tcBorders>
            <w:gridSpan w:val="10"/>
          </w:tcPr>
          <w:p>
            <w:pPr>
              <w:spacing w:after="0"/>
              <w:rPr>
                <w:sz w:val="16"/>
                <w:szCs w:val="16"/>
                <w:color w:val="auto"/>
              </w:rPr>
            </w:pPr>
          </w:p>
        </w:tc>
        <w:tc>
          <w:tcPr>
            <w:tcW w:w="640" w:type="dxa"/>
            <w:vAlign w:val="bottom"/>
            <w:gridSpan w:val="8"/>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31.1</w:t>
            </w:r>
          </w:p>
        </w:tc>
        <w:tc>
          <w:tcPr>
            <w:tcW w:w="2860" w:type="dxa"/>
            <w:vAlign w:val="bottom"/>
            <w:tcBorders>
              <w:bottom w:val="single" w:sz="8" w:color="0000EE"/>
            </w:tcBorders>
            <w:gridSpan w:val="14"/>
          </w:tcPr>
          <w:p>
            <w:pPr>
              <w:spacing w:after="0" w:line="194" w:lineRule="exact"/>
              <w:rPr>
                <w:rFonts w:ascii="Arial" w:cs="Arial" w:eastAsia="Arial" w:hAnsi="Arial"/>
                <w:sz w:val="18"/>
                <w:szCs w:val="18"/>
                <w:color w:val="0000EE"/>
                <w:w w:val="93"/>
              </w:rPr>
            </w:pPr>
            <w:hyperlink w:anchor="page160">
              <w:r>
                <w:rPr>
                  <w:rFonts w:ascii="Arial" w:cs="Arial" w:eastAsia="Arial" w:hAnsi="Arial"/>
                  <w:sz w:val="18"/>
                  <w:szCs w:val="18"/>
                  <w:color w:val="0000EE"/>
                  <w:w w:val="93"/>
                </w:rPr>
                <w:t>Certification of Chief Executive Officer</w:t>
              </w:r>
            </w:hyperlink>
          </w:p>
        </w:tc>
        <w:tc>
          <w:tcPr>
            <w:tcW w:w="78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ind w:left="2720"/>
              <w:spacing w:after="0" w:line="194" w:lineRule="exact"/>
              <w:rPr>
                <w:sz w:val="20"/>
                <w:szCs w:val="20"/>
                <w:color w:val="auto"/>
              </w:rPr>
            </w:pPr>
            <w:r>
              <w:rPr>
                <w:rFonts w:ascii="Arial" w:cs="Arial" w:eastAsia="Arial" w:hAnsi="Arial"/>
                <w:sz w:val="18"/>
                <w:szCs w:val="18"/>
                <w:color w:val="auto"/>
                <w:w w:val="82"/>
              </w:rPr>
              <w:t>X</w:t>
            </w:r>
          </w:p>
        </w:tc>
      </w:tr>
      <w:tr>
        <w:trPr>
          <w:trHeight w:val="194"/>
        </w:trPr>
        <w:tc>
          <w:tcPr>
            <w:tcW w:w="1260" w:type="dxa"/>
            <w:vAlign w:val="bottom"/>
          </w:tcPr>
          <w:p>
            <w:pPr>
              <w:spacing w:after="0"/>
              <w:rPr>
                <w:sz w:val="16"/>
                <w:szCs w:val="16"/>
                <w:color w:val="auto"/>
              </w:rPr>
            </w:pPr>
          </w:p>
        </w:tc>
        <w:tc>
          <w:tcPr>
            <w:tcW w:w="3240" w:type="dxa"/>
            <w:vAlign w:val="bottom"/>
            <w:tcBorders>
              <w:bottom w:val="single" w:sz="8" w:color="0000EE"/>
            </w:tcBorders>
            <w:gridSpan w:val="19"/>
          </w:tcPr>
          <w:p>
            <w:pPr>
              <w:spacing w:after="0" w:line="194"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pursuant to Rules 13a-14(a) and 15d-14(a) of</w:t>
              </w:r>
            </w:hyperlink>
          </w:p>
        </w:tc>
        <w:tc>
          <w:tcPr>
            <w:tcW w:w="40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2840" w:type="dxa"/>
            <w:vAlign w:val="bottom"/>
            <w:tcBorders>
              <w:bottom w:val="single" w:sz="8" w:color="0000EE"/>
            </w:tcBorders>
            <w:gridSpan w:val="13"/>
          </w:tcPr>
          <w:p>
            <w:pPr>
              <w:spacing w:after="0" w:line="194"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the Securities Exchange Act of 1934, as</w:t>
              </w:r>
            </w:hyperlink>
          </w:p>
        </w:tc>
        <w:tc>
          <w:tcPr>
            <w:tcW w:w="800" w:type="dxa"/>
            <w:vAlign w:val="bottom"/>
            <w:gridSpan w:val="11"/>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220" w:type="dxa"/>
            <w:vAlign w:val="bottom"/>
            <w:tcBorders>
              <w:bottom w:val="single" w:sz="8" w:color="0000EE"/>
            </w:tcBorders>
            <w:gridSpan w:val="18"/>
          </w:tcPr>
          <w:p>
            <w:pPr>
              <w:spacing w:after="0" w:line="194" w:lineRule="exact"/>
              <w:rPr>
                <w:rFonts w:ascii="Arial" w:cs="Arial" w:eastAsia="Arial" w:hAnsi="Arial"/>
                <w:sz w:val="18"/>
                <w:szCs w:val="18"/>
                <w:color w:val="0000EE"/>
                <w:w w:val="86"/>
              </w:rPr>
            </w:pPr>
            <w:hyperlink w:anchor="page160">
              <w:r>
                <w:rPr>
                  <w:rFonts w:ascii="Arial" w:cs="Arial" w:eastAsia="Arial" w:hAnsi="Arial"/>
                  <w:sz w:val="18"/>
                  <w:szCs w:val="18"/>
                  <w:color w:val="0000EE"/>
                  <w:w w:val="86"/>
                </w:rPr>
                <w:t>amended, as adopted pursuant to Section 302</w:t>
              </w:r>
            </w:hyperlink>
          </w:p>
        </w:tc>
        <w:tc>
          <w:tcPr>
            <w:tcW w:w="420" w:type="dxa"/>
            <w:vAlign w:val="bottom"/>
            <w:gridSpan w:val="6"/>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rPr>
            </w:pPr>
            <w:hyperlink w:anchor="page160">
              <w:r>
                <w:rPr>
                  <w:rFonts w:ascii="Arial" w:cs="Arial" w:eastAsia="Arial" w:hAnsi="Arial"/>
                  <w:sz w:val="18"/>
                  <w:szCs w:val="18"/>
                  <w:color w:val="0000EE"/>
                </w:rPr>
                <w:t>of the Sarbanes-Oxley Act of 2002.</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31.2</w:t>
            </w:r>
          </w:p>
        </w:tc>
        <w:tc>
          <w:tcPr>
            <w:tcW w:w="2800" w:type="dxa"/>
            <w:vAlign w:val="bottom"/>
            <w:tcBorders>
              <w:bottom w:val="single" w:sz="8" w:color="0000EE"/>
            </w:tcBorders>
            <w:gridSpan w:val="11"/>
          </w:tcPr>
          <w:p>
            <w:pPr>
              <w:spacing w:after="0" w:line="194" w:lineRule="exact"/>
              <w:rPr>
                <w:rFonts w:ascii="Arial" w:cs="Arial" w:eastAsia="Arial" w:hAnsi="Arial"/>
                <w:sz w:val="18"/>
                <w:szCs w:val="18"/>
                <w:color w:val="0000EE"/>
                <w:w w:val="93"/>
              </w:rPr>
            </w:pPr>
            <w:hyperlink w:anchor="page161">
              <w:r>
                <w:rPr>
                  <w:rFonts w:ascii="Arial" w:cs="Arial" w:eastAsia="Arial" w:hAnsi="Arial"/>
                  <w:sz w:val="18"/>
                  <w:szCs w:val="18"/>
                  <w:color w:val="0000EE"/>
                  <w:w w:val="93"/>
                </w:rPr>
                <w:t>Certification of Chief Financial Officer</w:t>
              </w:r>
            </w:hyperlink>
          </w:p>
        </w:tc>
        <w:tc>
          <w:tcPr>
            <w:tcW w:w="840" w:type="dxa"/>
            <w:vAlign w:val="bottom"/>
            <w:gridSpan w:val="13"/>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ind w:left="2720"/>
              <w:spacing w:after="0" w:line="194" w:lineRule="exact"/>
              <w:rPr>
                <w:sz w:val="20"/>
                <w:szCs w:val="20"/>
                <w:color w:val="auto"/>
              </w:rPr>
            </w:pPr>
            <w:r>
              <w:rPr>
                <w:rFonts w:ascii="Arial" w:cs="Arial" w:eastAsia="Arial" w:hAnsi="Arial"/>
                <w:sz w:val="18"/>
                <w:szCs w:val="18"/>
                <w:color w:val="auto"/>
                <w:w w:val="82"/>
              </w:rPr>
              <w:t>X</w:t>
            </w:r>
          </w:p>
        </w:tc>
      </w:tr>
      <w:tr>
        <w:trPr>
          <w:trHeight w:val="194"/>
        </w:trPr>
        <w:tc>
          <w:tcPr>
            <w:tcW w:w="1260" w:type="dxa"/>
            <w:vAlign w:val="bottom"/>
          </w:tcPr>
          <w:p>
            <w:pPr>
              <w:spacing w:after="0"/>
              <w:rPr>
                <w:sz w:val="16"/>
                <w:szCs w:val="16"/>
                <w:color w:val="auto"/>
              </w:rPr>
            </w:pPr>
          </w:p>
        </w:tc>
        <w:tc>
          <w:tcPr>
            <w:tcW w:w="3240" w:type="dxa"/>
            <w:vAlign w:val="bottom"/>
            <w:tcBorders>
              <w:bottom w:val="single" w:sz="8" w:color="0000EE"/>
            </w:tcBorders>
            <w:gridSpan w:val="19"/>
          </w:tcPr>
          <w:p>
            <w:pPr>
              <w:spacing w:after="0" w:line="194"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pursuant to Rules 13a-14(a) and 15d-14(a) of</w:t>
              </w:r>
            </w:hyperlink>
          </w:p>
        </w:tc>
        <w:tc>
          <w:tcPr>
            <w:tcW w:w="40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2840" w:type="dxa"/>
            <w:vAlign w:val="bottom"/>
            <w:tcBorders>
              <w:bottom w:val="single" w:sz="8" w:color="0000EE"/>
            </w:tcBorders>
            <w:gridSpan w:val="13"/>
          </w:tcPr>
          <w:p>
            <w:pPr>
              <w:spacing w:after="0" w:line="194"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the Securities Exchange Act of 1934, as</w:t>
              </w:r>
            </w:hyperlink>
          </w:p>
        </w:tc>
        <w:tc>
          <w:tcPr>
            <w:tcW w:w="800" w:type="dxa"/>
            <w:vAlign w:val="bottom"/>
            <w:gridSpan w:val="11"/>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220" w:type="dxa"/>
            <w:vAlign w:val="bottom"/>
            <w:tcBorders>
              <w:bottom w:val="single" w:sz="8" w:color="0000EE"/>
            </w:tcBorders>
            <w:gridSpan w:val="18"/>
          </w:tcPr>
          <w:p>
            <w:pPr>
              <w:spacing w:after="0" w:line="194" w:lineRule="exact"/>
              <w:rPr>
                <w:rFonts w:ascii="Arial" w:cs="Arial" w:eastAsia="Arial" w:hAnsi="Arial"/>
                <w:sz w:val="18"/>
                <w:szCs w:val="18"/>
                <w:color w:val="0000EE"/>
                <w:w w:val="86"/>
              </w:rPr>
            </w:pPr>
            <w:hyperlink w:anchor="page161">
              <w:r>
                <w:rPr>
                  <w:rFonts w:ascii="Arial" w:cs="Arial" w:eastAsia="Arial" w:hAnsi="Arial"/>
                  <w:sz w:val="18"/>
                  <w:szCs w:val="18"/>
                  <w:color w:val="0000EE"/>
                  <w:w w:val="86"/>
                </w:rPr>
                <w:t>amended, as adopted pursuant to Section 302</w:t>
              </w:r>
            </w:hyperlink>
          </w:p>
        </w:tc>
        <w:tc>
          <w:tcPr>
            <w:tcW w:w="420" w:type="dxa"/>
            <w:vAlign w:val="bottom"/>
            <w:gridSpan w:val="6"/>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rPr>
            </w:pPr>
            <w:hyperlink w:anchor="page161">
              <w:r>
                <w:rPr>
                  <w:rFonts w:ascii="Arial" w:cs="Arial" w:eastAsia="Arial" w:hAnsi="Arial"/>
                  <w:sz w:val="18"/>
                  <w:szCs w:val="18"/>
                  <w:color w:val="0000EE"/>
                </w:rPr>
                <w:t>of the Sarbanes-Oxley Act of 2002</w:t>
              </w:r>
              <w:r>
                <w:rPr>
                  <w:rFonts w:ascii="Arial" w:cs="Arial" w:eastAsia="Arial" w:hAnsi="Arial"/>
                  <w:sz w:val="18"/>
                  <w:szCs w:val="18"/>
                  <w:color w:val="000000"/>
                </w:rPr>
                <w:t>.</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32.1**</w:t>
            </w:r>
          </w:p>
        </w:tc>
        <w:tc>
          <w:tcPr>
            <w:tcW w:w="2860" w:type="dxa"/>
            <w:vAlign w:val="bottom"/>
            <w:tcBorders>
              <w:bottom w:val="single" w:sz="8" w:color="0000EE"/>
            </w:tcBorders>
            <w:gridSpan w:val="14"/>
          </w:tcPr>
          <w:p>
            <w:pPr>
              <w:spacing w:after="0" w:line="194" w:lineRule="exact"/>
              <w:rPr>
                <w:rFonts w:ascii="Arial" w:cs="Arial" w:eastAsia="Arial" w:hAnsi="Arial"/>
                <w:sz w:val="18"/>
                <w:szCs w:val="18"/>
                <w:color w:val="0000EE"/>
                <w:w w:val="93"/>
              </w:rPr>
            </w:pPr>
            <w:hyperlink w:anchor="page162">
              <w:r>
                <w:rPr>
                  <w:rFonts w:ascii="Arial" w:cs="Arial" w:eastAsia="Arial" w:hAnsi="Arial"/>
                  <w:sz w:val="18"/>
                  <w:szCs w:val="18"/>
                  <w:color w:val="0000EE"/>
                  <w:w w:val="93"/>
                </w:rPr>
                <w:t>Certification of Chief Executive Officer</w:t>
              </w:r>
            </w:hyperlink>
          </w:p>
        </w:tc>
        <w:tc>
          <w:tcPr>
            <w:tcW w:w="78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ind w:left="2720"/>
              <w:spacing w:after="0" w:line="194" w:lineRule="exact"/>
              <w:rPr>
                <w:sz w:val="20"/>
                <w:szCs w:val="20"/>
                <w:color w:val="auto"/>
              </w:rPr>
            </w:pPr>
            <w:r>
              <w:rPr>
                <w:rFonts w:ascii="Arial" w:cs="Arial" w:eastAsia="Arial" w:hAnsi="Arial"/>
                <w:sz w:val="18"/>
                <w:szCs w:val="18"/>
                <w:color w:val="auto"/>
                <w:w w:val="82"/>
              </w:rPr>
              <w:t>X</w:t>
            </w: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w w:val="94"/>
              </w:rPr>
            </w:pPr>
            <w:hyperlink w:anchor="page162">
              <w:r>
                <w:rPr>
                  <w:rFonts w:ascii="Arial" w:cs="Arial" w:eastAsia="Arial" w:hAnsi="Arial"/>
                  <w:sz w:val="18"/>
                  <w:szCs w:val="18"/>
                  <w:color w:val="0000EE"/>
                  <w:w w:val="94"/>
                </w:rPr>
                <w:t>pursuant to 18 U.S.C. Section 1350, as adopted</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20" w:type="dxa"/>
            <w:vAlign w:val="bottom"/>
            <w:tcBorders>
              <w:top w:val="single" w:sz="8" w:color="0000EE"/>
              <w:bottom w:val="single" w:sz="8" w:color="0000EE"/>
            </w:tcBorders>
            <w:gridSpan w:val="22"/>
          </w:tcPr>
          <w:p>
            <w:pPr>
              <w:spacing w:after="0" w:line="194"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pursuant to Section 906 of the Sarbanes-Oxley</w:t>
              </w:r>
            </w:hyperlink>
          </w:p>
        </w:tc>
        <w:tc>
          <w:tcPr>
            <w:tcW w:w="4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rPr>
            </w:pPr>
            <w:hyperlink w:anchor="page162">
              <w:r>
                <w:rPr>
                  <w:rFonts w:ascii="Arial" w:cs="Arial" w:eastAsia="Arial" w:hAnsi="Arial"/>
                  <w:sz w:val="18"/>
                  <w:szCs w:val="18"/>
                  <w:color w:val="0000EE"/>
                </w:rPr>
                <w:t>Act of 2002</w:t>
              </w:r>
              <w:r>
                <w:rPr>
                  <w:rFonts w:ascii="Arial" w:cs="Arial" w:eastAsia="Arial" w:hAnsi="Arial"/>
                  <w:sz w:val="18"/>
                  <w:szCs w:val="18"/>
                  <w:color w:val="000000"/>
                </w:rPr>
                <w:t>.</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line="194" w:lineRule="exact"/>
              <w:rPr>
                <w:sz w:val="20"/>
                <w:szCs w:val="20"/>
                <w:color w:val="auto"/>
              </w:rPr>
            </w:pPr>
            <w:r>
              <w:rPr>
                <w:rFonts w:ascii="Arial" w:cs="Arial" w:eastAsia="Arial" w:hAnsi="Arial"/>
                <w:sz w:val="18"/>
                <w:szCs w:val="18"/>
                <w:color w:val="auto"/>
              </w:rPr>
              <w:t>32.2**</w:t>
            </w:r>
          </w:p>
        </w:tc>
        <w:tc>
          <w:tcPr>
            <w:tcW w:w="3640" w:type="dxa"/>
            <w:vAlign w:val="bottom"/>
            <w:gridSpan w:val="24"/>
          </w:tcPr>
          <w:p>
            <w:pPr>
              <w:spacing w:after="0" w:line="194" w:lineRule="exact"/>
              <w:rPr>
                <w:rFonts w:ascii="Arial" w:cs="Arial" w:eastAsia="Arial" w:hAnsi="Arial"/>
                <w:sz w:val="18"/>
                <w:szCs w:val="18"/>
                <w:color w:val="0000EE"/>
              </w:rPr>
            </w:pPr>
            <w:hyperlink w:anchor="page163">
              <w:r>
                <w:rPr>
                  <w:rFonts w:ascii="Arial" w:cs="Arial" w:eastAsia="Arial" w:hAnsi="Arial"/>
                  <w:sz w:val="18"/>
                  <w:szCs w:val="18"/>
                  <w:color w:val="0000EE"/>
                </w:rPr>
                <w:t>Certification of Chief Financial Officer</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ind w:left="2720"/>
              <w:spacing w:after="0" w:line="194" w:lineRule="exact"/>
              <w:rPr>
                <w:sz w:val="20"/>
                <w:szCs w:val="20"/>
                <w:color w:val="auto"/>
              </w:rPr>
            </w:pPr>
            <w:r>
              <w:rPr>
                <w:rFonts w:ascii="Arial" w:cs="Arial" w:eastAsia="Arial" w:hAnsi="Arial"/>
                <w:sz w:val="18"/>
                <w:szCs w:val="18"/>
                <w:color w:val="auto"/>
                <w:w w:val="82"/>
              </w:rPr>
              <w:t>X</w:t>
            </w:r>
          </w:p>
        </w:tc>
      </w:tr>
      <w:tr>
        <w:trPr>
          <w:trHeight w:val="20"/>
        </w:trPr>
        <w:tc>
          <w:tcPr>
            <w:tcW w:w="1260" w:type="dxa"/>
            <w:vAlign w:val="bottom"/>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pursuant to 18 U.S.C. Section 1350, as adopted</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320" w:type="dxa"/>
            <w:vAlign w:val="bottom"/>
            <w:tcBorders>
              <w:top w:val="single" w:sz="8" w:color="0000EE"/>
              <w:bottom w:val="single" w:sz="8" w:color="0000EE"/>
            </w:tcBorders>
            <w:gridSpan w:val="22"/>
          </w:tcPr>
          <w:p>
            <w:pPr>
              <w:spacing w:after="0" w:line="194"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pursuant to Section 906 of the Sarbanes-Oxley</w:t>
              </w:r>
            </w:hyperlink>
          </w:p>
        </w:tc>
        <w:tc>
          <w:tcPr>
            <w:tcW w:w="4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3640" w:type="dxa"/>
            <w:vAlign w:val="bottom"/>
            <w:gridSpan w:val="24"/>
          </w:tcPr>
          <w:p>
            <w:pPr>
              <w:spacing w:after="0" w:line="194" w:lineRule="exact"/>
              <w:rPr>
                <w:rFonts w:ascii="Arial" w:cs="Arial" w:eastAsia="Arial" w:hAnsi="Arial"/>
                <w:sz w:val="18"/>
                <w:szCs w:val="18"/>
                <w:color w:val="0000EE"/>
              </w:rPr>
            </w:pPr>
            <w:hyperlink w:anchor="page163">
              <w:r>
                <w:rPr>
                  <w:rFonts w:ascii="Arial" w:cs="Arial" w:eastAsia="Arial" w:hAnsi="Arial"/>
                  <w:sz w:val="18"/>
                  <w:szCs w:val="18"/>
                  <w:color w:val="0000EE"/>
                </w:rPr>
                <w:t>Act of 2002</w:t>
              </w:r>
              <w:r>
                <w:rPr>
                  <w:rFonts w:ascii="Arial" w:cs="Arial" w:eastAsia="Arial" w:hAnsi="Arial"/>
                  <w:sz w:val="18"/>
                  <w:szCs w:val="18"/>
                  <w:color w:val="000000"/>
                </w:rPr>
                <w:t>.</w:t>
              </w:r>
            </w:hyperlink>
          </w:p>
        </w:tc>
        <w:tc>
          <w:tcPr>
            <w:tcW w:w="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0" w:type="dxa"/>
            <w:vAlign w:val="bottom"/>
            <w:gridSpan w:val="2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20"/>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3640" w:type="dxa"/>
            <w:vAlign w:val="bottom"/>
            <w:gridSpan w:val="24"/>
          </w:tcPr>
          <w:p>
            <w:pPr>
              <w:spacing w:after="0"/>
              <w:rPr>
                <w:sz w:val="20"/>
                <w:szCs w:val="20"/>
                <w:color w:val="auto"/>
              </w:rPr>
            </w:pPr>
            <w:r>
              <w:rPr>
                <w:rFonts w:ascii="Arial" w:cs="Arial" w:eastAsia="Arial" w:hAnsi="Arial"/>
                <w:sz w:val="18"/>
                <w:szCs w:val="18"/>
                <w:color w:val="auto"/>
              </w:rPr>
              <w:t>The following financial statements from the</w:t>
            </w:r>
          </w:p>
        </w:tc>
        <w:tc>
          <w:tcPr>
            <w:tcW w:w="8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Company's Yearly Report on Form 10-K for</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the fiscal year ended December 31, 2020</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formatted in Inline XBRL: (i) Balance Sheets,</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(ii) Statements of Operations, (iii) Statements</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of Convertible Preferred Stock and</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Stockholders' Equity (Deficit) and (vi) Notes</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to Financial Statements, tagged as blocks of</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18"/>
                <w:szCs w:val="18"/>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text and including detailed tags.</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3640" w:type="dxa"/>
            <w:vAlign w:val="bottom"/>
            <w:gridSpan w:val="24"/>
          </w:tcPr>
          <w:p>
            <w:pPr>
              <w:spacing w:after="0"/>
              <w:rPr>
                <w:sz w:val="20"/>
                <w:szCs w:val="20"/>
                <w:color w:val="auto"/>
              </w:rPr>
            </w:pPr>
            <w:r>
              <w:rPr>
                <w:rFonts w:ascii="Arial" w:cs="Arial" w:eastAsia="Arial" w:hAnsi="Arial"/>
                <w:sz w:val="18"/>
                <w:szCs w:val="18"/>
                <w:color w:val="auto"/>
                <w:w w:val="97"/>
              </w:rPr>
              <w:t>Cover Page Interactive Data File (formatted as</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27"/>
        </w:trPr>
        <w:tc>
          <w:tcPr>
            <w:tcW w:w="1260" w:type="dxa"/>
            <w:vAlign w:val="bottom"/>
          </w:tcPr>
          <w:p>
            <w:pPr>
              <w:spacing w:after="0"/>
              <w:rPr>
                <w:sz w:val="19"/>
                <w:szCs w:val="19"/>
                <w:color w:val="auto"/>
              </w:rPr>
            </w:pPr>
          </w:p>
        </w:tc>
        <w:tc>
          <w:tcPr>
            <w:tcW w:w="3640" w:type="dxa"/>
            <w:vAlign w:val="bottom"/>
            <w:gridSpan w:val="24"/>
          </w:tcPr>
          <w:p>
            <w:pPr>
              <w:spacing w:after="0"/>
              <w:rPr>
                <w:sz w:val="20"/>
                <w:szCs w:val="20"/>
                <w:color w:val="auto"/>
              </w:rPr>
            </w:pPr>
            <w:r>
              <w:rPr>
                <w:rFonts w:ascii="Arial" w:cs="Arial" w:eastAsia="Arial" w:hAnsi="Arial"/>
                <w:sz w:val="18"/>
                <w:szCs w:val="18"/>
                <w:color w:val="auto"/>
              </w:rPr>
              <w:t>Inline XBRL and contained in Exhibit 101)</w:t>
            </w:r>
          </w:p>
        </w:tc>
        <w:tc>
          <w:tcPr>
            <w:tcW w:w="8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8750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154" w:lineRule="exact"/>
        <w:rPr>
          <w:sz w:val="20"/>
          <w:szCs w:val="20"/>
          <w:color w:val="auto"/>
        </w:rPr>
      </w:pPr>
    </w:p>
    <w:p>
      <w:pPr>
        <w:ind w:left="440" w:hanging="433"/>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p>
    <w:p>
      <w:pPr>
        <w:ind w:left="440" w:hanging="433"/>
        <w:spacing w:after="0" w:line="256"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Harmony Biosciences Holdings, Inc. under the</w:t>
      </w:r>
    </w:p>
    <w:p>
      <w:pPr>
        <w:spacing w:after="0" w:line="18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06" w:right="3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8"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Securities Act of 1933, as amended, or the Securities Exchange Act of 1934, as amended, whether made before or after the date of this Annual Report on Form 10-K, irrespective of any general incorporation language contained in such filing.</w:t>
      </w:r>
    </w:p>
    <w:p>
      <w:pPr>
        <w:spacing w:after="0" w:line="1" w:lineRule="exact"/>
        <w:rPr>
          <w:sz w:val="20"/>
          <w:szCs w:val="20"/>
          <w:color w:val="auto"/>
        </w:rPr>
      </w:pPr>
    </w:p>
    <w:p>
      <w:pPr>
        <w:ind w:left="440" w:hanging="433"/>
        <w:spacing w:after="0"/>
        <w:tabs>
          <w:tab w:leader="none" w:pos="4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right="460" w:firstLine="896"/>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HARMONY BIOSCIENCES HOLDINGS, INC.</w:t>
      </w:r>
    </w:p>
    <w:p>
      <w:pPr>
        <w:spacing w:after="0" w:line="305" w:lineRule="exact"/>
        <w:rPr>
          <w:sz w:val="20"/>
          <w:szCs w:val="20"/>
          <w:color w:val="auto"/>
        </w:rPr>
      </w:pPr>
    </w:p>
    <w:tbl>
      <w:tblPr>
        <w:tblLayout w:type="fixed"/>
        <w:tblInd w:w="5680" w:type="dxa"/>
        <w:tblCellMar>
          <w:top w:w="0" w:type="dxa"/>
          <w:left w:w="0" w:type="dxa"/>
          <w:bottom w:w="0" w:type="dxa"/>
          <w:right w:w="0" w:type="dxa"/>
        </w:tblCellMar>
      </w:tblPr>
      <w:tr>
        <w:trPr>
          <w:trHeight w:val="28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C. Jacobs</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ind w:left="40"/>
              <w:spacing w:after="0"/>
              <w:rPr>
                <w:sz w:val="20"/>
                <w:szCs w:val="20"/>
                <w:color w:val="auto"/>
              </w:rPr>
            </w:pPr>
            <w:r>
              <w:rPr>
                <w:rFonts w:ascii="Arial" w:cs="Arial" w:eastAsia="Arial" w:hAnsi="Arial"/>
                <w:sz w:val="18"/>
                <w:szCs w:val="18"/>
                <w:color w:val="auto"/>
              </w:rPr>
              <w:t>John C. Jacobs</w:t>
            </w:r>
          </w:p>
        </w:tc>
      </w:tr>
      <w:tr>
        <w:trPr>
          <w:trHeight w:val="24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p>
        </w:tc>
      </w:tr>
      <w:tr>
        <w:trPr>
          <w:trHeight w:val="241"/>
        </w:trPr>
        <w:tc>
          <w:tcPr>
            <w:tcW w:w="86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25, 2021</w:t>
      </w:r>
    </w:p>
    <w:p>
      <w:pPr>
        <w:spacing w:after="0" w:line="198" w:lineRule="exact"/>
        <w:rPr>
          <w:sz w:val="20"/>
          <w:szCs w:val="20"/>
          <w:color w:val="auto"/>
        </w:rPr>
      </w:pPr>
    </w:p>
    <w:p>
      <w:pPr>
        <w:ind w:right="260" w:firstLine="896"/>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p>
      <w:pPr>
        <w:ind w:left="2020"/>
        <w:spacing w:after="0"/>
        <w:tabs>
          <w:tab w:leader="none" w:pos="6680" w:val="left"/>
          <w:tab w:leader="none" w:pos="99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33020</wp:posOffset>
            </wp:positionV>
            <wp:extent cx="70656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06564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30314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6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John C. Jacobs</w:t>
      </w:r>
    </w:p>
    <w:p>
      <w:pPr>
        <w:spacing w:after="0" w:line="368"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Susan L.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30314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7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Susan L. Drexler</w:t>
      </w:r>
    </w:p>
    <w:p>
      <w:pPr>
        <w:spacing w:after="0" w:line="39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Jeffrey S. Aronin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30314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7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Jeffrey S. Aronin</w:t>
      </w:r>
    </w:p>
    <w:p>
      <w:pPr>
        <w:spacing w:after="0" w:line="3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Antonio Gracias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30314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9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Antonio Gracias</w:t>
      </w:r>
    </w:p>
    <w:p>
      <w:pPr>
        <w:spacing w:after="0" w:line="3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R. Mark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30314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6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R. Mark Graf</w:t>
      </w:r>
    </w:p>
    <w:p>
      <w:pPr>
        <w:spacing w:after="0" w:line="200" w:lineRule="exact"/>
        <w:rPr>
          <w:sz w:val="20"/>
          <w:szCs w:val="20"/>
          <w:color w:val="auto"/>
        </w:rPr>
      </w:pPr>
    </w:p>
    <w:p>
      <w:pPr>
        <w:spacing w:after="0" w:line="23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Eric Motley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30314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6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Eric Motley</w:t>
      </w:r>
    </w:p>
    <w:p>
      <w:pPr>
        <w:spacing w:after="0" w:line="200" w:lineRule="exact"/>
        <w:rPr>
          <w:sz w:val="20"/>
          <w:szCs w:val="20"/>
          <w:color w:val="auto"/>
        </w:rPr>
      </w:pPr>
    </w:p>
    <w:p>
      <w:pPr>
        <w:spacing w:after="0" w:line="288"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Jack Bech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30314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9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Jack Bech Nielsen</w:t>
      </w: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Juan A. Sabater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30314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6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Juan A. Sabater</w:t>
      </w:r>
    </w:p>
    <w:p>
      <w:pPr>
        <w:spacing w:after="0" w:line="200" w:lineRule="exact"/>
        <w:rPr>
          <w:sz w:val="20"/>
          <w:szCs w:val="20"/>
          <w:color w:val="auto"/>
        </w:rPr>
      </w:pPr>
    </w:p>
    <w:p>
      <w:pPr>
        <w:spacing w:after="0" w:line="31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Gary Sender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30314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6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Gary Sender</w:t>
      </w:r>
    </w:p>
    <w:p>
      <w:pPr>
        <w:spacing w:after="0" w:line="200" w:lineRule="exact"/>
        <w:rPr>
          <w:sz w:val="20"/>
          <w:szCs w:val="20"/>
          <w:color w:val="auto"/>
        </w:rPr>
      </w:pPr>
    </w:p>
    <w:p>
      <w:pPr>
        <w:spacing w:after="0" w:line="31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Andreas 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30314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3031490" cy="8255"/>
                    </a:xfrm>
                    <a:prstGeom prst="rect">
                      <a:avLst/>
                    </a:prstGeom>
                    <a:noFill/>
                  </pic:spPr>
                </pic:pic>
              </a:graphicData>
            </a:graphic>
          </wp:anchor>
        </w:drawing>
      </w:r>
    </w:p>
    <w:p>
      <w:pPr>
        <w:spacing w:after="0" w:line="6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Andreas Wicki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President, Chief Executive Officer, and Director</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Chief Financial Officer and Treasurer (Principal</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Financial Officer and Principal Accounting Officer)</w:t>
      </w:r>
    </w:p>
    <w:p>
      <w:pPr>
        <w:spacing w:after="0" w:line="200" w:lineRule="exact"/>
        <w:rPr>
          <w:sz w:val="20"/>
          <w:szCs w:val="20"/>
          <w:color w:val="auto"/>
        </w:rPr>
      </w:pPr>
    </w:p>
    <w:p>
      <w:pPr>
        <w:spacing w:after="0" w:line="36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March 25, 2021</w:t>
      </w:r>
    </w:p>
    <w:p>
      <w:pPr>
        <w:spacing w:after="0" w:line="477" w:lineRule="exact"/>
        <w:rPr>
          <w:sz w:val="20"/>
          <w:szCs w:val="20"/>
          <w:color w:val="auto"/>
        </w:rPr>
      </w:pPr>
    </w:p>
    <w:p>
      <w:pPr>
        <w:sectPr>
          <w:pgSz w:w="11900" w:h="16838" w:orient="portrait"/>
          <w:cols w:equalWidth="0" w:num="3">
            <w:col w:w="4300" w:space="720"/>
            <w:col w:w="3800" w:space="720"/>
            <w:col w:w="1700"/>
          </w:cols>
          <w:pgMar w:left="320" w:top="121"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left="440"/>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40"/>
          </w:cols>
          <w:pgMar w:left="320" w:top="121" w:right="33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21"/>
          <w:szCs w:val="21"/>
          <w:b w:val="1"/>
          <w:bCs w:val="1"/>
          <w:color w:val="auto"/>
        </w:rPr>
        <w:t>Exhibit 4.3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REGISTRANT’S SECURITIES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REGISTERED PURSUANT TO SECTION 12 OF</w:t>
      </w:r>
    </w:p>
    <w:p>
      <w:pPr>
        <w:jc w:val="center"/>
        <w:spacing w:after="0"/>
        <w:rPr>
          <w:sz w:val="20"/>
          <w:szCs w:val="20"/>
          <w:color w:val="auto"/>
        </w:rPr>
      </w:pPr>
      <w:r>
        <w:rPr>
          <w:rFonts w:ascii="Arial" w:cs="Arial" w:eastAsia="Arial" w:hAnsi="Arial"/>
          <w:sz w:val="21"/>
          <w:szCs w:val="21"/>
          <w:b w:val="1"/>
          <w:bCs w:val="1"/>
          <w:color w:val="auto"/>
        </w:rPr>
        <w:t>THE SECURITIES EXCHANGE ACT OF 1934</w:t>
      </w:r>
    </w:p>
    <w:p>
      <w:pPr>
        <w:spacing w:after="0" w:line="209" w:lineRule="exact"/>
        <w:rPr>
          <w:sz w:val="20"/>
          <w:szCs w:val="20"/>
          <w:color w:val="auto"/>
        </w:rPr>
      </w:pPr>
    </w:p>
    <w:p>
      <w:pPr>
        <w:ind w:right="60" w:firstLine="864"/>
        <w:spacing w:after="0" w:line="254" w:lineRule="auto"/>
        <w:rPr>
          <w:sz w:val="20"/>
          <w:szCs w:val="20"/>
          <w:color w:val="auto"/>
        </w:rPr>
      </w:pPr>
      <w:r>
        <w:rPr>
          <w:rFonts w:ascii="Arial" w:cs="Arial" w:eastAsia="Arial" w:hAnsi="Arial"/>
          <w:sz w:val="21"/>
          <w:szCs w:val="21"/>
          <w:color w:val="auto"/>
        </w:rPr>
        <w:t>The following is a brief description of the capital stock of Harmony Biosciences Holdings, Inc. (“Company,” “we,” “us” or “our”). As of December 31, 2020, our common stock is the only class of our securities registered pursuant to Section 12 of the Securities Exchange Act of 1934, as amended (the “Exchange Act”).</w:t>
      </w:r>
    </w:p>
    <w:p>
      <w:pPr>
        <w:spacing w:after="0" w:line="169" w:lineRule="exact"/>
        <w:rPr>
          <w:sz w:val="20"/>
          <w:szCs w:val="20"/>
          <w:color w:val="auto"/>
        </w:rPr>
      </w:pPr>
    </w:p>
    <w:p>
      <w:pPr>
        <w:ind w:right="260" w:firstLine="864"/>
        <w:spacing w:after="0" w:line="262" w:lineRule="auto"/>
        <w:rPr>
          <w:sz w:val="20"/>
          <w:szCs w:val="20"/>
          <w:color w:val="auto"/>
        </w:rPr>
      </w:pPr>
      <w:r>
        <w:rPr>
          <w:rFonts w:ascii="Arial" w:cs="Arial" w:eastAsia="Arial" w:hAnsi="Arial"/>
          <w:sz w:val="20"/>
          <w:szCs w:val="20"/>
          <w:color w:val="auto"/>
        </w:rPr>
        <w:t>The following description of our capital stock does not purport to be complete and is subject to, and qualified in its entirety by, our amended and restated certificate of incorporation (“Certificate of Incorporation”) and our amended and restated bylaws (“Bylaws”), each of which is filed as an exhibit to the Annual Report on Form 10-K of which this Exhibit [4.3] is a part, and the applicable provisions of the Delaware General Corporation Law (“DGCL”). We encourage you to read the Certificate of Incorporation, the Bylaws and the applicable provisions of the DGCL for additional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19" w:lineRule="exact"/>
        <w:rPr>
          <w:sz w:val="20"/>
          <w:szCs w:val="20"/>
          <w:color w:val="auto"/>
        </w:rPr>
      </w:pPr>
    </w:p>
    <w:p>
      <w:pPr>
        <w:ind w:right="460" w:firstLine="864"/>
        <w:spacing w:after="0" w:line="270" w:lineRule="auto"/>
        <w:rPr>
          <w:sz w:val="20"/>
          <w:szCs w:val="20"/>
          <w:color w:val="auto"/>
        </w:rPr>
      </w:pPr>
      <w:r>
        <w:rPr>
          <w:rFonts w:ascii="Arial" w:cs="Arial" w:eastAsia="Arial" w:hAnsi="Arial"/>
          <w:sz w:val="21"/>
          <w:szCs w:val="21"/>
          <w:color w:val="auto"/>
        </w:rPr>
        <w:t>As of December 31, 2020, our authorized capital stock consisted of 500,000,000 shares of common stock, par value $0.00001 per share; and 10,000,000 shares of preferred stock, par value $0.00001 per share.</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19" w:lineRule="exact"/>
        <w:rPr>
          <w:sz w:val="20"/>
          <w:szCs w:val="20"/>
          <w:color w:val="auto"/>
        </w:rPr>
      </w:pPr>
    </w:p>
    <w:p>
      <w:pPr>
        <w:ind w:right="180" w:firstLine="864"/>
        <w:spacing w:after="0" w:line="246" w:lineRule="auto"/>
        <w:rPr>
          <w:sz w:val="20"/>
          <w:szCs w:val="20"/>
          <w:color w:val="auto"/>
        </w:rPr>
      </w:pPr>
      <w:r>
        <w:rPr>
          <w:rFonts w:ascii="Arial" w:cs="Arial" w:eastAsia="Arial" w:hAnsi="Arial"/>
          <w:sz w:val="21"/>
          <w:szCs w:val="21"/>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ind w:right="20" w:firstLine="864"/>
        <w:spacing w:after="0" w:line="294"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33" w:lineRule="exact"/>
        <w:rPr>
          <w:sz w:val="20"/>
          <w:szCs w:val="20"/>
          <w:color w:val="auto"/>
        </w:rPr>
      </w:pPr>
    </w:p>
    <w:p>
      <w:pPr>
        <w:ind w:right="100" w:firstLine="864"/>
        <w:spacing w:after="0" w:line="249" w:lineRule="auto"/>
        <w:rPr>
          <w:sz w:val="20"/>
          <w:szCs w:val="20"/>
          <w:color w:val="auto"/>
        </w:rPr>
      </w:pPr>
      <w:r>
        <w:rPr>
          <w:rFonts w:ascii="Arial" w:cs="Arial" w:eastAsia="Arial" w:hAnsi="Arial"/>
          <w:sz w:val="21"/>
          <w:szCs w:val="21"/>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after the payment of all of our debts and other liabilities, subject to the prior rights of any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111760</wp:posOffset>
            </wp:positionV>
            <wp:extent cx="71761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1" w:name="page152"/>
    <w:bookmarkEnd w:id="151"/>
    <w:p>
      <w:pPr>
        <w:spacing w:after="0"/>
        <w:rPr>
          <w:sz w:val="20"/>
          <w:szCs w:val="20"/>
          <w:color w:val="auto"/>
        </w:rPr>
      </w:pPr>
      <w:r>
        <w:rPr>
          <w:rFonts w:ascii="Arial" w:cs="Arial" w:eastAsia="Arial" w:hAnsi="Arial"/>
          <w:sz w:val="21"/>
          <w:szCs w:val="21"/>
          <w:b w:val="1"/>
          <w:bCs w:val="1"/>
          <w:color w:val="auto"/>
        </w:rPr>
        <w:t>Preferred Stock</w:t>
      </w:r>
    </w:p>
    <w:p>
      <w:pPr>
        <w:spacing w:after="0" w:line="220" w:lineRule="exact"/>
        <w:rPr>
          <w:sz w:val="20"/>
          <w:szCs w:val="20"/>
          <w:color w:val="auto"/>
        </w:rPr>
      </w:pPr>
    </w:p>
    <w:p>
      <w:pPr>
        <w:ind w:right="60" w:firstLine="864"/>
        <w:spacing w:after="0" w:line="257" w:lineRule="auto"/>
        <w:rPr>
          <w:sz w:val="20"/>
          <w:szCs w:val="20"/>
          <w:color w:val="auto"/>
        </w:rPr>
      </w:pPr>
      <w:r>
        <w:rPr>
          <w:rFonts w:ascii="Arial" w:cs="Arial" w:eastAsia="Arial" w:hAnsi="Arial"/>
          <w:sz w:val="20"/>
          <w:szCs w:val="20"/>
          <w:color w:val="auto"/>
        </w:rPr>
        <w:t>Under the terms of our Certificate of Incorporation, our board of directors is authorized to provide for the issuance of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Forum Selection</w:t>
      </w:r>
    </w:p>
    <w:p>
      <w:pPr>
        <w:spacing w:after="0" w:line="219" w:lineRule="exact"/>
        <w:rPr>
          <w:sz w:val="20"/>
          <w:szCs w:val="20"/>
          <w:color w:val="auto"/>
        </w:rPr>
      </w:pPr>
    </w:p>
    <w:p>
      <w:pPr>
        <w:ind w:right="20" w:firstLine="864"/>
        <w:spacing w:after="0" w:line="256" w:lineRule="auto"/>
        <w:rPr>
          <w:sz w:val="20"/>
          <w:szCs w:val="20"/>
          <w:color w:val="auto"/>
        </w:rPr>
      </w:pPr>
      <w:r>
        <w:rPr>
          <w:rFonts w:ascii="Arial" w:cs="Arial" w:eastAsia="Arial" w:hAnsi="Arial"/>
          <w:sz w:val="20"/>
          <w:szCs w:val="20"/>
          <w:color w:val="auto"/>
        </w:rPr>
        <w:t>Our Certificate of Incorporation provides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other employees or stockholders to us or our stockholders; (iii) any action asserting a claim arising pursuant to any provision of the DGCL, our Certificate of Incorporation or our Bylaws, or as to which the DGCL confers exclusive jurisdiction on the Court of Chancery; or (iv) any action asserting a claim governed by the internal affairs doctrine. Unless we consent in writing to the selection of an alternative forum, the federal district courts of the United States of America shall be the exclusive forum for the resolution of any complaint asserting a cause of action arising under the Securities Act or the Exchange Act. Any person or entity purchasing or otherwise acquiring or holding any interest in shares of our capital stock will be deemed to have notice of and consented to this provision.</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Dividends</w:t>
      </w:r>
    </w:p>
    <w:p>
      <w:pPr>
        <w:spacing w:after="0" w:line="219" w:lineRule="exact"/>
        <w:rPr>
          <w:sz w:val="20"/>
          <w:szCs w:val="20"/>
          <w:color w:val="auto"/>
        </w:rPr>
      </w:pPr>
    </w:p>
    <w:p>
      <w:pPr>
        <w:ind w:firstLine="864"/>
        <w:spacing w:after="0" w:line="272" w:lineRule="auto"/>
        <w:rPr>
          <w:sz w:val="20"/>
          <w:szCs w:val="20"/>
          <w:color w:val="auto"/>
        </w:rPr>
      </w:pPr>
      <w:r>
        <w:rPr>
          <w:rFonts w:ascii="Arial" w:cs="Arial" w:eastAsia="Arial" w:hAnsi="Arial"/>
          <w:sz w:val="19"/>
          <w:szCs w:val="19"/>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common stock in the foreseeable future. Consequently, any gains from an investment in our common stock will likely depend on whether the price of our common stock increases.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Provisions</w:t>
      </w:r>
    </w:p>
    <w:p>
      <w:pPr>
        <w:spacing w:after="0" w:line="219" w:lineRule="exact"/>
        <w:rPr>
          <w:sz w:val="20"/>
          <w:szCs w:val="20"/>
          <w:color w:val="auto"/>
        </w:rPr>
      </w:pPr>
    </w:p>
    <w:p>
      <w:pPr>
        <w:ind w:right="60" w:firstLine="864"/>
        <w:spacing w:after="0" w:line="270" w:lineRule="auto"/>
        <w:rPr>
          <w:sz w:val="20"/>
          <w:szCs w:val="20"/>
          <w:color w:val="auto"/>
        </w:rPr>
      </w:pPr>
      <w:r>
        <w:rPr>
          <w:rFonts w:ascii="Arial" w:cs="Arial" w:eastAsia="Arial" w:hAnsi="Arial"/>
          <w:sz w:val="21"/>
          <w:szCs w:val="21"/>
          <w:color w:val="auto"/>
        </w:rPr>
        <w:t>Our Certificate of Incorporation and Bylaws contain provisions that may delay, defer or discourage wanother party from acquiring control of us. We expect that these provisions,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761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2" w:name="page153"/>
    <w:bookmarkEnd w:id="152"/>
    <w:p>
      <w:pPr>
        <w:spacing w:after="0" w:line="249" w:lineRule="auto"/>
        <w:rPr>
          <w:sz w:val="20"/>
          <w:szCs w:val="20"/>
          <w:color w:val="auto"/>
        </w:rPr>
      </w:pPr>
      <w:r>
        <w:rPr>
          <w:rFonts w:ascii="Arial" w:cs="Arial" w:eastAsia="Arial" w:hAnsi="Arial"/>
          <w:sz w:val="21"/>
          <w:szCs w:val="21"/>
          <w:color w:val="auto"/>
        </w:rPr>
        <w:t>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Authorized but Unissued Shares</w:t>
      </w:r>
    </w:p>
    <w:p>
      <w:pPr>
        <w:spacing w:after="0" w:line="213" w:lineRule="exact"/>
        <w:rPr>
          <w:sz w:val="20"/>
          <w:szCs w:val="20"/>
          <w:color w:val="auto"/>
        </w:rPr>
      </w:pPr>
    </w:p>
    <w:p>
      <w:pPr>
        <w:ind w:right="180" w:firstLine="864"/>
        <w:spacing w:after="0" w:line="246" w:lineRule="auto"/>
        <w:rPr>
          <w:sz w:val="20"/>
          <w:szCs w:val="20"/>
          <w:color w:val="auto"/>
        </w:rPr>
      </w:pPr>
      <w:r>
        <w:rPr>
          <w:rFonts w:ascii="Arial" w:cs="Arial" w:eastAsia="Arial" w:hAnsi="Arial"/>
          <w:sz w:val="21"/>
          <w:szCs w:val="21"/>
          <w:color w:val="auto"/>
        </w:rPr>
        <w:t>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Classified Board of Directors</w:t>
      </w:r>
    </w:p>
    <w:p>
      <w:pPr>
        <w:spacing w:after="0" w:line="213" w:lineRule="exact"/>
        <w:rPr>
          <w:sz w:val="20"/>
          <w:szCs w:val="20"/>
          <w:color w:val="auto"/>
        </w:rPr>
      </w:pPr>
    </w:p>
    <w:p>
      <w:pPr>
        <w:ind w:right="20" w:firstLine="864"/>
        <w:spacing w:after="0" w:line="246" w:lineRule="auto"/>
        <w:rPr>
          <w:sz w:val="20"/>
          <w:szCs w:val="20"/>
          <w:color w:val="auto"/>
        </w:rPr>
      </w:pPr>
      <w:r>
        <w:rPr>
          <w:rFonts w:ascii="Arial" w:cs="Arial" w:eastAsia="Arial" w:hAnsi="Arial"/>
          <w:sz w:val="21"/>
          <w:szCs w:val="21"/>
          <w:color w:val="auto"/>
        </w:rPr>
        <w:t>Our Certificate of Incorporation provides that our board of directors will be divided into three classes, with the classes as nearly equal in number as possible and each class serving three-year staggered terms. In all other cases and at any other time, directors may only be removed from our board of directors for cause by the affirmative vote of a majority of the shares entitled to vote. These provisions may have the effect of deferring, delaying or discouraging hostile takeovers, or changes in control of us or our management.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Stockholder Action; Special Meeting of Stockholders</w:t>
      </w:r>
    </w:p>
    <w:p>
      <w:pPr>
        <w:spacing w:after="0" w:line="213" w:lineRule="exact"/>
        <w:rPr>
          <w:sz w:val="20"/>
          <w:szCs w:val="20"/>
          <w:color w:val="auto"/>
        </w:rPr>
      </w:pPr>
    </w:p>
    <w:p>
      <w:pPr>
        <w:ind w:right="100" w:firstLine="864"/>
        <w:spacing w:after="0" w:line="257" w:lineRule="auto"/>
        <w:rPr>
          <w:sz w:val="20"/>
          <w:szCs w:val="20"/>
          <w:color w:val="auto"/>
        </w:rPr>
      </w:pPr>
      <w:r>
        <w:rPr>
          <w:rFonts w:ascii="Arial" w:cs="Arial" w:eastAsia="Arial" w:hAnsi="Arial"/>
          <w:sz w:val="20"/>
          <w:szCs w:val="20"/>
          <w:color w:val="auto"/>
        </w:rPr>
        <w:t>Our Certificate of Incorporation provides that our stockholders will not be able to take action by written consent for any matter and may only take action at annual or special meetings. As a result, a holder controlling a majority of our capital stock would not be able to amend our Bylaws or remove directors without holding a meeting of our stockholders called in accordance with Bylaws, unless previously approved by our board of directors. Our Certificate of Incorporation further provides that special meetings of our stockholders may be called only by the chairman of our board of directors, our chief executive officer, our president or another officer selected by a majority of our board of directors,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Advance Notice Requirements for Stockholder Proposals and Director Nominations</w:t>
      </w:r>
    </w:p>
    <w:p>
      <w:pPr>
        <w:spacing w:after="0" w:line="213" w:lineRule="exact"/>
        <w:rPr>
          <w:sz w:val="20"/>
          <w:szCs w:val="20"/>
          <w:color w:val="auto"/>
        </w:rPr>
      </w:pPr>
    </w:p>
    <w:p>
      <w:pPr>
        <w:ind w:right="20" w:firstLine="864"/>
        <w:spacing w:after="0" w:line="245" w:lineRule="auto"/>
        <w:rPr>
          <w:sz w:val="20"/>
          <w:szCs w:val="20"/>
          <w:color w:val="auto"/>
        </w:rPr>
      </w:pPr>
      <w:r>
        <w:rPr>
          <w:rFonts w:ascii="Arial" w:cs="Arial" w:eastAsia="Arial" w:hAnsi="Arial"/>
          <w:sz w:val="21"/>
          <w:szCs w:val="21"/>
          <w:color w:val="auto"/>
        </w:rPr>
        <w:t>In addition, our Bylaws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must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114935</wp:posOffset>
            </wp:positionV>
            <wp:extent cx="71761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ind w:right="100"/>
        <w:spacing w:after="0" w:line="249" w:lineRule="auto"/>
        <w:rPr>
          <w:sz w:val="20"/>
          <w:szCs w:val="20"/>
          <w:color w:val="auto"/>
        </w:rPr>
      </w:pPr>
      <w:r>
        <w:rPr>
          <w:rFonts w:ascii="Arial" w:cs="Arial" w:eastAsia="Arial" w:hAnsi="Arial"/>
          <w:sz w:val="21"/>
          <w:szCs w:val="21"/>
          <w:color w:val="auto"/>
        </w:rPr>
        <w:t>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Amendment of Certificate of Incorporation or Bylaws</w:t>
      </w:r>
    </w:p>
    <w:p>
      <w:pPr>
        <w:spacing w:after="0" w:line="213" w:lineRule="exact"/>
        <w:rPr>
          <w:sz w:val="20"/>
          <w:szCs w:val="20"/>
          <w:color w:val="auto"/>
        </w:rPr>
      </w:pPr>
    </w:p>
    <w:p>
      <w:pPr>
        <w:ind w:right="20" w:firstLine="864"/>
        <w:spacing w:after="0" w:line="246" w:lineRule="auto"/>
        <w:rPr>
          <w:sz w:val="20"/>
          <w:szCs w:val="20"/>
          <w:color w:val="auto"/>
        </w:rPr>
      </w:pPr>
      <w:r>
        <w:rPr>
          <w:rFonts w:ascii="Arial" w:cs="Arial" w:eastAsia="Arial" w:hAnsi="Arial"/>
          <w:sz w:val="21"/>
          <w:szCs w:val="21"/>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consummation of this offering, our Bylaws may be amended or repealed by a majority vote of our board of directors or by the affirmative vote of the holders a majority of the votes which all our stockholders would be eligible to cast in an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Section 203 of the DGCL</w:t>
      </w:r>
    </w:p>
    <w:p>
      <w:pPr>
        <w:spacing w:after="0" w:line="213" w:lineRule="exact"/>
        <w:rPr>
          <w:sz w:val="20"/>
          <w:szCs w:val="20"/>
          <w:color w:val="auto"/>
        </w:rPr>
      </w:pPr>
    </w:p>
    <w:p>
      <w:pPr>
        <w:ind w:right="40" w:firstLine="864"/>
        <w:spacing w:after="0" w:line="271" w:lineRule="auto"/>
        <w:rPr>
          <w:sz w:val="20"/>
          <w:szCs w:val="20"/>
          <w:color w:val="auto"/>
        </w:rPr>
      </w:pPr>
      <w:r>
        <w:rPr>
          <w:rFonts w:ascii="Arial" w:cs="Arial" w:eastAsia="Arial" w:hAnsi="Arial"/>
          <w:sz w:val="19"/>
          <w:szCs w:val="19"/>
          <w:color w:val="auto"/>
        </w:rPr>
        <w:t>We are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Limitations on Liability and Indemnification of Officers and Directors</w:t>
      </w:r>
    </w:p>
    <w:p>
      <w:pPr>
        <w:spacing w:after="0" w:line="219" w:lineRule="exact"/>
        <w:rPr>
          <w:sz w:val="20"/>
          <w:szCs w:val="20"/>
          <w:color w:val="auto"/>
        </w:rPr>
      </w:pPr>
    </w:p>
    <w:p>
      <w:pPr>
        <w:ind w:firstLine="864"/>
        <w:spacing w:after="0" w:line="274" w:lineRule="auto"/>
        <w:rPr>
          <w:sz w:val="20"/>
          <w:szCs w:val="20"/>
          <w:color w:val="auto"/>
        </w:rPr>
      </w:pPr>
      <w:r>
        <w:rPr>
          <w:rFonts w:ascii="Arial" w:cs="Arial" w:eastAsia="Arial" w:hAnsi="Arial"/>
          <w:sz w:val="19"/>
          <w:szCs w:val="19"/>
          <w:color w:val="auto"/>
        </w:rPr>
        <w:t>Our Bylaws provide indemnification for our directors and officers to the fullest extent permitted by the DGCL, along with the right to have expenses incurred in defending proceedings paid in advance of their final disposition. We have entered into indemnification agreements with each of our directors and executive officers that may, in some cases, be broader than the specific indemnification and advancement provisions contained under our Bylaws and provided under Delaware law. In addition, as permitted by Delaware law, our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to recover monetary damages against a director for breach of fiduciary duties as a director.</w:t>
      </w:r>
    </w:p>
    <w:p>
      <w:pPr>
        <w:spacing w:after="0" w:line="153" w:lineRule="exact"/>
        <w:rPr>
          <w:sz w:val="20"/>
          <w:szCs w:val="20"/>
          <w:color w:val="auto"/>
        </w:rPr>
      </w:pPr>
    </w:p>
    <w:p>
      <w:pPr>
        <w:ind w:right="420" w:firstLine="864"/>
        <w:spacing w:after="0" w:line="273" w:lineRule="auto"/>
        <w:rPr>
          <w:sz w:val="20"/>
          <w:szCs w:val="20"/>
          <w:color w:val="auto"/>
        </w:rPr>
      </w:pPr>
      <w:r>
        <w:rPr>
          <w:rFonts w:ascii="Arial" w:cs="Arial" w:eastAsia="Arial" w:hAnsi="Arial"/>
          <w:sz w:val="20"/>
          <w:szCs w:val="20"/>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97155</wp:posOffset>
            </wp:positionV>
            <wp:extent cx="717613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Arial" w:cs="Arial" w:eastAsia="Arial" w:hAnsi="Arial"/>
          <w:sz w:val="21"/>
          <w:szCs w:val="21"/>
          <w:b w:val="1"/>
          <w:bCs w:val="1"/>
          <w:color w:val="auto"/>
        </w:rPr>
        <w:t>Dissenters’ Rights of Appraisal and Payment</w:t>
      </w:r>
    </w:p>
    <w:p>
      <w:pPr>
        <w:spacing w:after="0" w:line="220" w:lineRule="exact"/>
        <w:rPr>
          <w:sz w:val="20"/>
          <w:szCs w:val="20"/>
          <w:color w:val="auto"/>
        </w:rPr>
      </w:pPr>
    </w:p>
    <w:p>
      <w:pPr>
        <w:ind w:right="40" w:firstLine="864"/>
        <w:spacing w:after="0" w:line="266" w:lineRule="auto"/>
        <w:rPr>
          <w:sz w:val="20"/>
          <w:szCs w:val="20"/>
          <w:color w:val="auto"/>
        </w:rPr>
      </w:pPr>
      <w:r>
        <w:rPr>
          <w:rFonts w:ascii="Arial" w:cs="Arial" w:eastAsia="Arial" w:hAnsi="Arial"/>
          <w:sz w:val="20"/>
          <w:szCs w:val="20"/>
          <w:color w:val="auto"/>
        </w:rPr>
        <w:t>Under the DGCL, with certain exceptions, our stockholders will have appraisal rights in connection with a merger or consolidation of Harmony Biosciences Holdings, Inc. Pursuant to the DGCL, stockholders who properly demand and perfect appraisal rights in connection with such mergers or consolidations will have the right to receive payment of the fair value of their shares as determined by the Delaware Court of Chancery, subject to certain limitations.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Stockholders’ Derivative Actions</w:t>
      </w:r>
    </w:p>
    <w:p>
      <w:pPr>
        <w:spacing w:after="0" w:line="219" w:lineRule="exact"/>
        <w:rPr>
          <w:sz w:val="20"/>
          <w:szCs w:val="20"/>
          <w:color w:val="auto"/>
        </w:rPr>
      </w:pPr>
    </w:p>
    <w:p>
      <w:pPr>
        <w:ind w:firstLine="864"/>
        <w:spacing w:after="0" w:line="284" w:lineRule="auto"/>
        <w:rPr>
          <w:sz w:val="20"/>
          <w:szCs w:val="20"/>
          <w:color w:val="auto"/>
        </w:rPr>
      </w:pPr>
      <w:r>
        <w:rPr>
          <w:rFonts w:ascii="Arial" w:cs="Arial" w:eastAsia="Arial" w:hAnsi="Arial"/>
          <w:sz w:val="19"/>
          <w:szCs w:val="19"/>
          <w:color w:val="auto"/>
        </w:rPr>
        <w:t>Under the DGCL, any of our stockholders may bring an action in our name to procure a judgment in our favor, also known as a derivative action, in certain circumstances. Among other things, either the stockholder bringing any such action must be a holder of our shares at the time of the transaction to which the action relates or such stockholder’s stock must have thereafter devolved by operation of law, and such stockholder must continuously hold shares through the resolution of such action.</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transfer agent and registrar for our common stock is Computershare Trust Company, N.A.</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Trading Symbol and Market</w:t>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Our common stock is listed on the Nasdaq Global Market under the symbol “HRMY.”</w:t>
      </w:r>
    </w:p>
    <w:p>
      <w:pPr>
        <w:sectPr>
          <w:pgSz w:w="11900" w:h="16838" w:orient="portrait"/>
          <w:cols w:equalWidth="0" w:num="1">
            <w:col w:w="11100"/>
          </w:cols>
          <w:pgMar w:left="320" w:top="112" w:right="479" w:bottom="1440" w:gutter="0" w:footer="0" w:header="0"/>
        </w:sectPr>
      </w:pPr>
    </w:p>
    <w:bookmarkStart w:id="155" w:name="page156"/>
    <w:bookmarkEnd w:id="155"/>
    <w:p>
      <w:pPr>
        <w:jc w:val="right"/>
        <w:spacing w:after="0"/>
        <w:rPr>
          <w:sz w:val="20"/>
          <w:szCs w:val="20"/>
          <w:color w:val="auto"/>
        </w:rPr>
      </w:pPr>
      <w:r>
        <w:rPr>
          <w:rFonts w:ascii="Arial" w:cs="Arial" w:eastAsia="Arial" w:hAnsi="Arial"/>
          <w:sz w:val="21"/>
          <w:szCs w:val="21"/>
          <w:b w:val="1"/>
          <w:bCs w:val="1"/>
          <w:color w:val="auto"/>
        </w:rPr>
        <w:t>Exhibit10.20</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September 7</w:t>
      </w:r>
      <w:r>
        <w:rPr>
          <w:rFonts w:ascii="Arial" w:cs="Arial" w:eastAsia="Arial" w:hAnsi="Arial"/>
          <w:sz w:val="18"/>
          <w:szCs w:val="18"/>
          <w:color w:val="auto"/>
        </w:rPr>
        <w:t>th</w:t>
      </w:r>
      <w:r>
        <w:rPr>
          <w:rFonts w:ascii="Arial" w:cs="Arial" w:eastAsia="Arial" w:hAnsi="Arial"/>
          <w:sz w:val="21"/>
          <w:szCs w:val="21"/>
          <w:color w:val="auto"/>
        </w:rPr>
        <w:t xml:space="preserve"> , 2017</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Jeffrey Dierks</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428 W. 5</w:t>
      </w:r>
      <w:r>
        <w:rPr>
          <w:rFonts w:ascii="Arial" w:cs="Arial" w:eastAsia="Arial" w:hAnsi="Arial"/>
          <w:sz w:val="18"/>
          <w:szCs w:val="18"/>
          <w:color w:val="auto"/>
        </w:rPr>
        <w:t>th</w:t>
      </w:r>
      <w:r>
        <w:rPr>
          <w:rFonts w:ascii="Arial" w:cs="Arial" w:eastAsia="Arial" w:hAnsi="Arial"/>
          <w:sz w:val="21"/>
          <w:szCs w:val="21"/>
          <w:color w:val="auto"/>
        </w:rPr>
        <w:t xml:space="preserve"> Avenue</w:t>
      </w:r>
    </w:p>
    <w:p>
      <w:pPr>
        <w:spacing w:after="0"/>
        <w:rPr>
          <w:sz w:val="20"/>
          <w:szCs w:val="20"/>
          <w:color w:val="auto"/>
        </w:rPr>
      </w:pPr>
      <w:r>
        <w:rPr>
          <w:rFonts w:ascii="Arial" w:cs="Arial" w:eastAsia="Arial" w:hAnsi="Arial"/>
          <w:sz w:val="21"/>
          <w:szCs w:val="21"/>
          <w:color w:val="auto"/>
        </w:rPr>
        <w:t>Conshohocken, PA 19428</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Dear Jeff:</w:t>
      </w: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On behalf of Harmony Biosciences, LLC (“Harmony Biosciences” or the “Company”), I am pleased to extend an offer of employment with the Company as Vice President, Marketing. Except for business travel on behalf of the Company, you will work out of the Company’s Philadelphia Regional Office and other Company venues. This position will report to the Chief Commercial Officer or his designee.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Your start date will be mutually determined but we anticipate it to be on or around October 2, 2017. We are excited about the possibility of you joining our team at Harmony Biosciences and hope you will accept our offer to join us in executing our growth plans for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The terms of your employment offer are outlined below:</w:t>
      </w:r>
    </w:p>
    <w:p>
      <w:pPr>
        <w:spacing w:after="0" w:line="17" w:lineRule="exact"/>
        <w:rPr>
          <w:sz w:val="20"/>
          <w:szCs w:val="20"/>
          <w:color w:val="auto"/>
        </w:rPr>
      </w:pPr>
    </w:p>
    <w:p>
      <w:pPr>
        <w:ind w:left="860" w:hanging="425"/>
        <w:spacing w:after="0"/>
        <w:tabs>
          <w:tab w:leader="none" w:pos="8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Bi-monthly base pay of $10,417 which, when annualized, is equivalent to a base salary of $250,000 per year.</w:t>
      </w:r>
    </w:p>
    <w:p>
      <w:pPr>
        <w:spacing w:after="0" w:line="88" w:lineRule="exact"/>
        <w:rPr>
          <w:rFonts w:ascii="Arial" w:cs="Arial" w:eastAsia="Arial" w:hAnsi="Arial"/>
          <w:sz w:val="21"/>
          <w:szCs w:val="21"/>
          <w:color w:val="auto"/>
        </w:rPr>
      </w:pPr>
    </w:p>
    <w:p>
      <w:pPr>
        <w:jc w:val="both"/>
        <w:ind w:left="860" w:right="20" w:hanging="425"/>
        <w:spacing w:after="0" w:line="249" w:lineRule="auto"/>
        <w:tabs>
          <w:tab w:leader="none" w:pos="8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Participation (pro-rated for the calendar year in which your actual start date occurs) in the Harmony Biosciences, LLC Performance Bonus Plan at up to 35% of your base salary based on Company and individual achievement. Your bonus will be based on your performance meeting established individual goals and objectives to support the growth strategy of the Company, as well as the Company’s overall performance.</w:t>
      </w:r>
    </w:p>
    <w:p>
      <w:pPr>
        <w:spacing w:after="0" w:line="67" w:lineRule="exact"/>
        <w:rPr>
          <w:rFonts w:ascii="Arial" w:cs="Arial" w:eastAsia="Arial" w:hAnsi="Arial"/>
          <w:sz w:val="21"/>
          <w:szCs w:val="21"/>
          <w:color w:val="auto"/>
        </w:rPr>
      </w:pPr>
    </w:p>
    <w:p>
      <w:pPr>
        <w:jc w:val="both"/>
        <w:ind w:left="860" w:hanging="425"/>
        <w:spacing w:after="0" w:line="294" w:lineRule="auto"/>
        <w:tabs>
          <w:tab w:leader="none" w:pos="8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Equity in the Company’s parent company, Harmony Biosciences II, Inc. (“Parent”) 400,000 stock options for Parent common stock at an exercise price equal to the greater of $1.00 and the fair market value per share of common stock as of your start date, to be determined by the Parent’s Board of Directors or its Compensation Committee, if applicable.</w:t>
      </w:r>
    </w:p>
    <w:p>
      <w:pPr>
        <w:spacing w:after="0" w:line="26" w:lineRule="exact"/>
        <w:rPr>
          <w:rFonts w:ascii="Arial" w:cs="Arial" w:eastAsia="Arial" w:hAnsi="Arial"/>
          <w:sz w:val="19"/>
          <w:szCs w:val="19"/>
          <w:color w:val="auto"/>
        </w:rPr>
      </w:pPr>
    </w:p>
    <w:p>
      <w:pPr>
        <w:ind w:left="860" w:hanging="425"/>
        <w:spacing w:after="0" w:line="270" w:lineRule="auto"/>
        <w:tabs>
          <w:tab w:leader="none" w:pos="8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As a full-time Company employee, you will accrue paid vacation and sick leave. Vacation will accrue at a rate of 1.25 days per month, or 15 days per year.</w:t>
      </w:r>
    </w:p>
    <w:p>
      <w:pPr>
        <w:spacing w:after="0" w:line="45" w:lineRule="exact"/>
        <w:rPr>
          <w:rFonts w:ascii="Arial" w:cs="Arial" w:eastAsia="Arial" w:hAnsi="Arial"/>
          <w:sz w:val="21"/>
          <w:szCs w:val="21"/>
          <w:color w:val="auto"/>
        </w:rPr>
      </w:pPr>
    </w:p>
    <w:p>
      <w:pPr>
        <w:jc w:val="both"/>
        <w:ind w:left="860" w:hanging="425"/>
        <w:spacing w:after="0" w:line="276" w:lineRule="auto"/>
        <w:tabs>
          <w:tab w:leader="none" w:pos="8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consideration of the money left behind at your current employer for 2017 pro-rated annual bonus and LTI, you will receive a sign-on bonus of $100,000 (subject to applicable tax and other withholding), paid to you in two installments. The first will be 50% ($50,000) and paid no later than 12/31/2017. The second will be 50% ($50,000) and paid on 12/31/2018. Both payments require that you are an active employee in good standing at the time of payment. If you leave the company for any reason within 12 months after receiving the first payment or 6 months after receiving the second sign-on bonus payments, you must pay back the full pre-tax amount of that payment to Harmony Biosciences.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Harmony Biosciences, LLC 1033 Skokie Boulevard, Suite 600 • Northbrook, IL 60062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613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6" w:name="page157"/>
    <w:bookmarkEnd w:id="156"/>
    <w:p>
      <w:pPr>
        <w:ind w:left="860" w:hanging="425"/>
        <w:spacing w:after="0"/>
        <w:tabs>
          <w:tab w:leader="none" w:pos="86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This offer is contingent upon successful completion of Harmony’s pre-employment process.</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You will devote all of your time and attention to the Company (including, but not limited to, its business, operations and success) and shall not compete with the Company in any way during your employment.</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As a full-time employee of the Company, except as expressly provided for above, you are eligible to participate in the provided Harmony Biosciences, LLC Employee Benefit Plans.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offer of employment, if not previously accepted by you, will expire ten days after the date first set forth above. This offer of employment does not represent an employment contract. Just as you retain the right to resign, with or without notice or cause, Harmony Biosciences has the same right with respect to termination of your employment. You will be an employee at will, and your employment is for no definite term, regardless of any other oral or written statement by any Harmony Biosciences officer or representative, with the exception of an express written employment contract signed by the CEO, President or Chief Legal Officer of the Company. Notwithstanding anything in this offer of employment to the contrary, if your actual start date does not occur on or prior to October 2, 2017, this offer of employment will be null and void in its entirety (even if previously accepted by you).</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If you understand and accept these terms, please sign and return one copy of this offer letter to me. We would love to have you join Harmony Biosciences and be a part of building a great company. Should you have any questions regarding this offer, please feel free to contact me at 847-715-0611.</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/s/ Anna Fenkanyn</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Anna Fenkanyn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Human Resources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 by:</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/s/ Jeffrey Dierks</w:t>
            </w:r>
          </w:p>
        </w:tc>
        <w:tc>
          <w:tcPr>
            <w:tcW w:w="5600" w:type="dxa"/>
            <w:vAlign w:val="bottom"/>
          </w:tcPr>
          <w:p>
            <w:pPr>
              <w:spacing w:after="0"/>
              <w:rPr>
                <w:sz w:val="20"/>
                <w:szCs w:val="20"/>
                <w:color w:val="auto"/>
              </w:rPr>
            </w:pPr>
            <w:r>
              <w:rPr>
                <w:rFonts w:ascii="Arial" w:cs="Arial" w:eastAsia="Arial" w:hAnsi="Arial"/>
                <w:sz w:val="18"/>
                <w:szCs w:val="18"/>
                <w:color w:val="auto"/>
              </w:rPr>
              <w:t>9/9/17</w:t>
            </w:r>
          </w:p>
        </w:tc>
      </w:tr>
      <w:tr>
        <w:trPr>
          <w:trHeight w:val="222"/>
        </w:trPr>
        <w:tc>
          <w:tcPr>
            <w:tcW w:w="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Dierks</w:t>
            </w:r>
          </w:p>
        </w:tc>
        <w:tc>
          <w:tcPr>
            <w:tcW w:w="10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Harmony Biosciences, LLC 1033 Skokie Boulevard, Suite 600 • Northbrook, IL 60062</w:t>
      </w:r>
    </w:p>
    <w:p>
      <w:pPr>
        <w:sectPr>
          <w:pgSz w:w="11900" w:h="16838" w:orient="portrait"/>
          <w:cols w:equalWidth="0" w:num="1">
            <w:col w:w="11240"/>
          </w:cols>
          <w:pgMar w:left="320" w:top="11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1"/>
          <w:szCs w:val="21"/>
          <w:b w:val="1"/>
          <w:bCs w:val="1"/>
          <w:color w:val="auto"/>
        </w:rPr>
        <w:t>Exhibit 21.1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340" w:type="dxa"/>
            <w:vAlign w:val="bottom"/>
            <w:gridSpan w:val="3"/>
          </w:tcPr>
          <w:p>
            <w:pPr>
              <w:ind w:left="640"/>
              <w:spacing w:after="0"/>
              <w:rPr>
                <w:sz w:val="20"/>
                <w:szCs w:val="20"/>
                <w:color w:val="auto"/>
              </w:rPr>
            </w:pPr>
            <w:r>
              <w:rPr>
                <w:rFonts w:ascii="Arial" w:cs="Arial" w:eastAsia="Arial" w:hAnsi="Arial"/>
                <w:sz w:val="21"/>
                <w:szCs w:val="21"/>
                <w:b w:val="1"/>
                <w:bCs w:val="1"/>
                <w:color w:val="auto"/>
                <w:w w:val="90"/>
              </w:rPr>
              <w:t>Subsidiaries of Harmony Biosciences Holdings, Inc.</w:t>
            </w:r>
          </w:p>
        </w:tc>
      </w:tr>
      <w:tr>
        <w:trPr>
          <w:trHeight w:val="377"/>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5340" w:type="dxa"/>
            <w:vAlign w:val="bottom"/>
            <w:gridSpan w:val="3"/>
          </w:tcPr>
          <w:p>
            <w:pPr>
              <w:ind w:left="2980"/>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8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47"/>
        </w:trPr>
        <w:tc>
          <w:tcPr>
            <w:tcW w:w="2640" w:type="dxa"/>
            <w:vAlign w:val="bottom"/>
            <w:gridSpan w:val="2"/>
          </w:tcPr>
          <w:p>
            <w:pPr>
              <w:spacing w:after="0"/>
              <w:rPr>
                <w:sz w:val="20"/>
                <w:szCs w:val="20"/>
                <w:color w:val="auto"/>
              </w:rPr>
            </w:pPr>
            <w:r>
              <w:rPr>
                <w:rFonts w:ascii="Arial" w:cs="Arial" w:eastAsia="Arial" w:hAnsi="Arial"/>
                <w:sz w:val="18"/>
                <w:szCs w:val="18"/>
                <w:color w:val="auto"/>
              </w:rPr>
              <w:t>Harmony Biosciences, LLC</w:t>
            </w:r>
          </w:p>
        </w:tc>
        <w:tc>
          <w:tcPr>
            <w:tcW w:w="5340" w:type="dxa"/>
            <w:vAlign w:val="bottom"/>
            <w:gridSpan w:val="3"/>
          </w:tcPr>
          <w:p>
            <w:pPr>
              <w:ind w:left="2980"/>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US-DOCS\121964576.1</w:t>
      </w:r>
    </w:p>
    <w:p>
      <w:pPr>
        <w:sectPr>
          <w:pgSz w:w="11900" w:h="16838" w:orient="portrait"/>
          <w:cols w:equalWidth="0" w:num="1">
            <w:col w:w="11240"/>
          </w:cols>
          <w:pgMar w:left="320" w:top="112"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333-248243 on Form S-8 of our report dated March 25, 2021, relating to the financial statements of Harmony Biosciences Holdings, Inc. appearing in this Annual Report on Form 10-K of Harmony Biosciences Holdings, Inc. for the year ended December 31,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ectPr>
          <w:pgSz w:w="11900" w:h="16838" w:orient="portrait"/>
          <w:cols w:equalWidth="0" w:num="1">
            <w:col w:w="11240"/>
          </w:cols>
          <w:pgMar w:left="320" w:top="349"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 John C. Jacobs, certify that:</w:t>
      </w:r>
    </w:p>
    <w:p>
      <w:pPr>
        <w:spacing w:after="0" w:line="141" w:lineRule="exact"/>
        <w:rPr>
          <w:sz w:val="20"/>
          <w:szCs w:val="20"/>
          <w:color w:val="auto"/>
        </w:rPr>
      </w:pPr>
    </w:p>
    <w:p>
      <w:pPr>
        <w:ind w:left="780" w:hanging="385"/>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Harmony Biosciences Holdings, Inc.;</w:t>
      </w:r>
    </w:p>
    <w:p>
      <w:pPr>
        <w:spacing w:after="0" w:line="127" w:lineRule="exact"/>
        <w:rPr>
          <w:rFonts w:ascii="Arial" w:cs="Arial" w:eastAsia="Arial" w:hAnsi="Arial"/>
          <w:sz w:val="18"/>
          <w:szCs w:val="18"/>
          <w:color w:val="auto"/>
        </w:rPr>
      </w:pPr>
    </w:p>
    <w:p>
      <w:pPr>
        <w:jc w:val="both"/>
        <w:ind w:left="780" w:hanging="385"/>
        <w:spacing w:after="0" w:line="25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8"/>
          <w:szCs w:val="18"/>
          <w:color w:val="auto"/>
        </w:rPr>
      </w:pPr>
    </w:p>
    <w:p>
      <w:pPr>
        <w:ind w:left="780" w:hanging="385"/>
        <w:spacing w:after="0" w:line="301" w:lineRule="auto"/>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7"/>
          <w:szCs w:val="17"/>
          <w:color w:val="auto"/>
        </w:rPr>
      </w:pPr>
    </w:p>
    <w:p>
      <w:pPr>
        <w:jc w:val="both"/>
        <w:ind w:left="780" w:hanging="385"/>
        <w:spacing w:after="0" w:line="25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8"/>
          <w:szCs w:val="18"/>
          <w:color w:val="auto"/>
        </w:rPr>
      </w:pPr>
    </w:p>
    <w:p>
      <w:pPr>
        <w:jc w:val="both"/>
        <w:ind w:left="1580" w:hanging="396"/>
        <w:spacing w:after="0" w:line="259" w:lineRule="auto"/>
        <w:tabs>
          <w:tab w:leader="none" w:pos="15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jc w:val="both"/>
        <w:ind w:left="1580" w:hanging="396"/>
        <w:spacing w:after="0" w:line="259" w:lineRule="auto"/>
        <w:tabs>
          <w:tab w:leader="none" w:pos="15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8"/>
          <w:szCs w:val="18"/>
          <w:color w:val="auto"/>
        </w:rPr>
      </w:pPr>
    </w:p>
    <w:p>
      <w:pPr>
        <w:jc w:val="both"/>
        <w:ind w:left="1580" w:hanging="396"/>
        <w:spacing w:after="0" w:line="335" w:lineRule="auto"/>
        <w:tabs>
          <w:tab w:leader="none" w:pos="15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6"/>
          <w:szCs w:val="16"/>
          <w:color w:val="auto"/>
        </w:rPr>
      </w:pPr>
    </w:p>
    <w:p>
      <w:pPr>
        <w:jc w:val="both"/>
        <w:ind w:left="1580" w:hanging="396"/>
        <w:spacing w:after="0" w:line="259" w:lineRule="auto"/>
        <w:tabs>
          <w:tab w:leader="none" w:pos="15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8"/>
          <w:szCs w:val="18"/>
          <w:color w:val="auto"/>
        </w:rPr>
      </w:pPr>
    </w:p>
    <w:p>
      <w:pPr>
        <w:ind w:left="780" w:right="20" w:hanging="385"/>
        <w:spacing w:after="0" w:line="335"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6"/>
          <w:szCs w:val="16"/>
          <w:color w:val="auto"/>
        </w:rPr>
      </w:pPr>
    </w:p>
    <w:p>
      <w:pPr>
        <w:ind w:left="1580" w:hanging="396"/>
        <w:spacing w:after="0" w:line="335" w:lineRule="auto"/>
        <w:tabs>
          <w:tab w:leader="none" w:pos="15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6"/>
          <w:szCs w:val="16"/>
          <w:color w:val="auto"/>
        </w:rPr>
      </w:pPr>
    </w:p>
    <w:p>
      <w:pPr>
        <w:ind w:left="1580" w:hanging="396"/>
        <w:spacing w:after="0" w:line="271" w:lineRule="auto"/>
        <w:tabs>
          <w:tab w:leader="none" w:pos="15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gridSpan w:val="2"/>
          </w:tcPr>
          <w:p>
            <w:pPr>
              <w:spacing w:after="0"/>
              <w:rPr>
                <w:sz w:val="20"/>
                <w:szCs w:val="20"/>
                <w:color w:val="auto"/>
              </w:rPr>
            </w:pPr>
            <w:r>
              <w:rPr>
                <w:rFonts w:ascii="Arial" w:cs="Arial" w:eastAsia="Arial" w:hAnsi="Arial"/>
                <w:sz w:val="18"/>
                <w:szCs w:val="18"/>
                <w:color w:val="auto"/>
              </w:rPr>
              <w:t>March 25, 2021</w:t>
            </w:r>
          </w:p>
        </w:tc>
      </w:tr>
      <w:tr>
        <w:trPr>
          <w:trHeight w:val="3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 John C. Jacobs</w:t>
            </w:r>
          </w:p>
        </w:tc>
        <w:tc>
          <w:tcPr>
            <w:tcW w:w="356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gridSpan w:val="2"/>
          </w:tcPr>
          <w:p>
            <w:pPr>
              <w:spacing w:after="0"/>
              <w:rPr>
                <w:sz w:val="20"/>
                <w:szCs w:val="20"/>
                <w:color w:val="auto"/>
              </w:rPr>
            </w:pPr>
            <w:r>
              <w:rPr>
                <w:rFonts w:ascii="Arial" w:cs="Arial" w:eastAsia="Arial" w:hAnsi="Arial"/>
                <w:sz w:val="18"/>
                <w:szCs w:val="18"/>
                <w:color w:val="auto"/>
              </w:rPr>
              <w:t>John C. Jacobs</w:t>
            </w:r>
          </w:p>
        </w:tc>
      </w:tr>
      <w:tr>
        <w:trPr>
          <w:trHeight w:val="267"/>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gridSpan w:val="2"/>
          </w:tcPr>
          <w:p>
            <w:pPr>
              <w:spacing w:after="0"/>
              <w:rPr>
                <w:sz w:val="20"/>
                <w:szCs w:val="20"/>
                <w:color w:val="auto"/>
              </w:rPr>
            </w:pPr>
            <w:r>
              <w:rPr>
                <w:rFonts w:ascii="Arial" w:cs="Arial" w:eastAsia="Arial" w:hAnsi="Arial"/>
                <w:sz w:val="18"/>
                <w:szCs w:val="18"/>
                <w:color w:val="auto"/>
                <w:w w:val="91"/>
              </w:rPr>
              <w:t>President and Chief Executive Officer (Principal Executive Officer)</w:t>
            </w:r>
          </w:p>
        </w:tc>
      </w:tr>
    </w:tbl>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 Susan L. Drexler, certify that:</w:t>
      </w:r>
    </w:p>
    <w:p>
      <w:pPr>
        <w:spacing w:after="0" w:line="127" w:lineRule="exact"/>
        <w:rPr>
          <w:sz w:val="20"/>
          <w:szCs w:val="20"/>
          <w:color w:val="auto"/>
        </w:rPr>
      </w:pPr>
    </w:p>
    <w:p>
      <w:pPr>
        <w:ind w:left="780" w:hanging="385"/>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Harmony Biosciences Holdings, Inc.;</w:t>
      </w:r>
    </w:p>
    <w:p>
      <w:pPr>
        <w:spacing w:after="0" w:line="127" w:lineRule="exact"/>
        <w:rPr>
          <w:rFonts w:ascii="Arial" w:cs="Arial" w:eastAsia="Arial" w:hAnsi="Arial"/>
          <w:sz w:val="18"/>
          <w:szCs w:val="18"/>
          <w:color w:val="auto"/>
        </w:rPr>
      </w:pPr>
    </w:p>
    <w:p>
      <w:pPr>
        <w:jc w:val="both"/>
        <w:ind w:left="780" w:hanging="385"/>
        <w:spacing w:after="0" w:line="25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8"/>
          <w:szCs w:val="18"/>
          <w:color w:val="auto"/>
        </w:rPr>
      </w:pPr>
    </w:p>
    <w:p>
      <w:pPr>
        <w:ind w:left="780" w:hanging="385"/>
        <w:spacing w:after="0" w:line="301" w:lineRule="auto"/>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7"/>
          <w:szCs w:val="17"/>
          <w:color w:val="auto"/>
        </w:rPr>
      </w:pPr>
    </w:p>
    <w:p>
      <w:pPr>
        <w:jc w:val="both"/>
        <w:ind w:left="780" w:hanging="385"/>
        <w:spacing w:after="0" w:line="25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8"/>
          <w:szCs w:val="18"/>
          <w:color w:val="auto"/>
        </w:rPr>
      </w:pPr>
    </w:p>
    <w:p>
      <w:pPr>
        <w:jc w:val="both"/>
        <w:ind w:left="1580" w:hanging="396"/>
        <w:spacing w:after="0" w:line="259" w:lineRule="auto"/>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jc w:val="both"/>
        <w:ind w:left="1580" w:hanging="396"/>
        <w:spacing w:after="0" w:line="259" w:lineRule="auto"/>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8"/>
          <w:szCs w:val="18"/>
          <w:color w:val="auto"/>
        </w:rPr>
      </w:pPr>
    </w:p>
    <w:p>
      <w:pPr>
        <w:jc w:val="both"/>
        <w:ind w:left="1580" w:hanging="396"/>
        <w:spacing w:after="0" w:line="335" w:lineRule="auto"/>
        <w:tabs>
          <w:tab w:leader="none" w:pos="15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6"/>
          <w:szCs w:val="16"/>
          <w:color w:val="auto"/>
        </w:rPr>
      </w:pPr>
    </w:p>
    <w:p>
      <w:pPr>
        <w:jc w:val="both"/>
        <w:ind w:left="1580" w:hanging="396"/>
        <w:spacing w:after="0" w:line="259" w:lineRule="auto"/>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8"/>
          <w:szCs w:val="18"/>
          <w:color w:val="auto"/>
        </w:rPr>
      </w:pPr>
    </w:p>
    <w:p>
      <w:pPr>
        <w:ind w:left="780" w:right="20" w:hanging="385"/>
        <w:spacing w:after="0" w:line="335"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6"/>
          <w:szCs w:val="16"/>
          <w:color w:val="auto"/>
        </w:rPr>
      </w:pPr>
    </w:p>
    <w:p>
      <w:pPr>
        <w:ind w:left="1580" w:hanging="396"/>
        <w:spacing w:after="0" w:line="335" w:lineRule="auto"/>
        <w:tabs>
          <w:tab w:leader="none" w:pos="15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6"/>
          <w:szCs w:val="16"/>
          <w:color w:val="auto"/>
        </w:rPr>
      </w:pPr>
    </w:p>
    <w:p>
      <w:pPr>
        <w:ind w:left="1580" w:hanging="396"/>
        <w:spacing w:after="0" w:line="271" w:lineRule="auto"/>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gridSpan w:val="2"/>
          </w:tcPr>
          <w:p>
            <w:pPr>
              <w:spacing w:after="0"/>
              <w:rPr>
                <w:sz w:val="20"/>
                <w:szCs w:val="20"/>
                <w:color w:val="auto"/>
              </w:rPr>
            </w:pPr>
            <w:r>
              <w:rPr>
                <w:rFonts w:ascii="Arial" w:cs="Arial" w:eastAsia="Arial" w:hAnsi="Arial"/>
                <w:sz w:val="18"/>
                <w:szCs w:val="18"/>
                <w:color w:val="auto"/>
              </w:rPr>
              <w:t>March 25, 2021</w:t>
            </w:r>
          </w:p>
        </w:tc>
      </w:tr>
      <w:tr>
        <w:trPr>
          <w:trHeight w:val="3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spacing w:after="0"/>
              <w:rPr>
                <w:sz w:val="20"/>
                <w:szCs w:val="20"/>
                <w:color w:val="auto"/>
              </w:rPr>
            </w:pPr>
            <w:r>
              <w:rPr>
                <w:rFonts w:ascii="Arial" w:cs="Arial" w:eastAsia="Arial" w:hAnsi="Arial"/>
                <w:sz w:val="18"/>
                <w:szCs w:val="18"/>
                <w:color w:val="auto"/>
              </w:rPr>
              <w:t>/s/ Susan L. Drexler</w:t>
            </w:r>
          </w:p>
        </w:tc>
      </w:tr>
      <w:tr>
        <w:trPr>
          <w:trHeight w:val="50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Susan L. Drexler</w:t>
            </w:r>
          </w:p>
        </w:tc>
        <w:tc>
          <w:tcPr>
            <w:tcW w:w="3340" w:type="dxa"/>
            <w:vAlign w:val="bottom"/>
          </w:tcPr>
          <w:p>
            <w:pPr>
              <w:spacing w:after="0"/>
              <w:rPr>
                <w:sz w:val="24"/>
                <w:szCs w:val="24"/>
                <w:color w:val="auto"/>
              </w:rPr>
            </w:pPr>
          </w:p>
        </w:tc>
      </w:tr>
      <w:tr>
        <w:trPr>
          <w:trHeight w:val="26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spacing w:after="0"/>
              <w:rPr>
                <w:sz w:val="20"/>
                <w:szCs w:val="20"/>
                <w:color w:val="auto"/>
              </w:rPr>
            </w:pPr>
            <w:r>
              <w:rPr>
                <w:rFonts w:ascii="Arial" w:cs="Arial" w:eastAsia="Arial" w:hAnsi="Arial"/>
                <w:sz w:val="18"/>
                <w:szCs w:val="18"/>
                <w:color w:val="auto"/>
                <w:w w:val="91"/>
              </w:rPr>
              <w:t>Chief Financial Officer and Treasurer (Principal Financial Officer)</w:t>
            </w:r>
          </w:p>
        </w:tc>
      </w:tr>
    </w:tbl>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In connection with the Annual Report on Form 10-K of Harmony Biosciences Holdings, Inc. (the “Company”) for the year ended December 31,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76" w:lineRule="exact"/>
        <w:rPr>
          <w:sz w:val="20"/>
          <w:szCs w:val="20"/>
          <w:color w:val="auto"/>
        </w:rPr>
      </w:pPr>
    </w:p>
    <w:p>
      <w:pPr>
        <w:ind w:left="780" w:hanging="385"/>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gridSpan w:val="2"/>
          </w:tcPr>
          <w:p>
            <w:pPr>
              <w:spacing w:after="0"/>
              <w:rPr>
                <w:sz w:val="20"/>
                <w:szCs w:val="20"/>
                <w:color w:val="auto"/>
              </w:rPr>
            </w:pPr>
            <w:r>
              <w:rPr>
                <w:rFonts w:ascii="Arial" w:cs="Arial" w:eastAsia="Arial" w:hAnsi="Arial"/>
                <w:sz w:val="18"/>
                <w:szCs w:val="18"/>
                <w:color w:val="auto"/>
              </w:rPr>
              <w:t>March 25, 2021</w:t>
            </w:r>
          </w:p>
        </w:tc>
      </w:t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/s/ John C. Jacobs</w:t>
            </w:r>
          </w:p>
        </w:tc>
      </w:tr>
      <w:tr>
        <w:trPr>
          <w:trHeight w:val="50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C. Jacobs</w:t>
            </w:r>
          </w:p>
        </w:tc>
        <w:tc>
          <w:tcPr>
            <w:tcW w:w="3560" w:type="dxa"/>
            <w:vAlign w:val="bottom"/>
          </w:tcPr>
          <w:p>
            <w:pPr>
              <w:spacing w:after="0"/>
              <w:rPr>
                <w:sz w:val="24"/>
                <w:szCs w:val="24"/>
                <w:color w:val="auto"/>
              </w:rPr>
            </w:pPr>
          </w:p>
        </w:tc>
      </w:tr>
      <w:tr>
        <w:trPr>
          <w:trHeight w:val="26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gridSpan w:val="2"/>
          </w:tcPr>
          <w:p>
            <w:pPr>
              <w:spacing w:after="0"/>
              <w:rPr>
                <w:sz w:val="20"/>
                <w:szCs w:val="20"/>
                <w:color w:val="auto"/>
              </w:rPr>
            </w:pPr>
            <w:r>
              <w:rPr>
                <w:rFonts w:ascii="Arial" w:cs="Arial" w:eastAsia="Arial" w:hAnsi="Arial"/>
                <w:sz w:val="18"/>
                <w:szCs w:val="18"/>
                <w:color w:val="auto"/>
                <w:w w:val="91"/>
              </w:rPr>
              <w:t>President and Chief Executive Officer (Principal Executive Officer)</w:t>
            </w:r>
          </w:p>
        </w:tc>
      </w:tr>
    </w:tbl>
    <w:p>
      <w:pPr>
        <w:spacing w:after="0" w:line="21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81"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In connection with the Annual Report on Form 10-K of Harmony Biosciences Holdings, Inc. (the “Company”) for the year ended December 31,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76" w:lineRule="exact"/>
        <w:rPr>
          <w:sz w:val="20"/>
          <w:szCs w:val="20"/>
          <w:color w:val="auto"/>
        </w:rPr>
      </w:pPr>
    </w:p>
    <w:p>
      <w:pPr>
        <w:ind w:left="780" w:hanging="385"/>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gridSpan w:val="2"/>
          </w:tcPr>
          <w:p>
            <w:pPr>
              <w:spacing w:after="0"/>
              <w:rPr>
                <w:sz w:val="20"/>
                <w:szCs w:val="20"/>
                <w:color w:val="auto"/>
              </w:rPr>
            </w:pPr>
            <w:r>
              <w:rPr>
                <w:rFonts w:ascii="Arial" w:cs="Arial" w:eastAsia="Arial" w:hAnsi="Arial"/>
                <w:sz w:val="18"/>
                <w:szCs w:val="18"/>
                <w:color w:val="auto"/>
              </w:rPr>
              <w:t>March 25, 2021</w:t>
            </w:r>
          </w:p>
        </w:tc>
      </w:t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spacing w:after="0"/>
              <w:rPr>
                <w:sz w:val="20"/>
                <w:szCs w:val="20"/>
                <w:color w:val="auto"/>
              </w:rPr>
            </w:pPr>
            <w:r>
              <w:rPr>
                <w:rFonts w:ascii="Arial" w:cs="Arial" w:eastAsia="Arial" w:hAnsi="Arial"/>
                <w:sz w:val="18"/>
                <w:szCs w:val="18"/>
                <w:color w:val="auto"/>
              </w:rPr>
              <w:t>/s/ Susan L. Drexler</w:t>
            </w:r>
          </w:p>
        </w:tc>
      </w:tr>
      <w:tr>
        <w:trPr>
          <w:trHeight w:val="50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Susan L. Drexler</w:t>
            </w:r>
          </w:p>
        </w:tc>
        <w:tc>
          <w:tcPr>
            <w:tcW w:w="3340" w:type="dxa"/>
            <w:vAlign w:val="bottom"/>
          </w:tcPr>
          <w:p>
            <w:pPr>
              <w:spacing w:after="0"/>
              <w:rPr>
                <w:sz w:val="24"/>
                <w:szCs w:val="24"/>
                <w:color w:val="auto"/>
              </w:rPr>
            </w:pPr>
          </w:p>
        </w:tc>
      </w:tr>
      <w:tr>
        <w:trPr>
          <w:trHeight w:val="26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spacing w:after="0"/>
              <w:rPr>
                <w:sz w:val="20"/>
                <w:szCs w:val="20"/>
                <w:color w:val="auto"/>
              </w:rPr>
            </w:pPr>
            <w:r>
              <w:rPr>
                <w:rFonts w:ascii="Arial" w:cs="Arial" w:eastAsia="Arial" w:hAnsi="Arial"/>
                <w:sz w:val="18"/>
                <w:szCs w:val="18"/>
                <w:color w:val="auto"/>
                <w:w w:val="91"/>
              </w:rPr>
              <w:t>Chief Financial Officer and Treasurer (Principal Financial Officer)</w:t>
            </w:r>
          </w:p>
        </w:tc>
      </w:tr>
    </w:tbl>
    <w:p>
      <w:pPr>
        <w:spacing w:after="0" w:line="21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81"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lvl w:ilvl="1">
      <w:lvlJc w:val="left"/>
      <w:lvlText w:val="o"/>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lvl w:ilvl="1">
      <w:lvlJc w:val="left"/>
      <w:lvlText w:val="o"/>
      <w:numFmt w:val="bullet"/>
      <w:start w:val="1"/>
    </w:lvl>
  </w:abstractNum>
  <w:abstractNum w:abstractNumId="12">
    <w:nsid w:val="6A2342EC"/>
    <w:multiLevelType w:val="hybridMultilevel"/>
    <w:lvl w:ilvl="0">
      <w:lvlJc w:val="left"/>
      <w:lvlText w:val="•"/>
      <w:numFmt w:val="bullet"/>
      <w:start w:val="1"/>
    </w:lvl>
    <w:lvl w:ilvl="1">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lowerRoman"/>
      <w:start w:val="4"/>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3"/>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decimal"/>
      <w:start w:val="9"/>
    </w:lvl>
  </w:abstractNum>
  <w:abstractNum w:abstractNumId="60">
    <w:nsid w:val="4AD084E9"/>
    <w:multiLevelType w:val="hybridMultilevel"/>
    <w:lvl w:ilvl="0">
      <w:lvlJc w:val="left"/>
      <w:lvlText w:val="%1."/>
      <w:numFmt w:val="decimal"/>
      <w:start w:val="11"/>
    </w:lvl>
  </w:abstractNum>
  <w:abstractNum w:abstractNumId="61">
    <w:nsid w:val="1F48EAA1"/>
    <w:multiLevelType w:val="hybridMultilevel"/>
    <w:lvl w:ilvl="0">
      <w:lvlJc w:val="left"/>
      <w:lvlText w:val="%1."/>
      <w:numFmt w:val="decimal"/>
      <w:start w:val="12"/>
    </w:lvl>
  </w:abstractNum>
  <w:abstractNum w:abstractNumId="62">
    <w:nsid w:val="1381823A"/>
    <w:multiLevelType w:val="hybridMultilevel"/>
    <w:lvl w:ilvl="0">
      <w:lvlJc w:val="left"/>
      <w:lvlText w:val="(%1)"/>
      <w:numFmt w:val="lowerRoman"/>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16"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192" Type="http://schemas.openxmlformats.org/officeDocument/2006/relationships/hyperlink" Target="http://www.sec.gov/Archives/edgar/data/0001802665/000119312520226978/d97999dex31.htm" TargetMode="External"/><Relationship Id="rId193" Type="http://schemas.openxmlformats.org/officeDocument/2006/relationships/hyperlink" Target="http://www.sec.gov/Archives/edgar/data/0001802665/000119312520226978/d97999dex32.htm" TargetMode="External"/><Relationship Id="rId194" Type="http://schemas.openxmlformats.org/officeDocument/2006/relationships/hyperlink" Target="http://www.sec.gov/Archives/edgar/data/0001802665/000119312520211023/d755703dex41.htm" TargetMode="External"/><Relationship Id="rId195" Type="http://schemas.openxmlformats.org/officeDocument/2006/relationships/hyperlink" Target="http://www.sec.gov/Archives/edgar/data/0001802665/000119312520199773/d755703dex101.htm" TargetMode="External"/><Relationship Id="rId196" Type="http://schemas.openxmlformats.org/officeDocument/2006/relationships/hyperlink" Target="http://www.sec.gov/Archives/edgar/data/0001802665/000119312520199773/d755703dex102.htm" TargetMode="External"/><Relationship Id="rId197" Type="http://schemas.openxmlformats.org/officeDocument/2006/relationships/hyperlink" Target="http://www.sec.gov/Archives/edgar/data/0001802665/000119312520227079/d91238dex102.htm" TargetMode="External"/><Relationship Id="rId198" Type="http://schemas.openxmlformats.org/officeDocument/2006/relationships/hyperlink" Target="http://www.sec.gov/Archives/edgar/data/0001802665/000119312520227079/d91238dex103.htm" TargetMode="External"/><Relationship Id="rId199" Type="http://schemas.openxmlformats.org/officeDocument/2006/relationships/hyperlink" Target="http://www.sec.gov/Archives/edgar/data/0001802665/000119312520215643/d755703dex106.htm" TargetMode="External"/><Relationship Id="rId200" Type="http://schemas.openxmlformats.org/officeDocument/2006/relationships/hyperlink" Target="http://www.sec.gov/Archives/edgar/data/0001802665/000119312520215643/d755703dex107.htm" TargetMode="External"/><Relationship Id="rId203" Type="http://schemas.openxmlformats.org/officeDocument/2006/relationships/hyperlink" Target="http://www.sec.gov/Archives/edgar/data/0001802665/000119312520215643/d755703dex108.htm" TargetMode="External"/><Relationship Id="rId204" Type="http://schemas.openxmlformats.org/officeDocument/2006/relationships/hyperlink" Target="http://www.sec.gov/Archives/edgar/data/0001802665/000119312520215643/d755703dex1012.htm" TargetMode="External"/><Relationship Id="rId205" Type="http://schemas.openxmlformats.org/officeDocument/2006/relationships/hyperlink" Target="http://www.sec.gov/Archives/edgar/data/0001802665/000119312520215643/d755703dex1013.htm" TargetMode="External"/><Relationship Id="rId206" Type="http://schemas.openxmlformats.org/officeDocument/2006/relationships/hyperlink" Target="http://www.sec.gov/Archives/edgar/data/0001802665/000119312520215643/d755703dex103.htm" TargetMode="External"/><Relationship Id="rId207" Type="http://schemas.openxmlformats.org/officeDocument/2006/relationships/hyperlink" Target="http://www.sec.gov/Archives/edgar/data/0001802665/000156459020053320/hrmy-ex109_551.htm" TargetMode="External"/><Relationship Id="rId208" Type="http://schemas.openxmlformats.org/officeDocument/2006/relationships/hyperlink" Target="http://www.sec.gov/Archives/edgar/data/0001802665/000119312520215643/d755703dex109.htm" TargetMode="External"/><Relationship Id="rId209" Type="http://schemas.openxmlformats.org/officeDocument/2006/relationships/hyperlink" Target="http://www.sec.gov/Archives/edgar/data/0001802665/000119312520215643/d755703dex1010.htm" TargetMode="External"/><Relationship Id="rId210" Type="http://schemas.openxmlformats.org/officeDocument/2006/relationships/hyperlink" Target="http://www.sec.gov/Archives/edgar/data/0001802665/000119312520199773/d755703dex1010.htm" TargetMode="External"/><Relationship Id="rId211" Type="http://schemas.openxmlformats.org/officeDocument/2006/relationships/hyperlink" Target="http://www.sec.gov/Archives/edgar/data/0001802665/000119312520199773/d755703dex1011.htm" TargetMode="External"/><Relationship Id="rId212" Type="http://schemas.openxmlformats.org/officeDocument/2006/relationships/hyperlink" Target="http://www.sec.gov/Archives/edgar/data/0001802665/000119312520199773/d755703dex1012.htm" TargetMode="External"/><Relationship Id="rId213" Type="http://schemas.openxmlformats.org/officeDocument/2006/relationships/hyperlink" Target="http://www.sec.gov/Archives/edgar/data/0001802665/000119312520199773/d755703dex1013.htm" TargetMode="External"/><Relationship Id="rId214" Type="http://schemas.openxmlformats.org/officeDocument/2006/relationships/hyperlink" Target="http://www.sec.gov/Archives/edgar/data/0001802665/000119312520199773/d755703dex1014.htm" TargetMode="External"/><Relationship Id="rId215" Type="http://schemas.openxmlformats.org/officeDocument/2006/relationships/hyperlink" Target="http://www.sec.gov/Archives/edgar/data/0001802665/000119312520199773/d755703dex1015.htm" TargetMode="External"/><Relationship Id="rId217" Type="http://schemas.openxmlformats.org/officeDocument/2006/relationships/hyperlink" Target="http://www.sec.gov/Archives/edgar/data/0001802665/000119312521076202/d141546dex101.htm" TargetMode="External"/><Relationship Id="rId218" Type="http://schemas.openxmlformats.org/officeDocument/2006/relationships/hyperlink" Target="http://www.sec.gov/Archives/edgar/data/0001802665/000119312521080566/d13817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2021-03-25T20:37:05Z</dcterms:created>
  <dcterms:modified xsi:type="dcterms:W3CDTF">2021-03-25T20:37:05Z</dcterms:modified>
</cp:coreProperties>
</file>