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417830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jc w:val="center"/>
        <w:ind w:right="19"/>
        <w:spacing w:after="0" w:line="235"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53340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66040</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27" w:lineRule="exact"/>
        <w:rPr>
          <w:sz w:val="24"/>
          <w:szCs w:val="24"/>
          <w:color w:val="auto"/>
        </w:rPr>
      </w:pPr>
    </w:p>
    <w:p>
      <w:pPr>
        <w:ind w:left="60"/>
        <w:spacing w:after="0"/>
        <w:rPr>
          <w:sz w:val="20"/>
          <w:szCs w:val="20"/>
          <w:color w:val="auto"/>
        </w:rPr>
      </w:pPr>
      <w:r>
        <w:rPr>
          <w:rFonts w:ascii="Arial" w:cs="Arial" w:eastAsia="Arial" w:hAnsi="Arial"/>
          <w:sz w:val="14"/>
          <w:szCs w:val="14"/>
          <w:color w:val="auto"/>
        </w:rPr>
        <w:t>(Mark One)</w:t>
      </w:r>
    </w:p>
    <w:p>
      <w:pPr>
        <w:spacing w:after="0" w:line="8" w:lineRule="exact"/>
        <w:rPr>
          <w:sz w:val="24"/>
          <w:szCs w:val="24"/>
          <w:color w:val="auto"/>
        </w:rPr>
      </w:pPr>
    </w:p>
    <w:p>
      <w:pPr>
        <w:ind w:left="500" w:hanging="450"/>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 the Quarterly Period Ended June 30, 2023</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91" w:lineRule="exact"/>
        <w:rPr>
          <w:sz w:val="24"/>
          <w:szCs w:val="24"/>
          <w:color w:val="auto"/>
        </w:rPr>
      </w:pPr>
    </w:p>
    <w:p>
      <w:pPr>
        <w:ind w:left="500" w:hanging="450"/>
        <w:spacing w:after="0"/>
        <w:tabs>
          <w:tab w:leader="none" w:pos="5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31" w:lineRule="exact"/>
        <w:rPr>
          <w:sz w:val="24"/>
          <w:szCs w:val="24"/>
          <w:color w:val="auto"/>
        </w:rPr>
      </w:pPr>
    </w:p>
    <w:tbl>
      <w:tblPr>
        <w:tblLayout w:type="fixed"/>
        <w:tblInd w:w="3080" w:type="dxa"/>
        <w:tblCellMar>
          <w:top w:w="0" w:type="dxa"/>
          <w:left w:w="0" w:type="dxa"/>
          <w:bottom w:w="0" w:type="dxa"/>
          <w:right w:w="0" w:type="dxa"/>
        </w:tblCellMar>
      </w:tblPr>
      <w:tr>
        <w:trPr>
          <w:trHeight w:val="162"/>
        </w:trPr>
        <w:tc>
          <w:tcPr>
            <w:tcW w:w="2680" w:type="dxa"/>
            <w:vAlign w:val="bottom"/>
            <w:gridSpan w:val="3"/>
          </w:tcPr>
          <w:p>
            <w:pPr>
              <w:spacing w:after="0"/>
              <w:rPr>
                <w:sz w:val="20"/>
                <w:szCs w:val="20"/>
                <w:color w:val="auto"/>
              </w:rPr>
            </w:pPr>
            <w:r>
              <w:rPr>
                <w:rFonts w:ascii="Arial" w:cs="Arial" w:eastAsia="Arial" w:hAnsi="Arial"/>
                <w:sz w:val="14"/>
                <w:szCs w:val="14"/>
                <w:color w:val="auto"/>
              </w:rPr>
              <w:t>For the transition period from</w:t>
            </w:r>
          </w:p>
        </w:tc>
        <w:tc>
          <w:tcPr>
            <w:tcW w:w="160" w:type="dxa"/>
            <w:vAlign w:val="bottom"/>
          </w:tcPr>
          <w:p>
            <w:pPr>
              <w:ind w:left="40"/>
              <w:spacing w:after="0"/>
              <w:rPr>
                <w:sz w:val="20"/>
                <w:szCs w:val="20"/>
                <w:color w:val="auto"/>
              </w:rPr>
            </w:pPr>
            <w:r>
              <w:rPr>
                <w:rFonts w:ascii="Arial" w:cs="Arial" w:eastAsia="Arial" w:hAnsi="Arial"/>
                <w:sz w:val="14"/>
                <w:szCs w:val="14"/>
                <w:color w:val="auto"/>
                <w:w w:val="85"/>
              </w:rPr>
              <w:t>to</w:t>
            </w:r>
          </w:p>
        </w:tc>
      </w:tr>
      <w:tr>
        <w:trPr>
          <w:trHeight w:val="182"/>
        </w:trPr>
        <w:tc>
          <w:tcPr>
            <w:tcW w:w="2680" w:type="dxa"/>
            <w:vAlign w:val="bottom"/>
            <w:gridSpan w:val="3"/>
          </w:tcPr>
          <w:p>
            <w:pPr>
              <w:ind w:left="240"/>
              <w:spacing w:after="0"/>
              <w:rPr>
                <w:sz w:val="20"/>
                <w:szCs w:val="20"/>
                <w:color w:val="auto"/>
              </w:rPr>
            </w:pPr>
            <w:r>
              <w:rPr>
                <w:rFonts w:ascii="Arial" w:cs="Arial" w:eastAsia="Arial" w:hAnsi="Arial"/>
                <w:sz w:val="14"/>
                <w:szCs w:val="14"/>
                <w:color w:val="auto"/>
              </w:rPr>
              <w:t>Commission File Number: 001-39450</w:t>
            </w:r>
          </w:p>
        </w:tc>
        <w:tc>
          <w:tcPr>
            <w:tcW w:w="160" w:type="dxa"/>
            <w:vAlign w:val="bottom"/>
          </w:tcPr>
          <w:p>
            <w:pPr>
              <w:spacing w:after="0"/>
              <w:rPr>
                <w:sz w:val="15"/>
                <w:szCs w:val="15"/>
                <w:color w:val="auto"/>
              </w:rPr>
            </w:pPr>
          </w:p>
        </w:tc>
      </w:tr>
      <w:tr>
        <w:trPr>
          <w:trHeight w:val="66"/>
        </w:trPr>
        <w:tc>
          <w:tcPr>
            <w:tcW w:w="320" w:type="dxa"/>
            <w:vAlign w:val="bottom"/>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r>
    </w:tbl>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HARMONY BIOSCIENCES HOLDINGS, INC.</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57785</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60" w:lineRule="exact"/>
        <w:rPr>
          <w:sz w:val="24"/>
          <w:szCs w:val="24"/>
          <w:color w:val="auto"/>
        </w:rPr>
      </w:pPr>
    </w:p>
    <w:tbl>
      <w:tblPr>
        <w:tblLayout w:type="fixed"/>
        <w:tblInd w:w="280" w:type="dxa"/>
        <w:tblCellMar>
          <w:top w:w="0" w:type="dxa"/>
          <w:left w:w="0" w:type="dxa"/>
          <w:bottom w:w="0" w:type="dxa"/>
          <w:right w:w="0" w:type="dxa"/>
        </w:tblCellMar>
      </w:tblPr>
      <w:tr>
        <w:trPr>
          <w:trHeight w:val="170"/>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Delaware</w:t>
            </w:r>
          </w:p>
        </w:tc>
        <w:tc>
          <w:tcPr>
            <w:tcW w:w="2080" w:type="dxa"/>
            <w:vAlign w:val="bottom"/>
          </w:tcPr>
          <w:p>
            <w:pPr>
              <w:jc w:val="right"/>
              <w:ind w:right="108"/>
              <w:spacing w:after="0"/>
              <w:rPr>
                <w:sz w:val="20"/>
                <w:szCs w:val="20"/>
                <w:color w:val="auto"/>
              </w:rPr>
            </w:pPr>
            <w:r>
              <w:rPr>
                <w:rFonts w:ascii="Arial" w:cs="Arial" w:eastAsia="Arial" w:hAnsi="Arial"/>
                <w:sz w:val="14"/>
                <w:szCs w:val="14"/>
                <w:b w:val="1"/>
                <w:bCs w:val="1"/>
                <w:color w:val="auto"/>
              </w:rPr>
              <w:t>82-2279923</w:t>
            </w:r>
          </w:p>
        </w:tc>
      </w:tr>
      <w:tr>
        <w:trPr>
          <w:trHeight w:val="162"/>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(State or other jurisdiction of</w:t>
            </w:r>
          </w:p>
        </w:tc>
        <w:tc>
          <w:tcPr>
            <w:tcW w:w="2080" w:type="dxa"/>
            <w:vAlign w:val="bottom"/>
          </w:tcPr>
          <w:p>
            <w:pPr>
              <w:jc w:val="center"/>
              <w:ind w:left="868"/>
              <w:spacing w:after="0"/>
              <w:rPr>
                <w:sz w:val="20"/>
                <w:szCs w:val="20"/>
                <w:color w:val="auto"/>
              </w:rPr>
            </w:pPr>
            <w:r>
              <w:rPr>
                <w:rFonts w:ascii="Arial" w:cs="Arial" w:eastAsia="Arial" w:hAnsi="Arial"/>
                <w:sz w:val="14"/>
                <w:szCs w:val="14"/>
                <w:color w:val="auto"/>
              </w:rPr>
              <w:t>(I.R.S. Employer</w:t>
            </w:r>
          </w:p>
        </w:tc>
      </w:tr>
      <w:tr>
        <w:trPr>
          <w:trHeight w:val="182"/>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incorporation or organization)</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Identification No.)</w:t>
            </w:r>
          </w:p>
        </w:tc>
      </w:tr>
      <w:tr>
        <w:trPr>
          <w:trHeight w:val="331"/>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630 W. Germantown Pike, Suite 215, Plymouth Meeting, PA</w:t>
            </w:r>
          </w:p>
        </w:tc>
        <w:tc>
          <w:tcPr>
            <w:tcW w:w="2080" w:type="dxa"/>
            <w:vAlign w:val="bottom"/>
          </w:tcPr>
          <w:p>
            <w:pPr>
              <w:jc w:val="right"/>
              <w:ind w:right="288"/>
              <w:spacing w:after="0"/>
              <w:rPr>
                <w:sz w:val="20"/>
                <w:szCs w:val="20"/>
                <w:color w:val="auto"/>
              </w:rPr>
            </w:pPr>
            <w:r>
              <w:rPr>
                <w:rFonts w:ascii="Arial" w:cs="Arial" w:eastAsia="Arial" w:hAnsi="Arial"/>
                <w:sz w:val="14"/>
                <w:szCs w:val="14"/>
                <w:b w:val="1"/>
                <w:bCs w:val="1"/>
                <w:color w:val="auto"/>
              </w:rPr>
              <w:t>19462</w:t>
            </w:r>
          </w:p>
        </w:tc>
      </w:tr>
      <w:tr>
        <w:trPr>
          <w:trHeight w:val="182"/>
        </w:trPr>
        <w:tc>
          <w:tcPr>
            <w:tcW w:w="4940" w:type="dxa"/>
            <w:vAlign w:val="bottom"/>
          </w:tcPr>
          <w:p>
            <w:pPr>
              <w:jc w:val="center"/>
              <w:ind w:right="888"/>
              <w:spacing w:after="0"/>
              <w:rPr>
                <w:sz w:val="20"/>
                <w:szCs w:val="20"/>
                <w:color w:val="auto"/>
              </w:rPr>
            </w:pPr>
            <w:r>
              <w:rPr>
                <w:rFonts w:ascii="Arial" w:cs="Arial" w:eastAsia="Arial" w:hAnsi="Arial"/>
                <w:sz w:val="14"/>
                <w:szCs w:val="14"/>
                <w:color w:val="auto"/>
              </w:rPr>
              <w:t>(Address of principal executive offices)</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(Zip Code)</w:t>
            </w:r>
          </w:p>
        </w:tc>
      </w:tr>
    </w:tbl>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(484) 539-9800</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0" w:lineRule="exact"/>
        <w:rPr>
          <w:sz w:val="24"/>
          <w:szCs w:val="24"/>
          <w:color w:val="auto"/>
        </w:rPr>
      </w:pPr>
    </w:p>
    <w:p>
      <w:pPr>
        <w:spacing w:after="0" w:line="279" w:lineRule="exact"/>
        <w:rPr>
          <w:sz w:val="24"/>
          <w:szCs w:val="24"/>
          <w:color w:val="auto"/>
        </w:rPr>
      </w:pPr>
    </w:p>
    <w:tbl>
      <w:tblPr>
        <w:tblLayout w:type="fixed"/>
        <w:tblInd w:w="4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8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75"/>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80" w:type="dxa"/>
            <w:vAlign w:val="bottom"/>
          </w:tcPr>
          <w:p>
            <w:pPr>
              <w:spacing w:after="0"/>
              <w:rPr>
                <w:sz w:val="15"/>
                <w:szCs w:val="15"/>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50"/>
        </w:trPr>
        <w:tc>
          <w:tcPr>
            <w:tcW w:w="3440" w:type="dxa"/>
            <w:vAlign w:val="bottom"/>
          </w:tcPr>
          <w:p>
            <w:pPr>
              <w:jc w:val="center"/>
              <w:spacing w:after="0" w:line="151" w:lineRule="exact"/>
              <w:rPr>
                <w:sz w:val="20"/>
                <w:szCs w:val="20"/>
                <w:color w:val="auto"/>
              </w:rPr>
            </w:pPr>
            <w:r>
              <w:rPr>
                <w:rFonts w:ascii="Arial" w:cs="Arial" w:eastAsia="Arial" w:hAnsi="Arial"/>
                <w:sz w:val="14"/>
                <w:szCs w:val="14"/>
                <w:color w:val="auto"/>
              </w:rPr>
              <w:t>Common Stock, par value $0.00001 value per share</w:t>
            </w:r>
          </w:p>
        </w:tc>
        <w:tc>
          <w:tcPr>
            <w:tcW w:w="160" w:type="dxa"/>
            <w:vAlign w:val="bottom"/>
          </w:tcPr>
          <w:p>
            <w:pPr>
              <w:spacing w:after="0"/>
              <w:rPr>
                <w:sz w:val="13"/>
                <w:szCs w:val="13"/>
                <w:color w:val="auto"/>
              </w:rPr>
            </w:pPr>
          </w:p>
        </w:tc>
        <w:tc>
          <w:tcPr>
            <w:tcW w:w="1720" w:type="dxa"/>
            <w:vAlign w:val="bottom"/>
          </w:tcPr>
          <w:p>
            <w:pPr>
              <w:jc w:val="center"/>
              <w:spacing w:after="0" w:line="151" w:lineRule="exact"/>
              <w:rPr>
                <w:sz w:val="20"/>
                <w:szCs w:val="20"/>
                <w:color w:val="auto"/>
              </w:rPr>
            </w:pPr>
            <w:r>
              <w:rPr>
                <w:rFonts w:ascii="Arial" w:cs="Arial" w:eastAsia="Arial" w:hAnsi="Arial"/>
                <w:sz w:val="14"/>
                <w:szCs w:val="14"/>
                <w:color w:val="auto"/>
              </w:rPr>
              <w:t>HRMY</w:t>
            </w:r>
          </w:p>
        </w:tc>
        <w:tc>
          <w:tcPr>
            <w:tcW w:w="180" w:type="dxa"/>
            <w:vAlign w:val="bottom"/>
          </w:tcPr>
          <w:p>
            <w:pPr>
              <w:spacing w:after="0"/>
              <w:rPr>
                <w:sz w:val="13"/>
                <w:szCs w:val="13"/>
                <w:color w:val="auto"/>
              </w:rPr>
            </w:pPr>
          </w:p>
        </w:tc>
        <w:tc>
          <w:tcPr>
            <w:tcW w:w="3420" w:type="dxa"/>
            <w:vAlign w:val="bottom"/>
          </w:tcPr>
          <w:p>
            <w:pPr>
              <w:jc w:val="center"/>
              <w:spacing w:after="0" w:line="151" w:lineRule="exact"/>
              <w:rPr>
                <w:sz w:val="20"/>
                <w:szCs w:val="20"/>
                <w:color w:val="auto"/>
              </w:rPr>
            </w:pPr>
            <w:r>
              <w:rPr>
                <w:rFonts w:ascii="Arial" w:cs="Arial" w:eastAsia="Arial" w:hAnsi="Arial"/>
                <w:sz w:val="14"/>
                <w:szCs w:val="14"/>
                <w:color w:val="auto"/>
              </w:rPr>
              <w:t>The Nasdaq Stock Market LLC</w:t>
            </w:r>
          </w:p>
        </w:tc>
      </w:tr>
      <w:tr>
        <w:trPr>
          <w:trHeight w:val="182"/>
        </w:trPr>
        <w:tc>
          <w:tcPr>
            <w:tcW w:w="3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rPr>
              <w:t>(Nasdaq Global Market)</w:t>
            </w:r>
          </w:p>
        </w:tc>
      </w:tr>
    </w:tbl>
    <w:p>
      <w:pPr>
        <w:spacing w:after="0" w:line="142" w:lineRule="exact"/>
        <w:rPr>
          <w:sz w:val="24"/>
          <w:szCs w:val="24"/>
          <w:color w:val="auto"/>
        </w:rPr>
      </w:pPr>
    </w:p>
    <w:p>
      <w:pPr>
        <w:ind w:left="60" w:right="159"/>
        <w:spacing w:after="0" w:line="17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ind w:left="60" w:right="199"/>
        <w:spacing w:after="0" w:line="17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ind w:left="60" w:right="259"/>
        <w:spacing w:after="0" w:line="25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1" w:lineRule="exact"/>
        <w:rPr>
          <w:sz w:val="24"/>
          <w:szCs w:val="24"/>
          <w:color w:val="auto"/>
        </w:rPr>
      </w:pPr>
    </w:p>
    <w:tbl>
      <w:tblPr>
        <w:tblLayout w:type="fixed"/>
        <w:tblInd w:w="100" w:type="dxa"/>
        <w:tblCellMar>
          <w:top w:w="0" w:type="dxa"/>
          <w:left w:w="0" w:type="dxa"/>
          <w:bottom w:w="0" w:type="dxa"/>
          <w:right w:w="0" w:type="dxa"/>
        </w:tblCellMar>
      </w:tblPr>
      <w:tr>
        <w:trPr>
          <w:trHeight w:val="189"/>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20" w:type="dxa"/>
            <w:vAlign w:val="bottom"/>
          </w:tcPr>
          <w:p>
            <w:pPr>
              <w:ind w:left="236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20" w:type="dxa"/>
            <w:vAlign w:val="bottom"/>
          </w:tcPr>
          <w:p>
            <w:pPr>
              <w:ind w:left="236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5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4220" w:type="dxa"/>
            <w:vAlign w:val="bottom"/>
          </w:tcPr>
          <w:p>
            <w:pPr>
              <w:ind w:left="236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18" w:lineRule="exact"/>
        <w:rPr>
          <w:sz w:val="24"/>
          <w:szCs w:val="24"/>
          <w:color w:val="auto"/>
        </w:rPr>
      </w:pPr>
    </w:p>
    <w:p>
      <w:pPr>
        <w:ind w:left="60" w:right="159"/>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60"/>
        <w:spacing w:after="0" w:line="161" w:lineRule="exact"/>
        <w:tabs>
          <w:tab w:leader="none" w:pos="7340" w:val="left"/>
          <w:tab w:leader="none" w:pos="79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8" w:lineRule="exact"/>
        <w:rPr>
          <w:sz w:val="24"/>
          <w:szCs w:val="24"/>
          <w:color w:val="auto"/>
        </w:rPr>
      </w:pPr>
    </w:p>
    <w:p>
      <w:pPr>
        <w:ind w:left="60" w:right="619" w:firstLine="648"/>
        <w:spacing w:after="0" w:line="273" w:lineRule="auto"/>
        <w:rPr>
          <w:sz w:val="20"/>
          <w:szCs w:val="20"/>
          <w:color w:val="auto"/>
        </w:rPr>
      </w:pPr>
      <w:r>
        <w:rPr>
          <w:rFonts w:ascii="Arial" w:cs="Arial" w:eastAsia="Arial" w:hAnsi="Arial"/>
          <w:sz w:val="14"/>
          <w:szCs w:val="14"/>
          <w:color w:val="auto"/>
        </w:rPr>
        <w:t>As of July 28, 2023, there were 60,000,145 shares of the registrant’s common stock, par value $0.00001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542290</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165100</wp:posOffset>
            </wp:positionV>
            <wp:extent cx="5657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ABLE OF CONTENTS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200" w:type="dxa"/>
            <w:vAlign w:val="bottom"/>
            <w:gridSpan w:val="7"/>
            <w:vMerge w:val="restart"/>
          </w:tcPr>
          <w:p>
            <w:pPr>
              <w:spacing w:after="0"/>
              <w:rPr>
                <w:sz w:val="20"/>
                <w:szCs w:val="20"/>
                <w:color w:val="auto"/>
              </w:rPr>
            </w:pPr>
            <w:r>
              <w:rPr>
                <w:rFonts w:ascii="Arial" w:cs="Arial" w:eastAsia="Arial" w:hAnsi="Arial"/>
                <w:sz w:val="18"/>
                <w:szCs w:val="18"/>
                <w:color w:val="0000EE"/>
                <w:w w:val="99"/>
              </w:rPr>
              <w:t>Part I. Financial Information</w:t>
            </w:r>
          </w:p>
        </w:tc>
        <w:tc>
          <w:tcPr>
            <w:tcW w:w="5880" w:type="dxa"/>
            <w:vAlign w:val="bottom"/>
            <w:gridSpan w:val="14"/>
            <w:vMerge w:val="restart"/>
          </w:tcPr>
          <w:p>
            <w:pPr>
              <w:spacing w:after="0"/>
              <w:rPr>
                <w:sz w:val="15"/>
                <w:szCs w:val="15"/>
                <w:color w:val="auto"/>
              </w:rPr>
            </w:pPr>
          </w:p>
        </w:tc>
        <w:tc>
          <w:tcPr>
            <w:tcW w:w="8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200" w:type="dxa"/>
            <w:vAlign w:val="bottom"/>
            <w:tcBorders>
              <w:bottom w:val="single" w:sz="8" w:color="0000EE"/>
            </w:tcBorders>
            <w:gridSpan w:val="7"/>
            <w:vMerge w:val="continue"/>
          </w:tcPr>
          <w:p>
            <w:pPr>
              <w:spacing w:after="0"/>
              <w:rPr>
                <w:sz w:val="13"/>
                <w:szCs w:val="13"/>
                <w:color w:val="auto"/>
              </w:rPr>
            </w:pPr>
          </w:p>
        </w:tc>
        <w:tc>
          <w:tcPr>
            <w:tcW w:w="5880" w:type="dxa"/>
            <w:vAlign w:val="bottom"/>
            <w:gridSpan w:val="14"/>
            <w:vMerge w:val="continue"/>
          </w:tcPr>
          <w:p>
            <w:pPr>
              <w:spacing w:after="0"/>
              <w:rPr>
                <w:sz w:val="13"/>
                <w:szCs w:val="13"/>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2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9"/>
              </w:rPr>
              <w:t>Item 1. Financial Statements</w:t>
            </w:r>
          </w:p>
        </w:tc>
        <w:tc>
          <w:tcPr>
            <w:tcW w:w="5480" w:type="dxa"/>
            <w:vAlign w:val="bottom"/>
            <w:gridSpan w:val="11"/>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320" w:type="dxa"/>
            <w:vAlign w:val="bottom"/>
            <w:tcBorders>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Condensed Consolidated Balance Sheets (Unaudited)</w:t>
            </w:r>
          </w:p>
        </w:tc>
        <w:tc>
          <w:tcPr>
            <w:tcW w:w="3120" w:type="dxa"/>
            <w:vAlign w:val="bottom"/>
            <w:gridSpan w:val="8"/>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0" w:type="dxa"/>
            <w:vAlign w:val="bottom"/>
            <w:tcBorders>
              <w:bottom w:val="single" w:sz="8" w:color="0000EE"/>
            </w:tcBorders>
            <w:gridSpan w:val="18"/>
          </w:tcPr>
          <w:p>
            <w:pPr>
              <w:spacing w:after="0" w:line="182" w:lineRule="exact"/>
              <w:rPr>
                <w:sz w:val="20"/>
                <w:szCs w:val="20"/>
                <w:color w:val="auto"/>
              </w:rPr>
            </w:pPr>
            <w:r>
              <w:rPr>
                <w:rFonts w:ascii="Arial" w:cs="Arial" w:eastAsia="Arial" w:hAnsi="Arial"/>
                <w:sz w:val="18"/>
                <w:szCs w:val="18"/>
                <w:color w:val="0000EE"/>
                <w:w w:val="99"/>
              </w:rPr>
              <w:t>Condensed Consolidated Statements of Operations and Comprehensive Income (Unaudited)</w:t>
            </w:r>
          </w:p>
        </w:tc>
        <w:tc>
          <w:tcPr>
            <w:tcW w:w="4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40" w:type="dxa"/>
            <w:vAlign w:val="bottom"/>
            <w:gridSpan w:val="19"/>
          </w:tcPr>
          <w:p>
            <w:pPr>
              <w:spacing w:after="0" w:line="182" w:lineRule="exact"/>
              <w:rPr>
                <w:sz w:val="20"/>
                <w:szCs w:val="20"/>
                <w:color w:val="auto"/>
              </w:rPr>
            </w:pPr>
            <w:r>
              <w:rPr>
                <w:rFonts w:ascii="Arial" w:cs="Arial" w:eastAsia="Arial" w:hAnsi="Arial"/>
                <w:sz w:val="18"/>
                <w:szCs w:val="18"/>
                <w:color w:val="0000EE"/>
              </w:rPr>
              <w:t>Condensed Consolidated Statements of Stockholders’ Equity (Unaudited)</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160" w:type="dxa"/>
            <w:vAlign w:val="bottom"/>
            <w:tcBorders>
              <w:top w:val="single" w:sz="8" w:color="0000EE"/>
              <w:bottom w:val="single" w:sz="8" w:color="0000EE"/>
            </w:tcBorders>
            <w:gridSpan w:val="14"/>
          </w:tcPr>
          <w:p>
            <w:pPr>
              <w:spacing w:after="0" w:line="182" w:lineRule="exact"/>
              <w:rPr>
                <w:sz w:val="20"/>
                <w:szCs w:val="20"/>
                <w:color w:val="auto"/>
              </w:rPr>
            </w:pPr>
            <w:r>
              <w:rPr>
                <w:rFonts w:ascii="Arial" w:cs="Arial" w:eastAsia="Arial" w:hAnsi="Arial"/>
                <w:sz w:val="18"/>
                <w:szCs w:val="18"/>
                <w:color w:val="0000EE"/>
                <w:w w:val="99"/>
              </w:rPr>
              <w:t>Condensed Consolidated Statements of Cash Flows (Unaudited)</w:t>
            </w:r>
          </w:p>
        </w:tc>
        <w:tc>
          <w:tcPr>
            <w:tcW w:w="680" w:type="dxa"/>
            <w:vAlign w:val="bottom"/>
            <w:tcBorders>
              <w:top w:val="single" w:sz="8" w:color="0000EE"/>
            </w:tcBorders>
            <w:gridSpan w:val="2"/>
          </w:tcPr>
          <w:p>
            <w:pPr>
              <w:spacing w:after="0"/>
              <w:rPr>
                <w:sz w:val="15"/>
                <w:szCs w:val="15"/>
                <w:color w:val="auto"/>
              </w:rPr>
            </w:pPr>
          </w:p>
        </w:tc>
        <w:tc>
          <w:tcPr>
            <w:tcW w:w="1600" w:type="dxa"/>
            <w:vAlign w:val="bottom"/>
            <w:gridSpan w:val="3"/>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60" w:type="dxa"/>
            <w:vAlign w:val="bottom"/>
            <w:tcBorders>
              <w:bottom w:val="single" w:sz="8" w:color="0000EE"/>
            </w:tcBorders>
            <w:gridSpan w:val="15"/>
          </w:tcPr>
          <w:p>
            <w:pPr>
              <w:spacing w:after="0" w:line="182" w:lineRule="exact"/>
              <w:rPr>
                <w:sz w:val="20"/>
                <w:szCs w:val="20"/>
                <w:color w:val="auto"/>
              </w:rPr>
            </w:pPr>
            <w:r>
              <w:rPr>
                <w:rFonts w:ascii="Arial" w:cs="Arial" w:eastAsia="Arial" w:hAnsi="Arial"/>
                <w:sz w:val="18"/>
                <w:szCs w:val="18"/>
                <w:color w:val="0000EE"/>
                <w:w w:val="99"/>
              </w:rPr>
              <w:t>Notes to Condensed Consolidated Financial Statements (Unaudited)</w:t>
            </w:r>
          </w:p>
        </w:tc>
        <w:tc>
          <w:tcPr>
            <w:tcW w:w="1980" w:type="dxa"/>
            <w:vAlign w:val="bottom"/>
            <w:gridSpan w:val="4"/>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60" w:type="dxa"/>
            <w:vAlign w:val="bottom"/>
            <w:gridSpan w:val="20"/>
          </w:tcPr>
          <w:p>
            <w:pPr>
              <w:spacing w:after="0" w:line="182" w:lineRule="exact"/>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300" w:type="dxa"/>
            <w:vAlign w:val="bottom"/>
            <w:tcBorders>
              <w:top w:val="single" w:sz="8" w:color="0000EE"/>
              <w:bottom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9"/>
              </w:rPr>
              <w:t>Item 3. Quantitative and Qualitative Disclosures About Market Risk</w:t>
            </w:r>
          </w:p>
        </w:tc>
        <w:tc>
          <w:tcPr>
            <w:tcW w:w="2360" w:type="dxa"/>
            <w:vAlign w:val="bottom"/>
            <w:tcBorders>
              <w:top w:val="single" w:sz="8" w:color="0000EE"/>
            </w:tcBorders>
            <w:gridSpan w:val="5"/>
          </w:tcPr>
          <w:p>
            <w:pPr>
              <w:spacing w:after="0"/>
              <w:rPr>
                <w:sz w:val="15"/>
                <w:szCs w:val="15"/>
                <w:color w:val="auto"/>
              </w:rPr>
            </w:pPr>
          </w:p>
        </w:tc>
        <w:tc>
          <w:tcPr>
            <w:tcW w:w="100" w:type="dxa"/>
            <w:vAlign w:val="bottom"/>
            <w:gridSpan w:val="2"/>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60" w:type="dxa"/>
            <w:vAlign w:val="bottom"/>
            <w:gridSpan w:val="20"/>
          </w:tcPr>
          <w:p>
            <w:pPr>
              <w:spacing w:after="0" w:line="182" w:lineRule="exact"/>
              <w:rPr>
                <w:sz w:val="20"/>
                <w:szCs w:val="20"/>
                <w:color w:val="auto"/>
              </w:rPr>
            </w:pPr>
            <w:r>
              <w:rPr>
                <w:rFonts w:ascii="Arial" w:cs="Arial" w:eastAsia="Arial" w:hAnsi="Arial"/>
                <w:sz w:val="18"/>
                <w:szCs w:val="18"/>
                <w:color w:val="0000EE"/>
              </w:rPr>
              <w:t>Item 4. Controls and Procedures</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83"/>
        </w:trPr>
        <w:tc>
          <w:tcPr>
            <w:tcW w:w="1980" w:type="dxa"/>
            <w:vAlign w:val="bottom"/>
            <w:tcBorders>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Part II. Other Information</w:t>
            </w:r>
          </w:p>
        </w:tc>
        <w:tc>
          <w:tcPr>
            <w:tcW w:w="6100" w:type="dxa"/>
            <w:vAlign w:val="bottom"/>
            <w:gridSpan w:val="16"/>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60" w:type="dxa"/>
            <w:vAlign w:val="bottom"/>
            <w:gridSpan w:val="20"/>
          </w:tcPr>
          <w:p>
            <w:pPr>
              <w:spacing w:after="0" w:line="182" w:lineRule="exact"/>
              <w:rPr>
                <w:sz w:val="20"/>
                <w:szCs w:val="20"/>
                <w:color w:val="auto"/>
              </w:rPr>
            </w:pPr>
            <w:r>
              <w:rPr>
                <w:rFonts w:ascii="Arial" w:cs="Arial" w:eastAsia="Arial" w:hAnsi="Arial"/>
                <w:sz w:val="18"/>
                <w:szCs w:val="18"/>
                <w:color w:val="0000EE"/>
              </w:rPr>
              <w:t>Item 1. Legal Proceedings</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172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Item 1A. Risk Factors</w:t>
            </w:r>
          </w:p>
        </w:tc>
        <w:tc>
          <w:tcPr>
            <w:tcW w:w="360" w:type="dxa"/>
            <w:vAlign w:val="bottom"/>
            <w:tcBorders>
              <w:top w:val="single" w:sz="8" w:color="0000EE"/>
            </w:tcBorders>
            <w:gridSpan w:val="3"/>
          </w:tcPr>
          <w:p>
            <w:pPr>
              <w:spacing w:after="0"/>
              <w:rPr>
                <w:sz w:val="15"/>
                <w:szCs w:val="15"/>
                <w:color w:val="auto"/>
              </w:rPr>
            </w:pPr>
          </w:p>
        </w:tc>
        <w:tc>
          <w:tcPr>
            <w:tcW w:w="5680" w:type="dxa"/>
            <w:vAlign w:val="bottom"/>
            <w:gridSpan w:val="12"/>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60" w:type="dxa"/>
            <w:vAlign w:val="bottom"/>
            <w:gridSpan w:val="20"/>
          </w:tcPr>
          <w:p>
            <w:pPr>
              <w:spacing w:after="0" w:line="182" w:lineRule="exact"/>
              <w:rPr>
                <w:sz w:val="20"/>
                <w:szCs w:val="20"/>
                <w:color w:val="auto"/>
              </w:rPr>
            </w:pPr>
            <w:r>
              <w:rPr>
                <w:rFonts w:ascii="Arial" w:cs="Arial" w:eastAsia="Arial" w:hAnsi="Arial"/>
                <w:sz w:val="18"/>
                <w:szCs w:val="18"/>
                <w:color w:val="0000EE"/>
              </w:rPr>
              <w:t>Item 2. Unregistered Sales of Equity Securities and Use of Proceeds</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12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Item 3. Defaults upon Senior Securities</w:t>
            </w:r>
          </w:p>
        </w:tc>
        <w:tc>
          <w:tcPr>
            <w:tcW w:w="2320" w:type="dxa"/>
            <w:vAlign w:val="bottom"/>
            <w:tcBorders>
              <w:top w:val="single" w:sz="8" w:color="0000EE"/>
            </w:tcBorders>
            <w:gridSpan w:val="3"/>
          </w:tcPr>
          <w:p>
            <w:pPr>
              <w:spacing w:after="0"/>
              <w:rPr>
                <w:sz w:val="15"/>
                <w:szCs w:val="15"/>
                <w:color w:val="auto"/>
              </w:rPr>
            </w:pPr>
          </w:p>
        </w:tc>
        <w:tc>
          <w:tcPr>
            <w:tcW w:w="2320" w:type="dxa"/>
            <w:vAlign w:val="bottom"/>
            <w:gridSpan w:val="6"/>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60" w:type="dxa"/>
            <w:vAlign w:val="bottom"/>
            <w:gridSpan w:val="20"/>
          </w:tcPr>
          <w:p>
            <w:pPr>
              <w:spacing w:after="0" w:line="182" w:lineRule="exact"/>
              <w:rPr>
                <w:sz w:val="20"/>
                <w:szCs w:val="20"/>
                <w:color w:val="auto"/>
              </w:rPr>
            </w:pPr>
            <w:r>
              <w:rPr>
                <w:rFonts w:ascii="Arial" w:cs="Arial" w:eastAsia="Arial" w:hAnsi="Arial"/>
                <w:sz w:val="18"/>
                <w:szCs w:val="18"/>
                <w:color w:val="0000EE"/>
              </w:rPr>
              <w:t>Item 4. Mine Safety Disclosures</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000" w:type="dxa"/>
            <w:vAlign w:val="bottom"/>
            <w:tcBorders>
              <w:top w:val="single" w:sz="8" w:color="0000EE"/>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8"/>
              </w:rPr>
              <w:t>Item 5. Other Information</w:t>
            </w:r>
          </w:p>
        </w:tc>
        <w:tc>
          <w:tcPr>
            <w:tcW w:w="580" w:type="dxa"/>
            <w:vAlign w:val="bottom"/>
            <w:tcBorders>
              <w:top w:val="single" w:sz="8" w:color="0000EE"/>
            </w:tcBorders>
            <w:gridSpan w:val="3"/>
          </w:tcPr>
          <w:p>
            <w:pPr>
              <w:spacing w:after="0"/>
              <w:rPr>
                <w:sz w:val="15"/>
                <w:szCs w:val="15"/>
                <w:color w:val="auto"/>
              </w:rPr>
            </w:pPr>
          </w:p>
        </w:tc>
        <w:tc>
          <w:tcPr>
            <w:tcW w:w="5180" w:type="dxa"/>
            <w:vAlign w:val="bottom"/>
            <w:gridSpan w:val="10"/>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60" w:type="dxa"/>
            <w:vAlign w:val="bottom"/>
            <w:gridSpan w:val="20"/>
          </w:tcPr>
          <w:p>
            <w:pPr>
              <w:spacing w:after="0" w:line="182" w:lineRule="exact"/>
              <w:rPr>
                <w:sz w:val="20"/>
                <w:szCs w:val="20"/>
                <w:color w:val="auto"/>
              </w:rPr>
            </w:pPr>
            <w:r>
              <w:rPr>
                <w:rFonts w:ascii="Arial" w:cs="Arial" w:eastAsia="Arial" w:hAnsi="Arial"/>
                <w:sz w:val="18"/>
                <w:szCs w:val="18"/>
                <w:color w:val="0000EE"/>
              </w:rPr>
              <w:t>Item 6. Exhibits</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540" w:type="dxa"/>
            <w:vAlign w:val="bottom"/>
            <w:gridSpan w:val="17"/>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183"/>
        </w:trPr>
        <w:tc>
          <w:tcPr>
            <w:tcW w:w="86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Signatures</w:t>
            </w:r>
          </w:p>
        </w:tc>
        <w:tc>
          <w:tcPr>
            <w:tcW w:w="7220" w:type="dxa"/>
            <w:vAlign w:val="bottom"/>
            <w:gridSpan w:val="18"/>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8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r>
      <w:tr>
        <w:trPr>
          <w:trHeight w:val="156"/>
        </w:trPr>
        <w:tc>
          <w:tcPr>
            <w:tcW w:w="68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62"/>
        </w:trPr>
        <w:tc>
          <w:tcPr>
            <w:tcW w:w="6800" w:type="dxa"/>
            <w:vAlign w:val="bottom"/>
          </w:tcPr>
          <w:p>
            <w:pPr>
              <w:ind w:left="1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6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317,415</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243,784</w:t>
            </w:r>
          </w:p>
        </w:tc>
      </w:tr>
      <w:tr>
        <w:trPr>
          <w:trHeight w:val="162"/>
        </w:trPr>
        <w:tc>
          <w:tcPr>
            <w:tcW w:w="6800" w:type="dxa"/>
            <w:vAlign w:val="bottom"/>
          </w:tcPr>
          <w:p>
            <w:pPr>
              <w:ind w:left="220"/>
              <w:spacing w:after="0"/>
              <w:rPr>
                <w:sz w:val="20"/>
                <w:szCs w:val="20"/>
                <w:color w:val="auto"/>
              </w:rPr>
            </w:pPr>
            <w:r>
              <w:rPr>
                <w:rFonts w:ascii="Arial" w:cs="Arial" w:eastAsia="Arial" w:hAnsi="Arial"/>
                <w:sz w:val="14"/>
                <w:szCs w:val="14"/>
                <w:color w:val="auto"/>
              </w:rPr>
              <w:t>Investments, short-term</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53,568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79,331</w:t>
            </w:r>
          </w:p>
        </w:tc>
      </w:tr>
      <w:tr>
        <w:trPr>
          <w:trHeight w:val="162"/>
        </w:trPr>
        <w:tc>
          <w:tcPr>
            <w:tcW w:w="6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 net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63,812</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54,740</w:t>
            </w:r>
          </w:p>
        </w:tc>
      </w:tr>
      <w:tr>
        <w:trPr>
          <w:trHeight w:val="162"/>
        </w:trPr>
        <w:tc>
          <w:tcPr>
            <w:tcW w:w="6800" w:type="dxa"/>
            <w:vAlign w:val="bottom"/>
          </w:tcPr>
          <w:p>
            <w:pPr>
              <w:ind w:left="220"/>
              <w:spacing w:after="0"/>
              <w:rPr>
                <w:sz w:val="20"/>
                <w:szCs w:val="20"/>
                <w:color w:val="auto"/>
              </w:rPr>
            </w:pPr>
            <w:r>
              <w:rPr>
                <w:rFonts w:ascii="Arial" w:cs="Arial" w:eastAsia="Arial" w:hAnsi="Arial"/>
                <w:sz w:val="14"/>
                <w:szCs w:val="14"/>
                <w:color w:val="auto"/>
              </w:rPr>
              <w:t>Inventory, net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4,854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4,297</w:t>
            </w:r>
          </w:p>
        </w:tc>
      </w:tr>
      <w:tr>
        <w:trPr>
          <w:trHeight w:val="162"/>
        </w:trPr>
        <w:tc>
          <w:tcPr>
            <w:tcW w:w="6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9,442</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9,347</w:t>
            </w:r>
          </w:p>
        </w:tc>
      </w:tr>
      <w:tr>
        <w:trPr>
          <w:trHeight w:val="162"/>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assets</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6,550</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8,786</w:t>
            </w:r>
          </w:p>
        </w:tc>
      </w:tr>
      <w:tr>
        <w:trPr>
          <w:trHeight w:val="155"/>
        </w:trPr>
        <w:tc>
          <w:tcPr>
            <w:tcW w:w="680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current assets</w:t>
            </w: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455,641</w:t>
            </w:r>
          </w:p>
        </w:tc>
        <w:tc>
          <w:tcPr>
            <w:tcW w:w="1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400,285</w:t>
            </w:r>
          </w:p>
        </w:tc>
      </w:tr>
      <w:tr>
        <w:trPr>
          <w:trHeight w:val="156"/>
        </w:trPr>
        <w:tc>
          <w:tcPr>
            <w:tcW w:w="6800" w:type="dxa"/>
            <w:vAlign w:val="bottom"/>
          </w:tcPr>
          <w:p>
            <w:pPr>
              <w:ind w:left="120"/>
              <w:spacing w:after="0" w:line="155" w:lineRule="exact"/>
              <w:rPr>
                <w:sz w:val="20"/>
                <w:szCs w:val="20"/>
                <w:color w:val="auto"/>
              </w:rPr>
            </w:pPr>
            <w:r>
              <w:rPr>
                <w:rFonts w:ascii="Arial" w:cs="Arial" w:eastAsia="Arial" w:hAnsi="Arial"/>
                <w:sz w:val="14"/>
                <w:szCs w:val="14"/>
                <w:color w:val="auto"/>
              </w:rPr>
              <w:t>NONCURRENT ASSETS:</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2"/>
        </w:trPr>
        <w:tc>
          <w:tcPr>
            <w:tcW w:w="6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w:t>
            </w:r>
          </w:p>
        </w:tc>
      </w:tr>
      <w:tr>
        <w:trPr>
          <w:trHeight w:val="162"/>
        </w:trPr>
        <w:tc>
          <w:tcPr>
            <w:tcW w:w="680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750</w:t>
            </w:r>
          </w:p>
        </w:tc>
      </w:tr>
      <w:tr>
        <w:trPr>
          <w:trHeight w:val="162"/>
        </w:trPr>
        <w:tc>
          <w:tcPr>
            <w:tcW w:w="6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Investments, long-term</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58,651</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22,568</w:t>
            </w:r>
          </w:p>
        </w:tc>
      </w:tr>
      <w:tr>
        <w:trPr>
          <w:trHeight w:val="162"/>
        </w:trPr>
        <w:tc>
          <w:tcPr>
            <w:tcW w:w="680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149,031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160,953</w:t>
            </w:r>
          </w:p>
        </w:tc>
      </w:tr>
      <w:tr>
        <w:trPr>
          <w:trHeight w:val="162"/>
        </w:trPr>
        <w:tc>
          <w:tcPr>
            <w:tcW w:w="6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 asset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93,578</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85,943</w:t>
            </w:r>
          </w:p>
        </w:tc>
      </w:tr>
      <w:tr>
        <w:trPr>
          <w:trHeight w:val="162"/>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assets</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2,460</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2,798</w:t>
            </w:r>
          </w:p>
        </w:tc>
      </w:tr>
      <w:tr>
        <w:trPr>
          <w:trHeight w:val="156"/>
        </w:trPr>
        <w:tc>
          <w:tcPr>
            <w:tcW w:w="680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noncurrent assets</w:t>
            </w: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304,542</w:t>
            </w:r>
          </w:p>
        </w:tc>
        <w:tc>
          <w:tcPr>
            <w:tcW w:w="1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273,585</w:t>
            </w:r>
          </w:p>
        </w:tc>
      </w:tr>
      <w:tr>
        <w:trPr>
          <w:trHeight w:val="195"/>
        </w:trPr>
        <w:tc>
          <w:tcPr>
            <w:tcW w:w="68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760,183</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673,870</w:t>
            </w:r>
          </w:p>
        </w:tc>
      </w:tr>
      <w:tr>
        <w:trPr>
          <w:trHeight w:val="143"/>
        </w:trPr>
        <w:tc>
          <w:tcPr>
            <w:tcW w:w="68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LIABILITIES AND STOCKHOLDERS’ EQUITY</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2"/>
        </w:trPr>
        <w:tc>
          <w:tcPr>
            <w:tcW w:w="6800" w:type="dxa"/>
            <w:vAlign w:val="bottom"/>
          </w:tcPr>
          <w:p>
            <w:pPr>
              <w:ind w:left="12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6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payables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6,563</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3,786</w:t>
            </w:r>
          </w:p>
        </w:tc>
      </w:tr>
      <w:tr>
        <w:trPr>
          <w:trHeight w:val="162"/>
        </w:trPr>
        <w:tc>
          <w:tcPr>
            <w:tcW w:w="680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7,972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11,532</w:t>
            </w:r>
          </w:p>
        </w:tc>
      </w:tr>
      <w:tr>
        <w:trPr>
          <w:trHeight w:val="162"/>
        </w:trPr>
        <w:tc>
          <w:tcPr>
            <w:tcW w:w="6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63,563</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59,942</w:t>
            </w:r>
          </w:p>
        </w:tc>
      </w:tr>
      <w:tr>
        <w:trPr>
          <w:trHeight w:val="162"/>
        </w:trPr>
        <w:tc>
          <w:tcPr>
            <w:tcW w:w="6800" w:type="dxa"/>
            <w:vAlign w:val="bottom"/>
          </w:tcPr>
          <w:p>
            <w:pPr>
              <w:ind w:left="220"/>
              <w:spacing w:after="0"/>
              <w:rPr>
                <w:sz w:val="20"/>
                <w:szCs w:val="20"/>
                <w:color w:val="auto"/>
              </w:rPr>
            </w:pPr>
            <w:r>
              <w:rPr>
                <w:rFonts w:ascii="Arial" w:cs="Arial" w:eastAsia="Arial" w:hAnsi="Arial"/>
                <w:sz w:val="14"/>
                <w:szCs w:val="14"/>
                <w:color w:val="auto"/>
              </w:rPr>
              <w:t>Current portion of long-term debt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11,000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w:t>
            </w:r>
          </w:p>
        </w:tc>
      </w:tr>
      <w:tr>
        <w:trPr>
          <w:trHeight w:val="162"/>
        </w:trPr>
        <w:tc>
          <w:tcPr>
            <w:tcW w:w="6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liabilities</w:t>
            </w: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3,947</w:t>
            </w:r>
          </w:p>
        </w:tc>
        <w:tc>
          <w:tcPr>
            <w:tcW w:w="1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1,624</w:t>
            </w:r>
          </w:p>
        </w:tc>
      </w:tr>
      <w:tr>
        <w:trPr>
          <w:trHeight w:val="155"/>
        </w:trPr>
        <w:tc>
          <w:tcPr>
            <w:tcW w:w="680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current liabilities</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93,045</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78,884</w:t>
            </w:r>
          </w:p>
        </w:tc>
      </w:tr>
      <w:tr>
        <w:trPr>
          <w:trHeight w:val="155"/>
        </w:trPr>
        <w:tc>
          <w:tcPr>
            <w:tcW w:w="680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color w:val="auto"/>
              </w:rPr>
              <w:t>NONCURRENT LIABILITIES:</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62"/>
        </w:trPr>
        <w:tc>
          <w:tcPr>
            <w:tcW w:w="6800" w:type="dxa"/>
            <w:vAlign w:val="bottom"/>
          </w:tcPr>
          <w:p>
            <w:pPr>
              <w:ind w:left="220"/>
              <w:spacing w:after="0"/>
              <w:rPr>
                <w:sz w:val="20"/>
                <w:szCs w:val="20"/>
                <w:color w:val="auto"/>
              </w:rPr>
            </w:pPr>
            <w:r>
              <w:rPr>
                <w:rFonts w:ascii="Arial" w:cs="Arial" w:eastAsia="Arial" w:hAnsi="Arial"/>
                <w:sz w:val="14"/>
                <w:szCs w:val="14"/>
                <w:color w:val="auto"/>
              </w:rPr>
              <w:t>Long-term debt, net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180,487</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189,647</w:t>
            </w:r>
          </w:p>
        </w:tc>
      </w:tr>
      <w:tr>
        <w:trPr>
          <w:trHeight w:val="162"/>
        </w:trPr>
        <w:tc>
          <w:tcPr>
            <w:tcW w:w="6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liabilities</w:t>
            </w: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1,479</w:t>
            </w:r>
          </w:p>
        </w:tc>
        <w:tc>
          <w:tcPr>
            <w:tcW w:w="1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2,501</w:t>
            </w:r>
          </w:p>
        </w:tc>
      </w:tr>
      <w:tr>
        <w:trPr>
          <w:trHeight w:val="155"/>
        </w:trPr>
        <w:tc>
          <w:tcPr>
            <w:tcW w:w="680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noncurrent liabilities</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181,966</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192,148</w:t>
            </w:r>
          </w:p>
        </w:tc>
      </w:tr>
      <w:tr>
        <w:trPr>
          <w:trHeight w:val="155"/>
        </w:trPr>
        <w:tc>
          <w:tcPr>
            <w:tcW w:w="6800" w:type="dxa"/>
            <w:vAlign w:val="bottom"/>
            <w:shd w:val="clear" w:color="auto" w:fill="CCEEFF"/>
          </w:tcPr>
          <w:p>
            <w:pPr>
              <w:ind w:left="340"/>
              <w:spacing w:after="0" w:line="155" w:lineRule="exact"/>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275,011</w:t>
            </w:r>
          </w:p>
        </w:tc>
        <w:tc>
          <w:tcPr>
            <w:tcW w:w="1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271,032</w:t>
            </w:r>
          </w:p>
        </w:tc>
      </w:tr>
      <w:tr>
        <w:trPr>
          <w:trHeight w:val="155"/>
        </w:trPr>
        <w:tc>
          <w:tcPr>
            <w:tcW w:w="6800" w:type="dxa"/>
            <w:vAlign w:val="bottom"/>
          </w:tcPr>
          <w:p>
            <w:pPr>
              <w:ind w:left="120"/>
              <w:spacing w:after="0" w:line="155" w:lineRule="exact"/>
              <w:rPr>
                <w:sz w:val="20"/>
                <w:szCs w:val="20"/>
                <w:color w:val="auto"/>
              </w:rPr>
            </w:pPr>
            <w:r>
              <w:rPr>
                <w:rFonts w:ascii="Arial" w:cs="Arial" w:eastAsia="Arial" w:hAnsi="Arial"/>
                <w:sz w:val="14"/>
                <w:szCs w:val="14"/>
                <w:color w:val="auto"/>
              </w:rPr>
              <w:t>COMMITMENTS AND CONTINGENCIES (Note 12)</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2"/>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STOCKHOLDERS’ EQUITY:</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57"/>
        </w:trPr>
        <w:tc>
          <w:tcPr>
            <w:tcW w:w="6800" w:type="dxa"/>
            <w:vAlign w:val="bottom"/>
          </w:tcPr>
          <w:p>
            <w:pPr>
              <w:ind w:left="220"/>
              <w:spacing w:after="0" w:line="157" w:lineRule="exact"/>
              <w:rPr>
                <w:sz w:val="20"/>
                <w:szCs w:val="20"/>
                <w:color w:val="auto"/>
              </w:rPr>
            </w:pPr>
            <w:r>
              <w:rPr>
                <w:rFonts w:ascii="Arial" w:cs="Arial" w:eastAsia="Arial" w:hAnsi="Arial"/>
                <w:sz w:val="14"/>
                <w:szCs w:val="14"/>
                <w:color w:val="auto"/>
              </w:rPr>
              <w:t>Common stock—$0.00001 par value; 500,000,000 shares authorized at June 30, 2023 and</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2"/>
        </w:trPr>
        <w:tc>
          <w:tcPr>
            <w:tcW w:w="6800" w:type="dxa"/>
            <w:vAlign w:val="bottom"/>
          </w:tcPr>
          <w:p>
            <w:pPr>
              <w:ind w:left="220"/>
              <w:spacing w:after="0"/>
              <w:rPr>
                <w:sz w:val="20"/>
                <w:szCs w:val="20"/>
                <w:color w:val="auto"/>
              </w:rPr>
            </w:pPr>
            <w:r>
              <w:rPr>
                <w:rFonts w:ascii="Arial" w:cs="Arial" w:eastAsia="Arial" w:hAnsi="Arial"/>
                <w:sz w:val="14"/>
                <w:szCs w:val="14"/>
                <w:color w:val="auto"/>
              </w:rPr>
              <w:t>December 31, 2022, respectively; 59,999,658 shares and 59,615,731 issued and outstanding at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800" w:type="dxa"/>
            <w:vAlign w:val="bottom"/>
          </w:tcPr>
          <w:p>
            <w:pPr>
              <w:ind w:left="220"/>
              <w:spacing w:after="0"/>
              <w:rPr>
                <w:sz w:val="20"/>
                <w:szCs w:val="20"/>
                <w:color w:val="auto"/>
              </w:rPr>
            </w:pPr>
            <w:r>
              <w:rPr>
                <w:rFonts w:ascii="Arial" w:cs="Arial" w:eastAsia="Arial" w:hAnsi="Arial"/>
                <w:sz w:val="14"/>
                <w:szCs w:val="14"/>
                <w:color w:val="auto"/>
              </w:rPr>
              <w:t>June 30, 2023 and December 31, 2022, respectively</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2"/>
        </w:trPr>
        <w:tc>
          <w:tcPr>
            <w:tcW w:w="6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 in capital</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694,038</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675,118</w:t>
            </w:r>
          </w:p>
        </w:tc>
      </w:tr>
      <w:tr>
        <w:trPr>
          <w:trHeight w:val="162"/>
        </w:trPr>
        <w:tc>
          <w:tcPr>
            <w:tcW w:w="6800" w:type="dxa"/>
            <w:vAlign w:val="bottom"/>
          </w:tcPr>
          <w:p>
            <w:pPr>
              <w:ind w:left="220"/>
              <w:spacing w:after="0"/>
              <w:rPr>
                <w:sz w:val="20"/>
                <w:szCs w:val="20"/>
                <w:color w:val="auto"/>
              </w:rPr>
            </w:pPr>
            <w:r>
              <w:rPr>
                <w:rFonts w:ascii="Arial" w:cs="Arial" w:eastAsia="Arial" w:hAnsi="Arial"/>
                <w:sz w:val="14"/>
                <w:szCs w:val="14"/>
                <w:color w:val="auto"/>
              </w:rPr>
              <w:t>Accumulated other comprehensive (loss) income</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162"/>
        </w:trPr>
        <w:tc>
          <w:tcPr>
            <w:tcW w:w="6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deficit</w:t>
            </w: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(208,345)</w:t>
            </w:r>
          </w:p>
        </w:tc>
        <w:tc>
          <w:tcPr>
            <w:tcW w:w="1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(272,130)</w:t>
            </w:r>
          </w:p>
        </w:tc>
      </w:tr>
      <w:tr>
        <w:trPr>
          <w:trHeight w:val="155"/>
        </w:trPr>
        <w:tc>
          <w:tcPr>
            <w:tcW w:w="6800" w:type="dxa"/>
            <w:vAlign w:val="bottom"/>
            <w:tcBorders>
              <w:bottom w:val="single" w:sz="8" w:color="CCEEFF"/>
            </w:tcBorders>
          </w:tcPr>
          <w:p>
            <w:pPr>
              <w:ind w:left="340"/>
              <w:spacing w:after="0" w:line="155" w:lineRule="exact"/>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485,172</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402,838</w:t>
            </w:r>
          </w:p>
        </w:tc>
      </w:tr>
      <w:tr>
        <w:trPr>
          <w:trHeight w:val="155"/>
        </w:trPr>
        <w:tc>
          <w:tcPr>
            <w:tcW w:w="680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760,183</w:t>
            </w:r>
          </w:p>
        </w:tc>
        <w:tc>
          <w:tcPr>
            <w:tcW w:w="1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673,870</w:t>
            </w:r>
          </w:p>
        </w:tc>
      </w:tr>
      <w:tr>
        <w:trPr>
          <w:trHeight w:val="20"/>
        </w:trPr>
        <w:tc>
          <w:tcPr>
            <w:tcW w:w="6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4060" w:right="379" w:hanging="3041"/>
        <w:spacing w:after="0" w:line="260"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UNAUDITED CONDENSED CONSOLIDATED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 AND COMPREHENSIVE INCOME</w:t>
      </w: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jc w:val="right"/>
              <w:ind w:right="191"/>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6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3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product revenues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134,216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107,028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253,342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192,341</w:t>
            </w:r>
          </w:p>
        </w:tc>
      </w:tr>
      <w:tr>
        <w:trPr>
          <w:trHeight w:val="203"/>
        </w:trPr>
        <w:tc>
          <w:tcPr>
            <w:tcW w:w="36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Cost of product sold</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25,008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18,921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45,788</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33,637</w:t>
            </w:r>
          </w:p>
        </w:tc>
      </w:tr>
      <w:tr>
        <w:trPr>
          <w:trHeight w:val="196"/>
        </w:trPr>
        <w:tc>
          <w:tcPr>
            <w:tcW w:w="366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109,208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88,107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207,554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158,704</w:t>
            </w: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14,969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12,668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28,258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20,246</w:t>
            </w:r>
          </w:p>
        </w:tc>
      </w:tr>
      <w:tr>
        <w:trPr>
          <w:trHeight w:val="203"/>
        </w:trPr>
        <w:tc>
          <w:tcPr>
            <w:tcW w:w="3660" w:type="dxa"/>
            <w:vAlign w:val="bottom"/>
          </w:tcPr>
          <w:p>
            <w:pPr>
              <w:ind w:left="220"/>
              <w:spacing w:after="0" w:line="202" w:lineRule="exact"/>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24,528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20,160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47,100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37,743</w:t>
            </w:r>
          </w:p>
        </w:tc>
      </w:tr>
      <w:tr>
        <w:trPr>
          <w:trHeight w:val="203"/>
        </w:trPr>
        <w:tc>
          <w:tcPr>
            <w:tcW w:w="3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22,809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22,163</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44,871</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40,043</w:t>
            </w:r>
          </w:p>
        </w:tc>
      </w:tr>
      <w:tr>
        <w:trPr>
          <w:trHeight w:val="196"/>
        </w:trPr>
        <w:tc>
          <w:tcPr>
            <w:tcW w:w="3660" w:type="dxa"/>
            <w:vAlign w:val="bottom"/>
          </w:tcPr>
          <w:p>
            <w:pPr>
              <w:ind w:left="44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62,306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54,991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120,229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98,032</w:t>
            </w: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46,902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33,116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87,325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60,672</w:t>
            </w: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Other (expense) income, net</w:t>
            </w:r>
          </w:p>
        </w:tc>
        <w:tc>
          <w:tcPr>
            <w:tcW w:w="18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(5,421)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(8,096)</w:t>
            </w:r>
          </w:p>
        </w:tc>
      </w:tr>
      <w:tr>
        <w:trPr>
          <w:trHeight w:val="196"/>
        </w:trPr>
        <w:tc>
          <w:tcPr>
            <w:tcW w:w="3660" w:type="dxa"/>
            <w:vAlign w:val="bottom"/>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44,095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29,231</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81,875</w:t>
            </w: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52,616</w:t>
            </w: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(9,795)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(18,090)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(7,600)</w:t>
            </w:r>
          </w:p>
        </w:tc>
      </w:tr>
      <w:tr>
        <w:trPr>
          <w:trHeight w:val="196"/>
        </w:trPr>
        <w:tc>
          <w:tcPr>
            <w:tcW w:w="3660" w:type="dxa"/>
            <w:vAlign w:val="bottom"/>
          </w:tcPr>
          <w:p>
            <w:pPr>
              <w:ind w:left="20"/>
              <w:spacing w:after="0" w:line="196" w:lineRule="exact"/>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34,300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23,531</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63,785</w:t>
            </w:r>
          </w:p>
        </w:tc>
        <w:tc>
          <w:tcPr>
            <w:tcW w:w="180" w:type="dxa"/>
            <w:vAlign w:val="bottom"/>
          </w:tcPr>
          <w:p>
            <w:pPr>
              <w:spacing w:after="0"/>
              <w:rPr>
                <w:sz w:val="17"/>
                <w:szCs w:val="17"/>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45,016</w:t>
            </w: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Unrealized loss on investments</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36"/>
        </w:trPr>
        <w:tc>
          <w:tcPr>
            <w:tcW w:w="366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33,809</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23,502</w:t>
            </w:r>
          </w:p>
        </w:tc>
        <w:tc>
          <w:tcPr>
            <w:tcW w:w="1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63,414</w:t>
            </w:r>
          </w:p>
        </w:tc>
        <w:tc>
          <w:tcPr>
            <w:tcW w:w="1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44,987</w:t>
            </w:r>
          </w:p>
        </w:tc>
      </w:tr>
      <w:tr>
        <w:trPr>
          <w:trHeight w:val="183"/>
        </w:trPr>
        <w:tc>
          <w:tcPr>
            <w:tcW w:w="36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EARNINGS PER SHARE:</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3"/>
        </w:trPr>
        <w:tc>
          <w:tcPr>
            <w:tcW w:w="366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0.57</w:t>
            </w:r>
          </w:p>
        </w:tc>
        <w:tc>
          <w:tcPr>
            <w:tcW w:w="80" w:type="dxa"/>
            <w:vAlign w:val="bottom"/>
          </w:tcPr>
          <w:p>
            <w:pPr>
              <w:spacing w:after="0"/>
              <w:rPr>
                <w:sz w:val="17"/>
                <w:szCs w:val="17"/>
                <w:color w:val="auto"/>
              </w:rPr>
            </w:pPr>
          </w:p>
        </w:tc>
        <w:tc>
          <w:tcPr>
            <w:tcW w:w="26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0.40</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34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0.76</w:t>
            </w:r>
          </w:p>
        </w:tc>
      </w:tr>
      <w:tr>
        <w:trPr>
          <w:trHeight w:val="202"/>
        </w:trPr>
        <w:tc>
          <w:tcPr>
            <w:tcW w:w="3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0.56</w:t>
            </w: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0.39</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c>
          <w:tcPr>
            <w:tcW w:w="34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0.74</w:t>
            </w:r>
          </w:p>
        </w:tc>
      </w:tr>
      <w:tr>
        <w:trPr>
          <w:trHeight w:val="190"/>
        </w:trPr>
        <w:tc>
          <w:tcPr>
            <w:tcW w:w="3660" w:type="dxa"/>
            <w:vAlign w:val="bottom"/>
          </w:tcPr>
          <w:p>
            <w:pPr>
              <w:ind w:left="220"/>
              <w:spacing w:after="0" w:line="189" w:lineRule="exact"/>
              <w:rPr>
                <w:sz w:val="20"/>
                <w:szCs w:val="20"/>
                <w:color w:val="auto"/>
              </w:rPr>
            </w:pPr>
            <w:r>
              <w:rPr>
                <w:rFonts w:ascii="Arial" w:cs="Arial" w:eastAsia="Arial" w:hAnsi="Arial"/>
                <w:sz w:val="18"/>
                <w:szCs w:val="18"/>
                <w:color w:val="auto"/>
              </w:rPr>
              <w:t>Weighted average number of shares of</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5"/>
        </w:trPr>
        <w:tc>
          <w:tcPr>
            <w:tcW w:w="3660" w:type="dxa"/>
            <w:vAlign w:val="bottom"/>
          </w:tcPr>
          <w:p>
            <w:pPr>
              <w:ind w:left="220"/>
              <w:spacing w:after="0"/>
              <w:rPr>
                <w:sz w:val="20"/>
                <w:szCs w:val="20"/>
                <w:color w:val="auto"/>
              </w:rPr>
            </w:pPr>
            <w:r>
              <w:rPr>
                <w:rFonts w:ascii="Arial" w:cs="Arial" w:eastAsia="Arial" w:hAnsi="Arial"/>
                <w:sz w:val="18"/>
                <w:szCs w:val="18"/>
                <w:color w:val="auto"/>
              </w:rPr>
              <w:t>common stock - basic</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59,974,123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59,063,358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59,853,808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58,986,370</w:t>
            </w:r>
          </w:p>
        </w:tc>
      </w:tr>
      <w:tr>
        <w:trPr>
          <w:trHeight w:val="190"/>
        </w:trPr>
        <w:tc>
          <w:tcPr>
            <w:tcW w:w="36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Weighted average number of shares of</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5"/>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 diluted</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60,743,953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60,922,672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60,997,410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60,759,026</w:t>
            </w:r>
          </w:p>
        </w:tc>
      </w:tr>
    </w:tbl>
    <w:p>
      <w:pPr>
        <w:spacing w:after="0" w:line="392" w:lineRule="exact"/>
        <w:rPr>
          <w:sz w:val="20"/>
          <w:szCs w:val="20"/>
          <w:color w:val="auto"/>
        </w:rPr>
      </w:pPr>
    </w:p>
    <w:p>
      <w:pPr>
        <w:ind w:left="4060" w:right="379" w:hanging="3041"/>
        <w:spacing w:after="0" w:line="260"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tcPr>
          <w:p>
            <w:pPr>
              <w:jc w:val="cente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5"/>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5"/>
          </w:tcPr>
          <w:p>
            <w:pPr>
              <w:jc w:val="center"/>
              <w:ind w:right="60"/>
              <w:spacing w:after="0" w:line="155" w:lineRule="exact"/>
              <w:rPr>
                <w:sz w:val="20"/>
                <w:szCs w:val="20"/>
                <w:color w:val="auto"/>
              </w:rPr>
            </w:pPr>
            <w:r>
              <w:rPr>
                <w:rFonts w:ascii="Arial" w:cs="Arial" w:eastAsia="Arial" w:hAnsi="Arial"/>
                <w:sz w:val="14"/>
                <w:szCs w:val="14"/>
                <w:b w:val="1"/>
                <w:bCs w:val="1"/>
                <w:color w:val="auto"/>
              </w:rPr>
              <w:t>(loss) income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center"/>
              <w:ind w:right="118"/>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60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7"/>
                <w:szCs w:val="17"/>
                <w:color w:val="auto"/>
                <w:w w:val="99"/>
              </w:rPr>
              <w:t>Balance as of December 31, 2022</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gridSpan w:val="5"/>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59,615,731</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gridSpan w:val="2"/>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w w:val="97"/>
              </w:rPr>
              <w:t>$ 675,118</w:t>
            </w: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(151)</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gridSpan w:val="4"/>
            <w:shd w:val="clear" w:color="auto" w:fill="CCEEFF"/>
          </w:tcPr>
          <w:p>
            <w:pPr>
              <w:jc w:val="right"/>
              <w:spacing w:after="0" w:line="183" w:lineRule="exact"/>
              <w:rPr>
                <w:sz w:val="20"/>
                <w:szCs w:val="20"/>
                <w:color w:val="auto"/>
              </w:rPr>
            </w:pPr>
            <w:r>
              <w:rPr>
                <w:rFonts w:ascii="Arial" w:cs="Arial" w:eastAsia="Arial" w:hAnsi="Arial"/>
                <w:sz w:val="17"/>
                <w:szCs w:val="17"/>
                <w:color w:val="auto"/>
              </w:rPr>
              <w:t>$ (272,130)</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402,838</w:t>
            </w:r>
          </w:p>
        </w:tc>
        <w:tc>
          <w:tcPr>
            <w:tcW w:w="0" w:type="dxa"/>
            <w:vAlign w:val="bottom"/>
          </w:tcPr>
          <w:p>
            <w:pPr>
              <w:spacing w:after="0"/>
              <w:rPr>
                <w:sz w:val="1"/>
                <w:szCs w:val="1"/>
                <w:color w:val="auto"/>
              </w:rPr>
            </w:pPr>
          </w:p>
        </w:tc>
      </w:tr>
      <w:tr>
        <w:trPr>
          <w:trHeight w:val="189"/>
        </w:trPr>
        <w:tc>
          <w:tcPr>
            <w:tcW w:w="2520" w:type="dxa"/>
            <w:vAlign w:val="bottom"/>
          </w:tcPr>
          <w:p>
            <w:pPr>
              <w:ind w:left="220"/>
              <w:spacing w:after="0" w:line="189" w:lineRule="exact"/>
              <w:rPr>
                <w:sz w:val="20"/>
                <w:szCs w:val="20"/>
                <w:color w:val="auto"/>
              </w:rPr>
            </w:pPr>
            <w:r>
              <w:rPr>
                <w:rFonts w:ascii="Arial" w:cs="Arial" w:eastAsia="Arial" w:hAnsi="Arial"/>
                <w:sz w:val="17"/>
                <w:szCs w:val="17"/>
                <w:color w:val="auto"/>
              </w:rPr>
              <w:t>Net income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gridSpan w:val="3"/>
          </w:tcPr>
          <w:p>
            <w:pPr>
              <w:jc w:val="right"/>
              <w:ind w:right="28"/>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63,785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63,785</w:t>
            </w:r>
          </w:p>
        </w:tc>
        <w:tc>
          <w:tcPr>
            <w:tcW w:w="0" w:type="dxa"/>
            <w:vAlign w:val="bottom"/>
          </w:tcPr>
          <w:p>
            <w:pPr>
              <w:spacing w:after="0"/>
              <w:rPr>
                <w:sz w:val="1"/>
                <w:szCs w:val="1"/>
                <w:color w:val="auto"/>
              </w:rPr>
            </w:pPr>
          </w:p>
        </w:tc>
      </w:tr>
      <w:tr>
        <w:trPr>
          <w:trHeight w:val="189"/>
        </w:trPr>
        <w:tc>
          <w:tcPr>
            <w:tcW w:w="26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Unrealized loss on investments</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28"/>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4"/>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(371)</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(371)</w:t>
            </w:r>
          </w:p>
        </w:tc>
        <w:tc>
          <w:tcPr>
            <w:tcW w:w="0" w:type="dxa"/>
            <w:vAlign w:val="bottom"/>
          </w:tcPr>
          <w:p>
            <w:pPr>
              <w:spacing w:after="0"/>
              <w:rPr>
                <w:sz w:val="1"/>
                <w:szCs w:val="1"/>
                <w:color w:val="auto"/>
              </w:rPr>
            </w:pPr>
          </w:p>
        </w:tc>
      </w:tr>
      <w:tr>
        <w:trPr>
          <w:trHeight w:val="171"/>
        </w:trPr>
        <w:tc>
          <w:tcPr>
            <w:tcW w:w="3540" w:type="dxa"/>
            <w:vAlign w:val="bottom"/>
            <w:gridSpan w:val="7"/>
          </w:tcPr>
          <w:p>
            <w:pPr>
              <w:ind w:left="220"/>
              <w:spacing w:after="0" w:line="171" w:lineRule="exact"/>
              <w:rPr>
                <w:sz w:val="20"/>
                <w:szCs w:val="20"/>
                <w:color w:val="auto"/>
              </w:rPr>
            </w:pPr>
            <w:r>
              <w:rPr>
                <w:rFonts w:ascii="Arial" w:cs="Arial" w:eastAsia="Arial" w:hAnsi="Arial"/>
                <w:sz w:val="17"/>
                <w:szCs w:val="17"/>
                <w:color w:val="auto"/>
              </w:rPr>
              <w:t>Exercise of options and restricted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520" w:type="dxa"/>
            <w:vAlign w:val="bottom"/>
          </w:tcPr>
          <w:p>
            <w:pPr>
              <w:ind w:left="220"/>
              <w:spacing w:after="0"/>
              <w:rPr>
                <w:sz w:val="20"/>
                <w:szCs w:val="20"/>
                <w:color w:val="auto"/>
              </w:rPr>
            </w:pPr>
            <w:r>
              <w:rPr>
                <w:rFonts w:ascii="Arial" w:cs="Arial" w:eastAsia="Arial" w:hAnsi="Arial"/>
                <w:sz w:val="17"/>
                <w:szCs w:val="17"/>
                <w:color w:val="auto"/>
              </w:rPr>
              <w:t>stock units</w:t>
            </w:r>
          </w:p>
        </w:tc>
        <w:tc>
          <w:tcPr>
            <w:tcW w:w="80" w:type="dxa"/>
            <w:vAlign w:val="bottom"/>
          </w:tcPr>
          <w:p>
            <w:pPr>
              <w:spacing w:after="0"/>
              <w:rPr>
                <w:sz w:val="18"/>
                <w:szCs w:val="18"/>
                <w:color w:val="auto"/>
              </w:rPr>
            </w:pPr>
          </w:p>
        </w:tc>
        <w:tc>
          <w:tcPr>
            <w:tcW w:w="1280" w:type="dxa"/>
            <w:vAlign w:val="bottom"/>
            <w:gridSpan w:val="8"/>
          </w:tcPr>
          <w:p>
            <w:pPr>
              <w:jc w:val="right"/>
              <w:ind w:right="60"/>
              <w:spacing w:after="0"/>
              <w:rPr>
                <w:sz w:val="20"/>
                <w:szCs w:val="20"/>
                <w:color w:val="auto"/>
              </w:rPr>
            </w:pPr>
            <w:r>
              <w:rPr>
                <w:rFonts w:ascii="Arial" w:cs="Arial" w:eastAsia="Arial" w:hAnsi="Arial"/>
                <w:sz w:val="17"/>
                <w:szCs w:val="17"/>
                <w:color w:val="auto"/>
              </w:rPr>
              <w:t>383,927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3"/>
          </w:tcPr>
          <w:p>
            <w:pPr>
              <w:jc w:val="right"/>
              <w:ind w:right="28"/>
              <w:spacing w:after="0"/>
              <w:rPr>
                <w:sz w:val="20"/>
                <w:szCs w:val="20"/>
                <w:color w:val="auto"/>
              </w:rPr>
            </w:pPr>
            <w:r>
              <w:rPr>
                <w:rFonts w:ascii="Arial" w:cs="Arial" w:eastAsia="Arial" w:hAnsi="Arial"/>
                <w:sz w:val="17"/>
                <w:szCs w:val="17"/>
                <w:color w:val="auto"/>
              </w:rPr>
              <w:t>—</w:t>
            </w:r>
          </w:p>
        </w:tc>
        <w:tc>
          <w:tcPr>
            <w:tcW w:w="860" w:type="dxa"/>
            <w:vAlign w:val="bottom"/>
            <w:gridSpan w:val="4"/>
          </w:tcPr>
          <w:p>
            <w:pPr>
              <w:jc w:val="right"/>
              <w:ind w:right="20"/>
              <w:spacing w:after="0"/>
              <w:rPr>
                <w:sz w:val="20"/>
                <w:szCs w:val="20"/>
                <w:color w:val="auto"/>
              </w:rPr>
            </w:pPr>
            <w:r>
              <w:rPr>
                <w:rFonts w:ascii="Arial" w:cs="Arial" w:eastAsia="Arial" w:hAnsi="Arial"/>
                <w:sz w:val="17"/>
                <w:szCs w:val="17"/>
                <w:color w:val="auto"/>
              </w:rPr>
              <w:t>4,069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4,069</w:t>
            </w:r>
          </w:p>
        </w:tc>
        <w:tc>
          <w:tcPr>
            <w:tcW w:w="0" w:type="dxa"/>
            <w:vAlign w:val="bottom"/>
          </w:tcPr>
          <w:p>
            <w:pPr>
              <w:spacing w:after="0"/>
              <w:rPr>
                <w:sz w:val="1"/>
                <w:szCs w:val="1"/>
                <w:color w:val="auto"/>
              </w:rPr>
            </w:pPr>
          </w:p>
        </w:tc>
      </w:tr>
      <w:tr>
        <w:trPr>
          <w:trHeight w:val="189"/>
        </w:trPr>
        <w:tc>
          <w:tcPr>
            <w:tcW w:w="252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Stock-based compensation</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28"/>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14,851</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4"/>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14,851</w:t>
            </w:r>
          </w:p>
        </w:tc>
        <w:tc>
          <w:tcPr>
            <w:tcW w:w="0" w:type="dxa"/>
            <w:vAlign w:val="bottom"/>
          </w:tcPr>
          <w:p>
            <w:pPr>
              <w:spacing w:after="0"/>
              <w:rPr>
                <w:sz w:val="1"/>
                <w:szCs w:val="1"/>
                <w:color w:val="auto"/>
              </w:rPr>
            </w:pPr>
          </w:p>
        </w:tc>
      </w:tr>
      <w:tr>
        <w:trPr>
          <w:trHeight w:val="183"/>
        </w:trPr>
        <w:tc>
          <w:tcPr>
            <w:tcW w:w="2520" w:type="dxa"/>
            <w:vAlign w:val="bottom"/>
          </w:tcPr>
          <w:p>
            <w:pPr>
              <w:ind w:left="20"/>
              <w:spacing w:after="0" w:line="183" w:lineRule="exact"/>
              <w:rPr>
                <w:sz w:val="20"/>
                <w:szCs w:val="20"/>
                <w:color w:val="auto"/>
              </w:rPr>
            </w:pPr>
            <w:r>
              <w:rPr>
                <w:rFonts w:ascii="Arial" w:cs="Arial" w:eastAsia="Arial" w:hAnsi="Arial"/>
                <w:sz w:val="17"/>
                <w:szCs w:val="17"/>
                <w:color w:val="auto"/>
              </w:rPr>
              <w:t>Balance as of June 30, 2023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top w:val="single" w:sz="8" w:color="auto"/>
              <w:bottom w:val="single" w:sz="8" w:color="auto"/>
            </w:tcBorders>
            <w:gridSpan w:val="5"/>
          </w:tcPr>
          <w:p>
            <w:pPr>
              <w:jc w:val="right"/>
              <w:ind w:right="60"/>
              <w:spacing w:after="0" w:line="183" w:lineRule="exact"/>
              <w:rPr>
                <w:sz w:val="20"/>
                <w:szCs w:val="20"/>
                <w:color w:val="auto"/>
              </w:rPr>
            </w:pPr>
            <w:r>
              <w:rPr>
                <w:rFonts w:ascii="Arial" w:cs="Arial" w:eastAsia="Arial" w:hAnsi="Arial"/>
                <w:sz w:val="17"/>
                <w:szCs w:val="17"/>
                <w:color w:val="auto"/>
              </w:rPr>
              <w:t>59,999,658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gridSpan w:val="3"/>
          </w:tcPr>
          <w:p>
            <w:pPr>
              <w:jc w:val="right"/>
              <w:spacing w:after="0" w:line="183" w:lineRule="exact"/>
              <w:rPr>
                <w:sz w:val="20"/>
                <w:szCs w:val="20"/>
                <w:color w:val="auto"/>
              </w:rPr>
            </w:pPr>
            <w:r>
              <w:rPr>
                <w:rFonts w:ascii="Arial" w:cs="Arial" w:eastAsia="Arial" w:hAnsi="Arial"/>
                <w:sz w:val="17"/>
                <w:szCs w:val="17"/>
                <w:color w:val="auto"/>
              </w:rPr>
              <w:t>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top w:val="single" w:sz="8" w:color="auto"/>
              <w:bottom w:val="single" w:sz="8" w:color="auto"/>
            </w:tcBorders>
            <w:gridSpan w:val="2"/>
          </w:tcPr>
          <w:p>
            <w:pPr>
              <w:jc w:val="right"/>
              <w:ind w:right="20"/>
              <w:spacing w:after="0" w:line="183" w:lineRule="exact"/>
              <w:rPr>
                <w:sz w:val="20"/>
                <w:szCs w:val="20"/>
                <w:color w:val="auto"/>
              </w:rPr>
            </w:pPr>
            <w:r>
              <w:rPr>
                <w:rFonts w:ascii="Arial" w:cs="Arial" w:eastAsia="Arial" w:hAnsi="Arial"/>
                <w:sz w:val="17"/>
                <w:szCs w:val="17"/>
                <w:color w:val="auto"/>
                <w:w w:val="97"/>
              </w:rPr>
              <w:t>$ 694,038</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gridSpan w:val="3"/>
          </w:tcPr>
          <w:p>
            <w:pPr>
              <w:jc w:val="right"/>
              <w:spacing w:after="0" w:line="183" w:lineRule="exact"/>
              <w:rPr>
                <w:sz w:val="20"/>
                <w:szCs w:val="20"/>
                <w:color w:val="auto"/>
              </w:rPr>
            </w:pPr>
            <w:r>
              <w:rPr>
                <w:rFonts w:ascii="Arial" w:cs="Arial" w:eastAsia="Arial" w:hAnsi="Arial"/>
                <w:sz w:val="17"/>
                <w:szCs w:val="17"/>
                <w:color w:val="auto"/>
              </w:rPr>
              <w:t>(522)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top w:val="single" w:sz="8" w:color="auto"/>
              <w:bottom w:val="single" w:sz="8" w:color="auto"/>
            </w:tcBorders>
            <w:gridSpan w:val="4"/>
          </w:tcPr>
          <w:p>
            <w:pPr>
              <w:jc w:val="right"/>
              <w:spacing w:after="0" w:line="183" w:lineRule="exact"/>
              <w:rPr>
                <w:sz w:val="20"/>
                <w:szCs w:val="20"/>
                <w:color w:val="auto"/>
              </w:rPr>
            </w:pPr>
            <w:r>
              <w:rPr>
                <w:rFonts w:ascii="Arial" w:cs="Arial" w:eastAsia="Arial" w:hAnsi="Arial"/>
                <w:sz w:val="17"/>
                <w:szCs w:val="17"/>
                <w:color w:val="auto"/>
              </w:rPr>
              <w:t>$ (208,345)</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485,172</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8"/>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tcPr>
          <w:p>
            <w:pPr>
              <w:jc w:val="cente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5"/>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rPr>
              <w:t>(loss) income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18"/>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Balance as of March 31, 2023</w:t>
            </w:r>
          </w:p>
        </w:tc>
        <w:tc>
          <w:tcPr>
            <w:tcW w:w="80" w:type="dxa"/>
            <w:vAlign w:val="bottom"/>
            <w:shd w:val="clear" w:color="auto" w:fill="CCEEFF"/>
          </w:tcPr>
          <w:p>
            <w:pPr>
              <w:spacing w:after="0"/>
              <w:rPr>
                <w:sz w:val="15"/>
                <w:szCs w:val="15"/>
                <w:color w:val="auto"/>
              </w:rPr>
            </w:pPr>
          </w:p>
        </w:tc>
        <w:tc>
          <w:tcPr>
            <w:tcW w:w="1280" w:type="dxa"/>
            <w:vAlign w:val="bottom"/>
            <w:gridSpan w:val="8"/>
            <w:shd w:val="clear" w:color="auto" w:fill="CCEEFF"/>
          </w:tcPr>
          <w:p>
            <w:pPr>
              <w:jc w:val="right"/>
              <w:ind w:right="80"/>
              <w:spacing w:after="0" w:line="183" w:lineRule="exact"/>
              <w:rPr>
                <w:sz w:val="20"/>
                <w:szCs w:val="20"/>
                <w:color w:val="auto"/>
              </w:rPr>
            </w:pPr>
            <w:r>
              <w:rPr>
                <w:rFonts w:ascii="Arial" w:cs="Arial" w:eastAsia="Arial" w:hAnsi="Arial"/>
                <w:sz w:val="17"/>
                <w:szCs w:val="17"/>
                <w:color w:val="auto"/>
              </w:rPr>
              <w:t>59,954,618</w:t>
            </w:r>
          </w:p>
        </w:tc>
        <w:tc>
          <w:tcPr>
            <w:tcW w:w="420" w:type="dxa"/>
            <w:vAlign w:val="bottom"/>
            <w:gridSpan w:val="3"/>
            <w:shd w:val="clear" w:color="auto" w:fill="CCEEFF"/>
          </w:tcPr>
          <w:p>
            <w:pPr>
              <w:jc w:val="right"/>
              <w:ind w:right="141"/>
              <w:spacing w:after="0" w:line="183" w:lineRule="exact"/>
              <w:rPr>
                <w:sz w:val="20"/>
                <w:szCs w:val="20"/>
                <w:color w:val="auto"/>
              </w:rPr>
            </w:pPr>
            <w:r>
              <w:rPr>
                <w:rFonts w:ascii="Arial" w:cs="Arial" w:eastAsia="Arial" w:hAnsi="Arial"/>
                <w:sz w:val="17"/>
                <w:szCs w:val="17"/>
                <w:color w:val="auto"/>
              </w:rPr>
              <w:t>$</w:t>
            </w:r>
          </w:p>
        </w:tc>
        <w:tc>
          <w:tcPr>
            <w:tcW w:w="32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$ 685,716</w:t>
            </w:r>
          </w:p>
        </w:tc>
        <w:tc>
          <w:tcPr>
            <w:tcW w:w="40" w:type="dxa"/>
            <w:vAlign w:val="bottom"/>
            <w:shd w:val="clear" w:color="auto" w:fill="CCEEFF"/>
          </w:tcPr>
          <w:p>
            <w:pPr>
              <w:spacing w:after="0"/>
              <w:rPr>
                <w:sz w:val="15"/>
                <w:szCs w:val="15"/>
                <w:color w:val="auto"/>
              </w:rPr>
            </w:pPr>
          </w:p>
        </w:tc>
        <w:tc>
          <w:tcPr>
            <w:tcW w:w="220" w:type="dxa"/>
            <w:vAlign w:val="bottom"/>
            <w:gridSpan w:val="4"/>
            <w:shd w:val="clear" w:color="auto" w:fill="CCEEFF"/>
          </w:tcPr>
          <w:p>
            <w:pPr>
              <w:ind w:left="120"/>
              <w:spacing w:after="0" w:line="183" w:lineRule="exact"/>
              <w:rPr>
                <w:sz w:val="20"/>
                <w:szCs w:val="20"/>
                <w:color w:val="auto"/>
              </w:rPr>
            </w:pPr>
            <w:r>
              <w:rPr>
                <w:rFonts w:ascii="Arial" w:cs="Arial" w:eastAsia="Arial" w:hAnsi="Arial"/>
                <w:sz w:val="17"/>
                <w:szCs w:val="17"/>
                <w:color w:val="auto"/>
                <w:w w:val="84"/>
              </w:rPr>
              <w:t>$</w:t>
            </w:r>
          </w:p>
        </w:tc>
        <w:tc>
          <w:tcPr>
            <w:tcW w:w="1080" w:type="dxa"/>
            <w:vAlign w:val="bottom"/>
            <w:gridSpan w:val="4"/>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(31)</w:t>
            </w:r>
          </w:p>
        </w:tc>
        <w:tc>
          <w:tcPr>
            <w:tcW w:w="980" w:type="dxa"/>
            <w:vAlign w:val="bottom"/>
            <w:gridSpan w:val="6"/>
            <w:shd w:val="clear" w:color="auto" w:fill="CCEEFF"/>
          </w:tcPr>
          <w:p>
            <w:pPr>
              <w:jc w:val="right"/>
              <w:spacing w:after="0" w:line="183" w:lineRule="exact"/>
              <w:rPr>
                <w:sz w:val="20"/>
                <w:szCs w:val="20"/>
                <w:color w:val="auto"/>
              </w:rPr>
            </w:pPr>
            <w:r>
              <w:rPr>
                <w:rFonts w:ascii="Arial" w:cs="Arial" w:eastAsia="Arial" w:hAnsi="Arial"/>
                <w:sz w:val="17"/>
                <w:szCs w:val="17"/>
                <w:color w:val="auto"/>
              </w:rPr>
              <w:t>$ (242,645)</w:t>
            </w:r>
          </w:p>
        </w:tc>
        <w:tc>
          <w:tcPr>
            <w:tcW w:w="300" w:type="dxa"/>
            <w:vAlign w:val="bottom"/>
            <w:gridSpan w:val="2"/>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443,041</w:t>
            </w:r>
          </w:p>
        </w:tc>
        <w:tc>
          <w:tcPr>
            <w:tcW w:w="0" w:type="dxa"/>
            <w:vAlign w:val="bottom"/>
          </w:tcPr>
          <w:p>
            <w:pPr>
              <w:spacing w:after="0"/>
              <w:rPr>
                <w:sz w:val="1"/>
                <w:szCs w:val="1"/>
                <w:color w:val="auto"/>
              </w:rPr>
            </w:pPr>
          </w:p>
        </w:tc>
      </w:tr>
      <w:tr>
        <w:trPr>
          <w:trHeight w:val="189"/>
        </w:trPr>
        <w:tc>
          <w:tcPr>
            <w:tcW w:w="2520" w:type="dxa"/>
            <w:vAlign w:val="bottom"/>
          </w:tcPr>
          <w:p>
            <w:pPr>
              <w:ind w:left="220"/>
              <w:spacing w:after="0" w:line="189" w:lineRule="exact"/>
              <w:rPr>
                <w:sz w:val="20"/>
                <w:szCs w:val="20"/>
                <w:color w:val="auto"/>
              </w:rPr>
            </w:pPr>
            <w:r>
              <w:rPr>
                <w:rFonts w:ascii="Arial" w:cs="Arial" w:eastAsia="Arial" w:hAnsi="Arial"/>
                <w:sz w:val="17"/>
                <w:szCs w:val="17"/>
                <w:color w:val="auto"/>
              </w:rPr>
              <w:t>Net income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gridSpan w:val="3"/>
          </w:tcPr>
          <w:p>
            <w:pPr>
              <w:jc w:val="right"/>
              <w:ind w:right="28"/>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34,300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34,300</w:t>
            </w:r>
          </w:p>
        </w:tc>
        <w:tc>
          <w:tcPr>
            <w:tcW w:w="0" w:type="dxa"/>
            <w:vAlign w:val="bottom"/>
          </w:tcPr>
          <w:p>
            <w:pPr>
              <w:spacing w:after="0"/>
              <w:rPr>
                <w:sz w:val="1"/>
                <w:szCs w:val="1"/>
                <w:color w:val="auto"/>
              </w:rPr>
            </w:pPr>
          </w:p>
        </w:tc>
      </w:tr>
      <w:tr>
        <w:trPr>
          <w:trHeight w:val="189"/>
        </w:trPr>
        <w:tc>
          <w:tcPr>
            <w:tcW w:w="26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Unrealized loss on investments</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28"/>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4"/>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(491)</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189"/>
        </w:trPr>
        <w:tc>
          <w:tcPr>
            <w:tcW w:w="2520" w:type="dxa"/>
            <w:vAlign w:val="bottom"/>
          </w:tcPr>
          <w:p>
            <w:pPr>
              <w:ind w:left="220"/>
              <w:spacing w:after="0" w:line="189" w:lineRule="exact"/>
              <w:rPr>
                <w:sz w:val="20"/>
                <w:szCs w:val="20"/>
                <w:color w:val="auto"/>
              </w:rPr>
            </w:pPr>
            <w:r>
              <w:rPr>
                <w:rFonts w:ascii="Arial" w:cs="Arial" w:eastAsia="Arial" w:hAnsi="Arial"/>
                <w:sz w:val="17"/>
                <w:szCs w:val="17"/>
                <w:color w:val="auto"/>
              </w:rPr>
              <w:t>Issuance of common stock</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gridSpan w:val="3"/>
          </w:tcPr>
          <w:p>
            <w:pPr>
              <w:jc w:val="right"/>
              <w:ind w:right="28"/>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52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Exercise of options</w:t>
            </w:r>
          </w:p>
        </w:tc>
        <w:tc>
          <w:tcPr>
            <w:tcW w:w="80" w:type="dxa"/>
            <w:vAlign w:val="bottom"/>
            <w:shd w:val="clear" w:color="auto" w:fill="CCEEFF"/>
          </w:tcPr>
          <w:p>
            <w:pPr>
              <w:spacing w:after="0"/>
              <w:rPr>
                <w:sz w:val="16"/>
                <w:szCs w:val="16"/>
                <w:color w:val="auto"/>
              </w:rPr>
            </w:pPr>
          </w:p>
        </w:tc>
        <w:tc>
          <w:tcPr>
            <w:tcW w:w="1280" w:type="dxa"/>
            <w:vAlign w:val="bottom"/>
            <w:gridSpan w:val="8"/>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45,040</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28"/>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674</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4"/>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674</w:t>
            </w:r>
          </w:p>
        </w:tc>
        <w:tc>
          <w:tcPr>
            <w:tcW w:w="0" w:type="dxa"/>
            <w:vAlign w:val="bottom"/>
          </w:tcPr>
          <w:p>
            <w:pPr>
              <w:spacing w:after="0"/>
              <w:rPr>
                <w:sz w:val="1"/>
                <w:szCs w:val="1"/>
                <w:color w:val="auto"/>
              </w:rPr>
            </w:pPr>
          </w:p>
        </w:tc>
      </w:tr>
      <w:tr>
        <w:trPr>
          <w:trHeight w:val="189"/>
        </w:trPr>
        <w:tc>
          <w:tcPr>
            <w:tcW w:w="2520" w:type="dxa"/>
            <w:vAlign w:val="bottom"/>
          </w:tcPr>
          <w:p>
            <w:pPr>
              <w:ind w:left="220"/>
              <w:spacing w:after="0" w:line="189" w:lineRule="exact"/>
              <w:rPr>
                <w:sz w:val="20"/>
                <w:szCs w:val="20"/>
                <w:color w:val="auto"/>
              </w:rPr>
            </w:pPr>
            <w:r>
              <w:rPr>
                <w:rFonts w:ascii="Arial" w:cs="Arial" w:eastAsia="Arial" w:hAnsi="Arial"/>
                <w:sz w:val="17"/>
                <w:szCs w:val="17"/>
                <w:color w:val="auto"/>
              </w:rPr>
              <w:t>Stock-based compensation</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780" w:type="dxa"/>
            <w:vAlign w:val="bottom"/>
            <w:tcBorders>
              <w:bottom w:val="single" w:sz="8" w:color="auto"/>
            </w:tcBorders>
            <w:gridSpan w:val="2"/>
          </w:tcPr>
          <w:p>
            <w:pPr>
              <w:jc w:val="right"/>
              <w:ind w:right="20"/>
              <w:spacing w:after="0" w:line="189" w:lineRule="exact"/>
              <w:rPr>
                <w:sz w:val="20"/>
                <w:szCs w:val="20"/>
                <w:color w:val="auto"/>
              </w:rPr>
            </w:pPr>
            <w:r>
              <w:rPr>
                <w:rFonts w:ascii="Arial" w:cs="Arial" w:eastAsia="Arial" w:hAnsi="Arial"/>
                <w:sz w:val="17"/>
                <w:szCs w:val="17"/>
                <w:color w:val="auto"/>
              </w:rPr>
              <w:t>7,648</w:t>
            </w: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7,648</w:t>
            </w:r>
          </w:p>
        </w:tc>
        <w:tc>
          <w:tcPr>
            <w:tcW w:w="0" w:type="dxa"/>
            <w:vAlign w:val="bottom"/>
          </w:tcPr>
          <w:p>
            <w:pPr>
              <w:spacing w:after="0"/>
              <w:rPr>
                <w:sz w:val="1"/>
                <w:szCs w:val="1"/>
                <w:color w:val="auto"/>
              </w:rPr>
            </w:pPr>
          </w:p>
        </w:tc>
      </w:tr>
      <w:tr>
        <w:trPr>
          <w:trHeight w:val="222"/>
        </w:trPr>
        <w:tc>
          <w:tcPr>
            <w:tcW w:w="25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Balance as of June 30, 2023</w:t>
            </w: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rPr>
                <w:sz w:val="19"/>
                <w:szCs w:val="19"/>
                <w:color w:val="auto"/>
              </w:rPr>
            </w:pPr>
          </w:p>
        </w:tc>
        <w:tc>
          <w:tcPr>
            <w:tcW w:w="1000" w:type="dxa"/>
            <w:vAlign w:val="bottom"/>
            <w:gridSpan w:val="6"/>
            <w:shd w:val="clear" w:color="auto" w:fill="CCEEFF"/>
          </w:tcPr>
          <w:p>
            <w:pPr>
              <w:jc w:val="right"/>
              <w:ind w:right="80"/>
              <w:spacing w:after="0" w:line="183" w:lineRule="exact"/>
              <w:rPr>
                <w:sz w:val="20"/>
                <w:szCs w:val="20"/>
                <w:color w:val="auto"/>
              </w:rPr>
            </w:pPr>
            <w:r>
              <w:rPr>
                <w:rFonts w:ascii="Arial" w:cs="Arial" w:eastAsia="Arial" w:hAnsi="Arial"/>
                <w:sz w:val="17"/>
                <w:szCs w:val="17"/>
                <w:color w:val="auto"/>
              </w:rPr>
              <w:t>59,999,658</w:t>
            </w:r>
          </w:p>
        </w:tc>
        <w:tc>
          <w:tcPr>
            <w:tcW w:w="420" w:type="dxa"/>
            <w:vAlign w:val="bottom"/>
            <w:gridSpan w:val="3"/>
            <w:shd w:val="clear" w:color="auto" w:fill="CCEEFF"/>
          </w:tcPr>
          <w:p>
            <w:pPr>
              <w:jc w:val="right"/>
              <w:ind w:right="141"/>
              <w:spacing w:after="0" w:line="183" w:lineRule="exact"/>
              <w:rPr>
                <w:sz w:val="20"/>
                <w:szCs w:val="20"/>
                <w:color w:val="auto"/>
              </w:rPr>
            </w:pPr>
            <w:r>
              <w:rPr>
                <w:rFonts w:ascii="Arial" w:cs="Arial" w:eastAsia="Arial" w:hAnsi="Arial"/>
                <w:sz w:val="17"/>
                <w:szCs w:val="17"/>
                <w:color w:val="auto"/>
              </w:rPr>
              <w:t>$</w:t>
            </w:r>
          </w:p>
        </w:tc>
        <w:tc>
          <w:tcPr>
            <w:tcW w:w="32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$ 694,038</w:t>
            </w:r>
          </w:p>
        </w:tc>
        <w:tc>
          <w:tcPr>
            <w:tcW w:w="40" w:type="dxa"/>
            <w:vAlign w:val="bottom"/>
            <w:shd w:val="clear" w:color="auto" w:fill="CCEEFF"/>
          </w:tcPr>
          <w:p>
            <w:pPr>
              <w:spacing w:after="0"/>
              <w:rPr>
                <w:sz w:val="19"/>
                <w:szCs w:val="19"/>
                <w:color w:val="auto"/>
              </w:rPr>
            </w:pPr>
          </w:p>
        </w:tc>
        <w:tc>
          <w:tcPr>
            <w:tcW w:w="220" w:type="dxa"/>
            <w:vAlign w:val="bottom"/>
            <w:gridSpan w:val="4"/>
            <w:shd w:val="clear" w:color="auto" w:fill="CCEEFF"/>
          </w:tcPr>
          <w:p>
            <w:pPr>
              <w:ind w:left="120"/>
              <w:spacing w:after="0" w:line="183" w:lineRule="exact"/>
              <w:rPr>
                <w:sz w:val="20"/>
                <w:szCs w:val="20"/>
                <w:color w:val="auto"/>
              </w:rPr>
            </w:pPr>
            <w:r>
              <w:rPr>
                <w:rFonts w:ascii="Arial" w:cs="Arial" w:eastAsia="Arial" w:hAnsi="Arial"/>
                <w:sz w:val="17"/>
                <w:szCs w:val="17"/>
                <w:color w:val="auto"/>
                <w:w w:val="84"/>
              </w:rPr>
              <w:t>$</w:t>
            </w:r>
          </w:p>
        </w:tc>
        <w:tc>
          <w:tcPr>
            <w:tcW w:w="1080" w:type="dxa"/>
            <w:vAlign w:val="bottom"/>
            <w:gridSpan w:val="4"/>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(522)</w:t>
            </w:r>
          </w:p>
        </w:tc>
        <w:tc>
          <w:tcPr>
            <w:tcW w:w="980" w:type="dxa"/>
            <w:vAlign w:val="bottom"/>
            <w:gridSpan w:val="6"/>
            <w:shd w:val="clear" w:color="auto" w:fill="CCEEFF"/>
          </w:tcPr>
          <w:p>
            <w:pPr>
              <w:jc w:val="right"/>
              <w:spacing w:after="0" w:line="183" w:lineRule="exact"/>
              <w:rPr>
                <w:sz w:val="20"/>
                <w:szCs w:val="20"/>
                <w:color w:val="auto"/>
              </w:rPr>
            </w:pPr>
            <w:r>
              <w:rPr>
                <w:rFonts w:ascii="Arial" w:cs="Arial" w:eastAsia="Arial" w:hAnsi="Arial"/>
                <w:sz w:val="17"/>
                <w:szCs w:val="17"/>
                <w:color w:val="auto"/>
              </w:rPr>
              <w:t>$ (208,345)</w:t>
            </w:r>
          </w:p>
        </w:tc>
        <w:tc>
          <w:tcPr>
            <w:tcW w:w="300" w:type="dxa"/>
            <w:vAlign w:val="bottom"/>
            <w:gridSpan w:val="2"/>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485,172</w:t>
            </w:r>
          </w:p>
        </w:tc>
        <w:tc>
          <w:tcPr>
            <w:tcW w:w="0" w:type="dxa"/>
            <w:vAlign w:val="bottom"/>
          </w:tcPr>
          <w:p>
            <w:pPr>
              <w:spacing w:after="0"/>
              <w:rPr>
                <w:sz w:val="1"/>
                <w:szCs w:val="1"/>
                <w:color w:val="auto"/>
              </w:rPr>
            </w:pPr>
          </w:p>
        </w:tc>
      </w:tr>
      <w:tr>
        <w:trPr>
          <w:trHeight w:val="359"/>
        </w:trPr>
        <w:tc>
          <w:tcPr>
            <w:tcW w:w="25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ind w:left="12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5"/>
                <w:szCs w:val="15"/>
                <w:color w:val="auto"/>
              </w:rPr>
            </w:pPr>
          </w:p>
        </w:tc>
        <w:tc>
          <w:tcPr>
            <w:tcW w:w="9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3"/>
          </w:tcPr>
          <w:p>
            <w:pPr>
              <w:ind w:left="140"/>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5"/>
          </w:tcPr>
          <w:p>
            <w:pPr>
              <w:ind w:left="20"/>
              <w:spacing w:after="0" w:line="155" w:lineRule="exact"/>
              <w:rPr>
                <w:sz w:val="20"/>
                <w:szCs w:val="20"/>
                <w:color w:val="auto"/>
              </w:rPr>
            </w:pPr>
            <w:r>
              <w:rPr>
                <w:rFonts w:ascii="Arial" w:cs="Arial" w:eastAsia="Arial" w:hAnsi="Arial"/>
                <w:sz w:val="14"/>
                <w:szCs w:val="14"/>
                <w:b w:val="1"/>
                <w:bCs w:val="1"/>
                <w:color w:val="auto"/>
              </w:rPr>
              <w:t>(loss) income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center"/>
              <w:ind w:right="98"/>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60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7"/>
                <w:szCs w:val="17"/>
                <w:color w:val="auto"/>
                <w:w w:val="99"/>
              </w:rPr>
              <w:t>Balance as of December 31, 2021</w:t>
            </w:r>
          </w:p>
        </w:tc>
        <w:tc>
          <w:tcPr>
            <w:tcW w:w="2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gridSpan w:val="6"/>
            <w:shd w:val="clear" w:color="auto" w:fill="CCEEFF"/>
          </w:tcPr>
          <w:p>
            <w:pPr>
              <w:jc w:val="right"/>
              <w:spacing w:after="0" w:line="183" w:lineRule="exact"/>
              <w:rPr>
                <w:sz w:val="20"/>
                <w:szCs w:val="20"/>
                <w:color w:val="auto"/>
              </w:rPr>
            </w:pPr>
            <w:r>
              <w:rPr>
                <w:rFonts w:ascii="Arial" w:cs="Arial" w:eastAsia="Arial" w:hAnsi="Arial"/>
                <w:sz w:val="17"/>
                <w:szCs w:val="17"/>
                <w:color w:val="auto"/>
              </w:rPr>
              <w:t>58,825,769</w:t>
            </w: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gridSpan w:val="2"/>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w w:val="97"/>
              </w:rPr>
              <w:t>$ 640,104</w:t>
            </w: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w:t>
            </w:r>
          </w:p>
        </w:tc>
        <w:tc>
          <w:tcPr>
            <w:tcW w:w="16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(453,598)</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186,507</w:t>
            </w:r>
          </w:p>
        </w:tc>
        <w:tc>
          <w:tcPr>
            <w:tcW w:w="0" w:type="dxa"/>
            <w:vAlign w:val="bottom"/>
          </w:tcPr>
          <w:p>
            <w:pPr>
              <w:spacing w:after="0"/>
              <w:rPr>
                <w:sz w:val="1"/>
                <w:szCs w:val="1"/>
                <w:color w:val="auto"/>
              </w:rPr>
            </w:pPr>
          </w:p>
        </w:tc>
      </w:tr>
      <w:tr>
        <w:trPr>
          <w:trHeight w:val="189"/>
        </w:trPr>
        <w:tc>
          <w:tcPr>
            <w:tcW w:w="2520" w:type="dxa"/>
            <w:vAlign w:val="bottom"/>
          </w:tcPr>
          <w:p>
            <w:pPr>
              <w:ind w:left="220"/>
              <w:spacing w:after="0" w:line="189" w:lineRule="exact"/>
              <w:rPr>
                <w:sz w:val="20"/>
                <w:szCs w:val="20"/>
                <w:color w:val="auto"/>
              </w:rPr>
            </w:pPr>
            <w:r>
              <w:rPr>
                <w:rFonts w:ascii="Arial" w:cs="Arial" w:eastAsia="Arial" w:hAnsi="Arial"/>
                <w:sz w:val="17"/>
                <w:szCs w:val="17"/>
                <w:color w:val="auto"/>
              </w:rPr>
              <w:t>Net income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w w:val="93"/>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4"/>
          </w:tcPr>
          <w:p>
            <w:pPr>
              <w:jc w:val="right"/>
              <w:ind w:right="108"/>
              <w:spacing w:after="0" w:line="189" w:lineRule="exact"/>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45,016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45,016</w:t>
            </w:r>
          </w:p>
        </w:tc>
        <w:tc>
          <w:tcPr>
            <w:tcW w:w="0" w:type="dxa"/>
            <w:vAlign w:val="bottom"/>
          </w:tcPr>
          <w:p>
            <w:pPr>
              <w:spacing w:after="0"/>
              <w:rPr>
                <w:sz w:val="1"/>
                <w:szCs w:val="1"/>
                <w:color w:val="auto"/>
              </w:rPr>
            </w:pPr>
          </w:p>
        </w:tc>
      </w:tr>
      <w:tr>
        <w:trPr>
          <w:trHeight w:val="189"/>
        </w:trPr>
        <w:tc>
          <w:tcPr>
            <w:tcW w:w="26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Unrealized loss on investments</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w w:val="93"/>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gridSpan w:val="4"/>
            <w:shd w:val="clear" w:color="auto" w:fill="CCEEFF"/>
          </w:tcPr>
          <w:p>
            <w:pPr>
              <w:jc w:val="right"/>
              <w:ind w:right="108"/>
              <w:spacing w:after="0" w:line="189" w:lineRule="exact"/>
              <w:rPr>
                <w:sz w:val="20"/>
                <w:szCs w:val="20"/>
                <w:color w:val="auto"/>
              </w:rPr>
            </w:pPr>
            <w:r>
              <w:rPr>
                <w:rFonts w:ascii="Arial" w:cs="Arial" w:eastAsia="Arial" w:hAnsi="Arial"/>
                <w:sz w:val="17"/>
                <w:szCs w:val="17"/>
                <w:color w:val="auto"/>
                <w:w w:val="93"/>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89"/>
        </w:trPr>
        <w:tc>
          <w:tcPr>
            <w:tcW w:w="2520" w:type="dxa"/>
            <w:vAlign w:val="bottom"/>
          </w:tcPr>
          <w:p>
            <w:pPr>
              <w:ind w:left="220"/>
              <w:spacing w:after="0" w:line="189" w:lineRule="exact"/>
              <w:rPr>
                <w:sz w:val="20"/>
                <w:szCs w:val="20"/>
                <w:color w:val="auto"/>
              </w:rPr>
            </w:pPr>
            <w:r>
              <w:rPr>
                <w:rFonts w:ascii="Arial" w:cs="Arial" w:eastAsia="Arial" w:hAnsi="Arial"/>
                <w:sz w:val="17"/>
                <w:szCs w:val="17"/>
                <w:color w:val="auto"/>
              </w:rPr>
              <w:t>Exercise of stock options</w:t>
            </w:r>
          </w:p>
        </w:tc>
        <w:tc>
          <w:tcPr>
            <w:tcW w:w="80" w:type="dxa"/>
            <w:vAlign w:val="bottom"/>
          </w:tcPr>
          <w:p>
            <w:pPr>
              <w:spacing w:after="0"/>
              <w:rPr>
                <w:sz w:val="16"/>
                <w:szCs w:val="16"/>
                <w:color w:val="auto"/>
              </w:rPr>
            </w:pPr>
          </w:p>
        </w:tc>
        <w:tc>
          <w:tcPr>
            <w:tcW w:w="1160" w:type="dxa"/>
            <w:vAlign w:val="bottom"/>
            <w:gridSpan w:val="7"/>
          </w:tcPr>
          <w:p>
            <w:pPr>
              <w:jc w:val="right"/>
              <w:spacing w:after="0" w:line="189" w:lineRule="exact"/>
              <w:rPr>
                <w:sz w:val="20"/>
                <w:szCs w:val="20"/>
                <w:color w:val="auto"/>
              </w:rPr>
            </w:pPr>
            <w:r>
              <w:rPr>
                <w:rFonts w:ascii="Arial" w:cs="Arial" w:eastAsia="Arial" w:hAnsi="Arial"/>
                <w:sz w:val="17"/>
                <w:szCs w:val="17"/>
                <w:color w:val="auto"/>
              </w:rPr>
              <w:t>291,980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4"/>
          </w:tcPr>
          <w:p>
            <w:pPr>
              <w:jc w:val="right"/>
              <w:ind w:right="108"/>
              <w:spacing w:after="0" w:line="189" w:lineRule="exact"/>
              <w:rPr>
                <w:sz w:val="20"/>
                <w:szCs w:val="20"/>
                <w:color w:val="auto"/>
              </w:rPr>
            </w:pPr>
            <w:r>
              <w:rPr>
                <w:rFonts w:ascii="Arial" w:cs="Arial" w:eastAsia="Arial" w:hAnsi="Arial"/>
                <w:sz w:val="17"/>
                <w:szCs w:val="17"/>
                <w:color w:val="auto"/>
                <w:w w:val="93"/>
              </w:rPr>
              <w:t>—</w:t>
            </w:r>
          </w:p>
        </w:tc>
        <w:tc>
          <w:tcPr>
            <w:tcW w:w="860" w:type="dxa"/>
            <w:vAlign w:val="bottom"/>
            <w:gridSpan w:val="4"/>
          </w:tcPr>
          <w:p>
            <w:pPr>
              <w:jc w:val="right"/>
              <w:ind w:right="60"/>
              <w:spacing w:after="0" w:line="189" w:lineRule="exact"/>
              <w:rPr>
                <w:sz w:val="20"/>
                <w:szCs w:val="20"/>
                <w:color w:val="auto"/>
              </w:rPr>
            </w:pPr>
            <w:r>
              <w:rPr>
                <w:rFonts w:ascii="Arial" w:cs="Arial" w:eastAsia="Arial" w:hAnsi="Arial"/>
                <w:sz w:val="17"/>
                <w:szCs w:val="17"/>
                <w:color w:val="auto"/>
              </w:rPr>
              <w:t>3,133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3,133</w:t>
            </w:r>
          </w:p>
        </w:tc>
        <w:tc>
          <w:tcPr>
            <w:tcW w:w="0" w:type="dxa"/>
            <w:vAlign w:val="bottom"/>
          </w:tcPr>
          <w:p>
            <w:pPr>
              <w:spacing w:after="0"/>
              <w:rPr>
                <w:sz w:val="1"/>
                <w:szCs w:val="1"/>
                <w:color w:val="auto"/>
              </w:rPr>
            </w:pPr>
          </w:p>
        </w:tc>
      </w:tr>
      <w:tr>
        <w:trPr>
          <w:trHeight w:val="189"/>
        </w:trPr>
        <w:tc>
          <w:tcPr>
            <w:tcW w:w="2520" w:type="dxa"/>
            <w:vAlign w:val="bottom"/>
            <w:tcBorders>
              <w:bottom w:val="single" w:sz="8" w:color="CCEEFF"/>
            </w:tcBorders>
            <w:shd w:val="clear" w:color="auto" w:fill="CCEEFF"/>
          </w:tcPr>
          <w:p>
            <w:pPr>
              <w:ind w:left="220"/>
              <w:spacing w:after="0" w:line="189" w:lineRule="exact"/>
              <w:rPr>
                <w:sz w:val="20"/>
                <w:szCs w:val="20"/>
                <w:color w:val="auto"/>
              </w:rPr>
            </w:pPr>
            <w:r>
              <w:rPr>
                <w:rFonts w:ascii="Arial" w:cs="Arial" w:eastAsia="Arial" w:hAnsi="Arial"/>
                <w:sz w:val="17"/>
                <w:szCs w:val="17"/>
                <w:color w:val="auto"/>
              </w:rPr>
              <w:t>Stock-based compensation</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93"/>
              </w:rPr>
              <w:t>—</w:t>
            </w: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93"/>
              </w:rPr>
              <w:t>—</w:t>
            </w:r>
          </w:p>
        </w:tc>
        <w:tc>
          <w:tcPr>
            <w:tcW w:w="120" w:type="dxa"/>
            <w:vAlign w:val="bottom"/>
            <w:tcBorders>
              <w:bottom w:val="single" w:sz="8" w:color="CCEEFF"/>
            </w:tcBorders>
            <w:gridSpan w:val="2"/>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11,906</w:t>
            </w: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gridSpan w:val="2"/>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11,906</w:t>
            </w:r>
          </w:p>
        </w:tc>
        <w:tc>
          <w:tcPr>
            <w:tcW w:w="0" w:type="dxa"/>
            <w:vAlign w:val="bottom"/>
          </w:tcPr>
          <w:p>
            <w:pPr>
              <w:spacing w:after="0"/>
              <w:rPr>
                <w:sz w:val="1"/>
                <w:szCs w:val="1"/>
                <w:color w:val="auto"/>
              </w:rPr>
            </w:pPr>
          </w:p>
        </w:tc>
      </w:tr>
      <w:tr>
        <w:trPr>
          <w:trHeight w:val="183"/>
        </w:trPr>
        <w:tc>
          <w:tcPr>
            <w:tcW w:w="2520" w:type="dxa"/>
            <w:vAlign w:val="bottom"/>
          </w:tcPr>
          <w:p>
            <w:pPr>
              <w:ind w:left="20"/>
              <w:spacing w:after="0" w:line="183" w:lineRule="exact"/>
              <w:rPr>
                <w:sz w:val="20"/>
                <w:szCs w:val="20"/>
                <w:color w:val="auto"/>
              </w:rPr>
            </w:pPr>
            <w:r>
              <w:rPr>
                <w:rFonts w:ascii="Arial" w:cs="Arial" w:eastAsia="Arial" w:hAnsi="Arial"/>
                <w:sz w:val="17"/>
                <w:szCs w:val="17"/>
                <w:color w:val="auto"/>
              </w:rPr>
              <w:t>Balance as of June 30, 2022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6"/>
          </w:tcPr>
          <w:p>
            <w:pPr>
              <w:jc w:val="right"/>
              <w:spacing w:after="0" w:line="183" w:lineRule="exact"/>
              <w:rPr>
                <w:sz w:val="20"/>
                <w:szCs w:val="20"/>
                <w:color w:val="auto"/>
              </w:rPr>
            </w:pPr>
            <w:r>
              <w:rPr>
                <w:rFonts w:ascii="Arial" w:cs="Arial" w:eastAsia="Arial" w:hAnsi="Arial"/>
                <w:sz w:val="17"/>
                <w:szCs w:val="17"/>
                <w:color w:val="auto"/>
              </w:rPr>
              <w:t>59,117,749</w:t>
            </w:r>
          </w:p>
        </w:tc>
        <w:tc>
          <w:tcPr>
            <w:tcW w:w="120" w:type="dxa"/>
            <w:vAlign w:val="bottom"/>
          </w:tcPr>
          <w:p>
            <w:pPr>
              <w:spacing w:after="0"/>
              <w:rPr>
                <w:sz w:val="15"/>
                <w:szCs w:val="15"/>
                <w:color w:val="auto"/>
              </w:rPr>
            </w:pPr>
          </w:p>
        </w:tc>
        <w:tc>
          <w:tcPr>
            <w:tcW w:w="420" w:type="dxa"/>
            <w:vAlign w:val="bottom"/>
            <w:gridSpan w:val="3"/>
          </w:tcPr>
          <w:p>
            <w:pPr>
              <w:jc w:val="right"/>
              <w:ind w:right="201"/>
              <w:spacing w:after="0" w:line="183" w:lineRule="exact"/>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4"/>
          </w:tcPr>
          <w:p>
            <w:pPr>
              <w:jc w:val="right"/>
              <w:ind w:right="60"/>
              <w:spacing w:after="0" w:line="183" w:lineRule="exact"/>
              <w:rPr>
                <w:sz w:val="20"/>
                <w:szCs w:val="20"/>
                <w:color w:val="auto"/>
              </w:rPr>
            </w:pPr>
            <w:r>
              <w:rPr>
                <w:rFonts w:ascii="Arial" w:cs="Arial" w:eastAsia="Arial" w:hAnsi="Arial"/>
                <w:sz w:val="17"/>
                <w:szCs w:val="17"/>
                <w:color w:val="auto"/>
              </w:rPr>
              <w:t>$ 655,143</w:t>
            </w:r>
          </w:p>
        </w:tc>
        <w:tc>
          <w:tcPr>
            <w:tcW w:w="40" w:type="dxa"/>
            <w:vAlign w:val="bottom"/>
          </w:tcPr>
          <w:p>
            <w:pPr>
              <w:spacing w:after="0"/>
              <w:rPr>
                <w:sz w:val="15"/>
                <w:szCs w:val="15"/>
                <w:color w:val="auto"/>
              </w:rPr>
            </w:pPr>
          </w:p>
        </w:tc>
        <w:tc>
          <w:tcPr>
            <w:tcW w:w="220" w:type="dxa"/>
            <w:vAlign w:val="bottom"/>
            <w:gridSpan w:val="4"/>
          </w:tcPr>
          <w:p>
            <w:pPr>
              <w:ind w:left="40"/>
              <w:spacing w:after="0" w:line="183" w:lineRule="exact"/>
              <w:rPr>
                <w:sz w:val="20"/>
                <w:szCs w:val="20"/>
                <w:color w:val="auto"/>
              </w:rPr>
            </w:pPr>
            <w:r>
              <w:rPr>
                <w:rFonts w:ascii="Arial" w:cs="Arial" w:eastAsia="Arial" w:hAnsi="Arial"/>
                <w:sz w:val="17"/>
                <w:szCs w:val="17"/>
                <w:color w:val="auto"/>
              </w:rPr>
              <w:t>$</w:t>
            </w:r>
          </w:p>
        </w:tc>
        <w:tc>
          <w:tcPr>
            <w:tcW w:w="1000" w:type="dxa"/>
            <w:vAlign w:val="bottom"/>
            <w:gridSpan w:val="3"/>
          </w:tcPr>
          <w:p>
            <w:pPr>
              <w:jc w:val="right"/>
              <w:ind w:right="80"/>
              <w:spacing w:after="0" w:line="183" w:lineRule="exact"/>
              <w:rPr>
                <w:sz w:val="20"/>
                <w:szCs w:val="20"/>
                <w:color w:val="auto"/>
              </w:rPr>
            </w:pPr>
            <w:r>
              <w:rPr>
                <w:rFonts w:ascii="Arial" w:cs="Arial" w:eastAsia="Arial" w:hAnsi="Arial"/>
                <w:sz w:val="17"/>
                <w:szCs w:val="17"/>
                <w:color w:val="auto"/>
              </w:rPr>
              <w:t>(29)</w:t>
            </w:r>
          </w:p>
        </w:tc>
        <w:tc>
          <w:tcPr>
            <w:tcW w:w="80" w:type="dxa"/>
            <w:vAlign w:val="bottom"/>
          </w:tcPr>
          <w:p>
            <w:pPr>
              <w:spacing w:after="0"/>
              <w:rPr>
                <w:sz w:val="15"/>
                <w:szCs w:val="15"/>
                <w:color w:val="auto"/>
              </w:rPr>
            </w:pPr>
          </w:p>
        </w:tc>
        <w:tc>
          <w:tcPr>
            <w:tcW w:w="160" w:type="dxa"/>
            <w:vAlign w:val="bottom"/>
            <w:gridSpan w:val="3"/>
          </w:tcPr>
          <w:p>
            <w:pPr>
              <w:ind w:left="20"/>
              <w:spacing w:after="0" w:line="183" w:lineRule="exact"/>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40"/>
              <w:spacing w:after="0" w:line="183" w:lineRule="exact"/>
              <w:rPr>
                <w:sz w:val="20"/>
                <w:szCs w:val="20"/>
                <w:color w:val="auto"/>
              </w:rPr>
            </w:pPr>
            <w:r>
              <w:rPr>
                <w:rFonts w:ascii="Arial" w:cs="Arial" w:eastAsia="Arial" w:hAnsi="Arial"/>
                <w:sz w:val="17"/>
                <w:szCs w:val="17"/>
                <w:color w:val="auto"/>
              </w:rPr>
              <w:t>(408,582)</w:t>
            </w:r>
          </w:p>
        </w:tc>
        <w:tc>
          <w:tcPr>
            <w:tcW w:w="300" w:type="dxa"/>
            <w:vAlign w:val="bottom"/>
            <w:gridSpan w:val="2"/>
          </w:tcPr>
          <w:p>
            <w:pPr>
              <w:ind w:left="120"/>
              <w:spacing w:after="0" w:line="183"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246,533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6"/>
          </w:tcPr>
          <w:p>
            <w:pPr>
              <w:ind w:left="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6"/>
          </w:tcPr>
          <w:p>
            <w:pPr>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8"/>
          </w:tcPr>
          <w:p>
            <w:pPr>
              <w:jc w:val="right"/>
              <w:ind w:right="261"/>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4"/>
          </w:tcPr>
          <w:p>
            <w:pPr>
              <w:ind w:left="2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5"/>
                <w:szCs w:val="15"/>
                <w:color w:val="auto"/>
              </w:rPr>
            </w:pPr>
          </w:p>
        </w:tc>
        <w:tc>
          <w:tcPr>
            <w:tcW w:w="1280" w:type="dxa"/>
            <w:vAlign w:val="bottom"/>
            <w:gridSpan w:val="7"/>
          </w:tcPr>
          <w:p>
            <w:pPr>
              <w:ind w:left="20"/>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5"/>
                <w:szCs w:val="15"/>
                <w:color w:val="auto"/>
              </w:rPr>
            </w:pP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2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5"/>
          </w:tcPr>
          <w:p>
            <w:pPr>
              <w:ind w:left="16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64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6"/>
          </w:tcPr>
          <w:p>
            <w:pPr>
              <w:ind w:left="60"/>
              <w:spacing w:after="0" w:line="155" w:lineRule="exact"/>
              <w:rPr>
                <w:sz w:val="20"/>
                <w:szCs w:val="20"/>
                <w:color w:val="auto"/>
              </w:rPr>
            </w:pPr>
            <w:r>
              <w:rPr>
                <w:rFonts w:ascii="Arial" w:cs="Arial" w:eastAsia="Arial" w:hAnsi="Arial"/>
                <w:sz w:val="14"/>
                <w:szCs w:val="14"/>
                <w:b w:val="1"/>
                <w:bCs w:val="1"/>
                <w:color w:val="auto"/>
              </w:rPr>
              <w:t>(loss) income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center"/>
              <w:ind w:right="98"/>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52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Balance as of March 31, 2022</w:t>
            </w:r>
          </w:p>
        </w:tc>
        <w:tc>
          <w:tcPr>
            <w:tcW w:w="980" w:type="dxa"/>
            <w:vAlign w:val="bottom"/>
            <w:tcBorders>
              <w:top w:val="single" w:sz="8" w:color="auto"/>
            </w:tcBorders>
            <w:gridSpan w:val="5"/>
            <w:shd w:val="clear" w:color="auto" w:fill="CCEEFF"/>
          </w:tcPr>
          <w:p>
            <w:pPr>
              <w:jc w:val="right"/>
              <w:spacing w:after="0" w:line="183" w:lineRule="exact"/>
              <w:rPr>
                <w:sz w:val="20"/>
                <w:szCs w:val="20"/>
                <w:color w:val="auto"/>
              </w:rPr>
            </w:pPr>
            <w:r>
              <w:rPr>
                <w:rFonts w:ascii="Arial" w:cs="Arial" w:eastAsia="Arial" w:hAnsi="Arial"/>
                <w:sz w:val="17"/>
                <w:szCs w:val="17"/>
                <w:color w:val="auto"/>
              </w:rPr>
              <w:t>59,030,148</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646,615</w:t>
            </w: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gridSpan w:val="3"/>
            <w:shd w:val="clear" w:color="auto" w:fill="CCEEFF"/>
          </w:tcPr>
          <w:p>
            <w:pPr>
              <w:spacing w:after="0"/>
              <w:rPr>
                <w:sz w:val="15"/>
                <w:szCs w:val="15"/>
                <w:color w:val="auto"/>
              </w:rPr>
            </w:pPr>
          </w:p>
        </w:tc>
        <w:tc>
          <w:tcPr>
            <w:tcW w:w="160" w:type="dxa"/>
            <w:vAlign w:val="bottom"/>
            <w:tcBorders>
              <w:top w:val="single" w:sz="8" w:color="auto"/>
            </w:tcBorders>
            <w:gridSpan w:val="3"/>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(432,113)</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214,503</w:t>
            </w:r>
          </w:p>
        </w:tc>
        <w:tc>
          <w:tcPr>
            <w:tcW w:w="0" w:type="dxa"/>
            <w:vAlign w:val="bottom"/>
          </w:tcPr>
          <w:p>
            <w:pPr>
              <w:spacing w:after="0"/>
              <w:rPr>
                <w:sz w:val="1"/>
                <w:szCs w:val="1"/>
                <w:color w:val="auto"/>
              </w:rPr>
            </w:pPr>
          </w:p>
        </w:tc>
      </w:tr>
      <w:tr>
        <w:trPr>
          <w:trHeight w:val="189"/>
        </w:trPr>
        <w:tc>
          <w:tcPr>
            <w:tcW w:w="2520" w:type="dxa"/>
            <w:vAlign w:val="bottom"/>
          </w:tcPr>
          <w:p>
            <w:pPr>
              <w:ind w:left="220"/>
              <w:spacing w:after="0" w:line="189" w:lineRule="exact"/>
              <w:rPr>
                <w:sz w:val="20"/>
                <w:szCs w:val="20"/>
                <w:color w:val="auto"/>
              </w:rPr>
            </w:pPr>
            <w:r>
              <w:rPr>
                <w:rFonts w:ascii="Arial" w:cs="Arial" w:eastAsia="Arial" w:hAnsi="Arial"/>
                <w:sz w:val="17"/>
                <w:szCs w:val="17"/>
                <w:color w:val="auto"/>
              </w:rPr>
              <w:t>Net income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23,531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23,531</w:t>
            </w:r>
          </w:p>
        </w:tc>
        <w:tc>
          <w:tcPr>
            <w:tcW w:w="0" w:type="dxa"/>
            <w:vAlign w:val="bottom"/>
          </w:tcPr>
          <w:p>
            <w:pPr>
              <w:spacing w:after="0"/>
              <w:rPr>
                <w:sz w:val="1"/>
                <w:szCs w:val="1"/>
                <w:color w:val="auto"/>
              </w:rPr>
            </w:pPr>
          </w:p>
        </w:tc>
      </w:tr>
      <w:tr>
        <w:trPr>
          <w:trHeight w:val="171"/>
        </w:trPr>
        <w:tc>
          <w:tcPr>
            <w:tcW w:w="2520" w:type="dxa"/>
            <w:vAlign w:val="bottom"/>
            <w:shd w:val="clear" w:color="auto" w:fill="CCEEFF"/>
          </w:tcPr>
          <w:p>
            <w:pPr>
              <w:ind w:left="220"/>
              <w:spacing w:after="0" w:line="171" w:lineRule="exact"/>
              <w:rPr>
                <w:sz w:val="20"/>
                <w:szCs w:val="20"/>
                <w:color w:val="auto"/>
              </w:rPr>
            </w:pPr>
            <w:r>
              <w:rPr>
                <w:rFonts w:ascii="Arial" w:cs="Arial" w:eastAsia="Arial" w:hAnsi="Arial"/>
                <w:sz w:val="17"/>
                <w:szCs w:val="17"/>
                <w:color w:val="auto"/>
              </w:rPr>
              <w:t>Unrealized loss on</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investments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89"/>
        </w:trPr>
        <w:tc>
          <w:tcPr>
            <w:tcW w:w="2520" w:type="dxa"/>
            <w:vAlign w:val="bottom"/>
          </w:tcPr>
          <w:p>
            <w:pPr>
              <w:ind w:left="220"/>
              <w:spacing w:after="0" w:line="189" w:lineRule="exact"/>
              <w:rPr>
                <w:sz w:val="20"/>
                <w:szCs w:val="20"/>
                <w:color w:val="auto"/>
              </w:rPr>
            </w:pPr>
            <w:r>
              <w:rPr>
                <w:rFonts w:ascii="Arial" w:cs="Arial" w:eastAsia="Arial" w:hAnsi="Arial"/>
                <w:sz w:val="17"/>
                <w:szCs w:val="17"/>
                <w:color w:val="auto"/>
              </w:rPr>
              <w:t>Exercise of options</w:t>
            </w:r>
          </w:p>
        </w:tc>
        <w:tc>
          <w:tcPr>
            <w:tcW w:w="80" w:type="dxa"/>
            <w:vAlign w:val="bottom"/>
          </w:tcPr>
          <w:p>
            <w:pPr>
              <w:spacing w:after="0"/>
              <w:rPr>
                <w:sz w:val="16"/>
                <w:szCs w:val="16"/>
                <w:color w:val="auto"/>
              </w:rPr>
            </w:pPr>
          </w:p>
        </w:tc>
        <w:tc>
          <w:tcPr>
            <w:tcW w:w="900" w:type="dxa"/>
            <w:vAlign w:val="bottom"/>
            <w:gridSpan w:val="4"/>
          </w:tcPr>
          <w:p>
            <w:pPr>
              <w:jc w:val="right"/>
              <w:spacing w:after="0" w:line="189" w:lineRule="exact"/>
              <w:rPr>
                <w:sz w:val="20"/>
                <w:szCs w:val="20"/>
                <w:color w:val="auto"/>
              </w:rPr>
            </w:pPr>
            <w:r>
              <w:rPr>
                <w:rFonts w:ascii="Arial" w:cs="Arial" w:eastAsia="Arial" w:hAnsi="Arial"/>
                <w:sz w:val="17"/>
                <w:szCs w:val="17"/>
                <w:color w:val="auto"/>
              </w:rPr>
              <w:t>87,601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1,250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1,250</w:t>
            </w:r>
          </w:p>
        </w:tc>
        <w:tc>
          <w:tcPr>
            <w:tcW w:w="0" w:type="dxa"/>
            <w:vAlign w:val="bottom"/>
          </w:tcPr>
          <w:p>
            <w:pPr>
              <w:spacing w:after="0"/>
              <w:rPr>
                <w:sz w:val="1"/>
                <w:szCs w:val="1"/>
                <w:color w:val="auto"/>
              </w:rPr>
            </w:pPr>
          </w:p>
        </w:tc>
      </w:tr>
      <w:tr>
        <w:trPr>
          <w:trHeight w:val="189"/>
        </w:trPr>
        <w:tc>
          <w:tcPr>
            <w:tcW w:w="252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Stock-based compensation</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7,278</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4"/>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7,278</w:t>
            </w:r>
          </w:p>
        </w:tc>
        <w:tc>
          <w:tcPr>
            <w:tcW w:w="0" w:type="dxa"/>
            <w:vAlign w:val="bottom"/>
          </w:tcPr>
          <w:p>
            <w:pPr>
              <w:spacing w:after="0"/>
              <w:rPr>
                <w:sz w:val="1"/>
                <w:szCs w:val="1"/>
                <w:color w:val="auto"/>
              </w:rPr>
            </w:pPr>
          </w:p>
        </w:tc>
      </w:tr>
      <w:tr>
        <w:trPr>
          <w:trHeight w:val="183"/>
        </w:trPr>
        <w:tc>
          <w:tcPr>
            <w:tcW w:w="2520" w:type="dxa"/>
            <w:vAlign w:val="bottom"/>
          </w:tcPr>
          <w:p>
            <w:pPr>
              <w:ind w:left="20"/>
              <w:spacing w:after="0" w:line="183" w:lineRule="exact"/>
              <w:rPr>
                <w:sz w:val="20"/>
                <w:szCs w:val="20"/>
                <w:color w:val="auto"/>
              </w:rPr>
            </w:pPr>
            <w:r>
              <w:rPr>
                <w:rFonts w:ascii="Arial" w:cs="Arial" w:eastAsia="Arial" w:hAnsi="Arial"/>
                <w:sz w:val="17"/>
                <w:szCs w:val="17"/>
                <w:color w:val="auto"/>
              </w:rPr>
              <w:t>Balance as of June 30, 2022</w:t>
            </w:r>
          </w:p>
        </w:tc>
        <w:tc>
          <w:tcPr>
            <w:tcW w:w="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4"/>
          </w:tcPr>
          <w:p>
            <w:pPr>
              <w:jc w:val="right"/>
              <w:spacing w:after="0" w:line="183" w:lineRule="exact"/>
              <w:rPr>
                <w:sz w:val="20"/>
                <w:szCs w:val="20"/>
                <w:color w:val="auto"/>
              </w:rPr>
            </w:pPr>
            <w:r>
              <w:rPr>
                <w:rFonts w:ascii="Arial" w:cs="Arial" w:eastAsia="Arial" w:hAnsi="Arial"/>
                <w:sz w:val="17"/>
                <w:szCs w:val="17"/>
                <w:color w:val="auto"/>
                <w:w w:val="96"/>
              </w:rPr>
              <w:t>59,117,749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gridSpan w:val="2"/>
          </w:tcPr>
          <w:p>
            <w:pPr>
              <w:jc w:val="right"/>
              <w:ind w:right="120"/>
              <w:spacing w:after="0" w:line="183" w:lineRule="exact"/>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bottom w:val="single" w:sz="8" w:color="auto"/>
            </w:tcBorders>
            <w:gridSpan w:val="3"/>
          </w:tcPr>
          <w:p>
            <w:pPr>
              <w:jc w:val="right"/>
              <w:spacing w:after="0" w:line="183" w:lineRule="exact"/>
              <w:rPr>
                <w:sz w:val="20"/>
                <w:szCs w:val="20"/>
                <w:color w:val="auto"/>
              </w:rPr>
            </w:pPr>
            <w:r>
              <w:rPr>
                <w:rFonts w:ascii="Arial" w:cs="Arial" w:eastAsia="Arial" w:hAnsi="Arial"/>
                <w:sz w:val="17"/>
                <w:szCs w:val="17"/>
                <w:color w:val="auto"/>
              </w:rPr>
              <w:t>1</w:t>
            </w:r>
          </w:p>
        </w:tc>
        <w:tc>
          <w:tcPr>
            <w:tcW w:w="60" w:type="dxa"/>
            <w:vAlign w:val="bottom"/>
            <w:tcBorders>
              <w:top w:val="single" w:sz="8" w:color="auto"/>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3"/>
          </w:tcPr>
          <w:p>
            <w:pPr>
              <w:jc w:val="right"/>
              <w:spacing w:after="0" w:line="183" w:lineRule="exact"/>
              <w:rPr>
                <w:sz w:val="20"/>
                <w:szCs w:val="20"/>
                <w:color w:val="auto"/>
              </w:rPr>
            </w:pPr>
            <w:r>
              <w:rPr>
                <w:rFonts w:ascii="Arial" w:cs="Arial" w:eastAsia="Arial" w:hAnsi="Arial"/>
                <w:sz w:val="17"/>
                <w:szCs w:val="17"/>
                <w:color w:val="auto"/>
              </w:rPr>
              <w:t>655,143</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gridSpan w:val="2"/>
          </w:tcPr>
          <w:p>
            <w:pPr>
              <w:spacing w:after="0" w:line="183" w:lineRule="exact"/>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gridSpan w:val="3"/>
          </w:tcPr>
          <w:p>
            <w:pPr>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(408,582)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246,533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60" w:right="379" w:hanging="3041"/>
        <w:spacing w:after="0" w:line="260"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64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2022</w:t>
            </w:r>
          </w:p>
        </w:tc>
      </w:tr>
      <w:tr>
        <w:trPr>
          <w:trHeight w:val="156"/>
        </w:trPr>
        <w:tc>
          <w:tcPr>
            <w:tcW w:w="64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OPERATING ACTIVITIES</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62"/>
        </w:trPr>
        <w:tc>
          <w:tcPr>
            <w:tcW w:w="64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63,785</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45,016</w:t>
            </w:r>
          </w:p>
        </w:tc>
      </w:tr>
      <w:tr>
        <w:trPr>
          <w:trHeight w:val="16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Adjustments to reconcile net income to net cash used in operating activities:</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2"/>
        </w:trPr>
        <w:tc>
          <w:tcPr>
            <w:tcW w:w="646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211</w:t>
            </w:r>
          </w:p>
        </w:tc>
      </w:tr>
      <w:tr>
        <w:trPr>
          <w:trHeight w:val="162"/>
        </w:trPr>
        <w:tc>
          <w:tcPr>
            <w:tcW w:w="6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amortization</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11,922</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11,043</w:t>
            </w:r>
          </w:p>
        </w:tc>
      </w:tr>
      <w:tr>
        <w:trPr>
          <w:trHeight w:val="162"/>
        </w:trPr>
        <w:tc>
          <w:tcPr>
            <w:tcW w:w="6460" w:type="dxa"/>
            <w:vAlign w:val="bottom"/>
          </w:tcPr>
          <w:p>
            <w:pPr>
              <w:ind w:left="220"/>
              <w:spacing w:after="0"/>
              <w:rPr>
                <w:sz w:val="20"/>
                <w:szCs w:val="20"/>
                <w:color w:val="auto"/>
              </w:rPr>
            </w:pPr>
            <w:r>
              <w:rPr>
                <w:rFonts w:ascii="Arial" w:cs="Arial" w:eastAsia="Arial" w:hAnsi="Arial"/>
                <w:sz w:val="14"/>
                <w:szCs w:val="14"/>
                <w:color w:val="auto"/>
              </w:rPr>
              <w:t>Stock-based and employee stock purchase compensation expense</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14,851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11,906</w:t>
            </w:r>
          </w:p>
        </w:tc>
      </w:tr>
      <w:tr>
        <w:trPr>
          <w:trHeight w:val="162"/>
        </w:trPr>
        <w:tc>
          <w:tcPr>
            <w:tcW w:w="6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appreciation rights market adjustment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r>
      <w:tr>
        <w:trPr>
          <w:trHeight w:val="162"/>
        </w:trPr>
        <w:tc>
          <w:tcPr>
            <w:tcW w:w="6460" w:type="dxa"/>
            <w:vAlign w:val="bottom"/>
          </w:tcPr>
          <w:p>
            <w:pPr>
              <w:ind w:left="220"/>
              <w:spacing w:after="0"/>
              <w:rPr>
                <w:sz w:val="20"/>
                <w:szCs w:val="20"/>
                <w:color w:val="auto"/>
              </w:rPr>
            </w:pPr>
            <w:r>
              <w:rPr>
                <w:rFonts w:ascii="Arial" w:cs="Arial" w:eastAsia="Arial" w:hAnsi="Arial"/>
                <w:sz w:val="14"/>
                <w:szCs w:val="14"/>
                <w:color w:val="auto"/>
              </w:rPr>
              <w:t>Debt issuance costs amortization</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840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823</w:t>
            </w:r>
          </w:p>
        </w:tc>
      </w:tr>
      <w:tr>
        <w:trPr>
          <w:trHeight w:val="162"/>
        </w:trPr>
        <w:tc>
          <w:tcPr>
            <w:tcW w:w="6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taxes</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(7,635)</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460" w:type="dxa"/>
            <w:vAlign w:val="bottom"/>
          </w:tcPr>
          <w:p>
            <w:pPr>
              <w:ind w:left="220"/>
              <w:spacing w:after="0"/>
              <w:rPr>
                <w:sz w:val="20"/>
                <w:szCs w:val="20"/>
                <w:color w:val="auto"/>
              </w:rPr>
            </w:pPr>
            <w:r>
              <w:rPr>
                <w:rFonts w:ascii="Arial" w:cs="Arial" w:eastAsia="Arial" w:hAnsi="Arial"/>
                <w:sz w:val="14"/>
                <w:szCs w:val="14"/>
                <w:color w:val="auto"/>
              </w:rPr>
              <w:t>Amortization of premiums and accretion of discounts on Investment securities</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(1,312)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non-cash expenses</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r>
      <w:tr>
        <w:trPr>
          <w:trHeight w:val="162"/>
        </w:trPr>
        <w:tc>
          <w:tcPr>
            <w:tcW w:w="6460" w:type="dxa"/>
            <w:vAlign w:val="bottom"/>
          </w:tcPr>
          <w:p>
            <w:pPr>
              <w:ind w:left="20"/>
              <w:spacing w:after="0"/>
              <w:rPr>
                <w:sz w:val="20"/>
                <w:szCs w:val="20"/>
                <w:color w:val="auto"/>
              </w:rPr>
            </w:pPr>
            <w:r>
              <w:rPr>
                <w:rFonts w:ascii="Arial" w:cs="Arial" w:eastAsia="Arial" w:hAnsi="Arial"/>
                <w:sz w:val="14"/>
                <w:szCs w:val="14"/>
                <w:color w:val="auto"/>
              </w:rPr>
              <w:t>Change in operating assets and liabilities: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6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(9,072)</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(14,979)</w:t>
            </w:r>
          </w:p>
        </w:tc>
      </w:tr>
      <w:tr>
        <w:trPr>
          <w:trHeight w:val="162"/>
        </w:trPr>
        <w:tc>
          <w:tcPr>
            <w:tcW w:w="6460" w:type="dxa"/>
            <w:vAlign w:val="bottom"/>
          </w:tcPr>
          <w:p>
            <w:pPr>
              <w:ind w:left="220"/>
              <w:spacing w:after="0"/>
              <w:rPr>
                <w:sz w:val="20"/>
                <w:szCs w:val="20"/>
                <w:color w:val="auto"/>
              </w:rPr>
            </w:pPr>
            <w:r>
              <w:rPr>
                <w:rFonts w:ascii="Arial" w:cs="Arial" w:eastAsia="Arial" w:hAnsi="Arial"/>
                <w:sz w:val="14"/>
                <w:szCs w:val="14"/>
                <w:color w:val="auto"/>
              </w:rPr>
              <w:t>Inventory</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224</w:t>
            </w:r>
          </w:p>
        </w:tc>
      </w:tr>
      <w:tr>
        <w:trPr>
          <w:trHeight w:val="162"/>
        </w:trPr>
        <w:tc>
          <w:tcPr>
            <w:tcW w:w="6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assets</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2,227</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(3,707)</w:t>
            </w:r>
          </w:p>
        </w:tc>
      </w:tr>
      <w:tr>
        <w:trPr>
          <w:trHeight w:val="162"/>
        </w:trPr>
        <w:tc>
          <w:tcPr>
            <w:tcW w:w="6460" w:type="dxa"/>
            <w:vAlign w:val="bottom"/>
          </w:tcPr>
          <w:p>
            <w:pPr>
              <w:ind w:left="220"/>
              <w:spacing w:after="0"/>
              <w:rPr>
                <w:sz w:val="20"/>
                <w:szCs w:val="20"/>
                <w:color w:val="auto"/>
              </w:rPr>
            </w:pPr>
            <w:r>
              <w:rPr>
                <w:rFonts w:ascii="Arial" w:cs="Arial" w:eastAsia="Arial" w:hAnsi="Arial"/>
                <w:sz w:val="14"/>
                <w:szCs w:val="14"/>
                <w:color w:val="auto"/>
              </w:rPr>
              <w:t>Trade payables</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2,777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5,660</w:t>
            </w:r>
          </w:p>
        </w:tc>
      </w:tr>
      <w:tr>
        <w:trPr>
          <w:trHeight w:val="162"/>
        </w:trPr>
        <w:tc>
          <w:tcPr>
            <w:tcW w:w="6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5,407</w:t>
            </w:r>
          </w:p>
        </w:tc>
      </w:tr>
      <w:tr>
        <w:trPr>
          <w:trHeight w:val="162"/>
        </w:trPr>
        <w:tc>
          <w:tcPr>
            <w:tcW w:w="6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r>
      <w:tr>
        <w:trPr>
          <w:trHeight w:val="156"/>
        </w:trPr>
        <w:tc>
          <w:tcPr>
            <w:tcW w:w="64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79,622</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62,583</w:t>
            </w:r>
          </w:p>
        </w:tc>
      </w:tr>
      <w:tr>
        <w:trPr>
          <w:trHeight w:val="156"/>
        </w:trPr>
        <w:tc>
          <w:tcPr>
            <w:tcW w:w="6460" w:type="dxa"/>
            <w:vAlign w:val="bottom"/>
          </w:tcPr>
          <w:p>
            <w:pPr>
              <w:ind w:left="20"/>
              <w:spacing w:after="0" w:line="155" w:lineRule="exact"/>
              <w:rPr>
                <w:sz w:val="20"/>
                <w:szCs w:val="20"/>
                <w:color w:val="auto"/>
              </w:rPr>
            </w:pPr>
            <w:r>
              <w:rPr>
                <w:rFonts w:ascii="Arial" w:cs="Arial" w:eastAsia="Arial" w:hAnsi="Arial"/>
                <w:sz w:val="14"/>
                <w:szCs w:val="14"/>
                <w:color w:val="auto"/>
              </w:rPr>
              <w:t>CASH FLOWS FROM INVESTING ACTIVITIES: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2"/>
        </w:trPr>
        <w:tc>
          <w:tcPr>
            <w:tcW w:w="6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investment securities</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(72,847)</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(22,406)</w:t>
            </w:r>
          </w:p>
        </w:tc>
      </w:tr>
      <w:tr>
        <w:trPr>
          <w:trHeight w:val="162"/>
        </w:trPr>
        <w:tc>
          <w:tcPr>
            <w:tcW w:w="6460" w:type="dxa"/>
            <w:vAlign w:val="bottom"/>
          </w:tcPr>
          <w:p>
            <w:pPr>
              <w:ind w:left="220"/>
              <w:spacing w:after="0"/>
              <w:rPr>
                <w:sz w:val="20"/>
                <w:szCs w:val="20"/>
                <w:color w:val="auto"/>
              </w:rPr>
            </w:pPr>
            <w:r>
              <w:rPr>
                <w:rFonts w:ascii="Arial" w:cs="Arial" w:eastAsia="Arial" w:hAnsi="Arial"/>
                <w:sz w:val="14"/>
                <w:szCs w:val="14"/>
                <w:color w:val="auto"/>
              </w:rPr>
              <w:t>Proceeds from maturities and sales of investment securities</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63,491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property and equipment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162"/>
        </w:trPr>
        <w:tc>
          <w:tcPr>
            <w:tcW w:w="6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Milestone payments</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(40,000)</w:t>
            </w:r>
          </w:p>
        </w:tc>
      </w:tr>
      <w:tr>
        <w:trPr>
          <w:trHeight w:val="156"/>
        </w:trPr>
        <w:tc>
          <w:tcPr>
            <w:tcW w:w="64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cash used in investing activities</w:t>
            </w:r>
          </w:p>
        </w:tc>
        <w:tc>
          <w:tcPr>
            <w:tcW w:w="1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(9,561)</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(62,492)</w:t>
            </w:r>
          </w:p>
        </w:tc>
      </w:tr>
      <w:tr>
        <w:trPr>
          <w:trHeight w:val="155"/>
        </w:trPr>
        <w:tc>
          <w:tcPr>
            <w:tcW w:w="6460" w:type="dxa"/>
            <w:vAlign w:val="bottom"/>
          </w:tcPr>
          <w:p>
            <w:pPr>
              <w:ind w:left="20"/>
              <w:spacing w:after="0" w:line="155" w:lineRule="exact"/>
              <w:rPr>
                <w:sz w:val="20"/>
                <w:szCs w:val="20"/>
                <w:color w:val="auto"/>
              </w:rPr>
            </w:pPr>
            <w:r>
              <w:rPr>
                <w:rFonts w:ascii="Arial" w:cs="Arial" w:eastAsia="Arial" w:hAnsi="Arial"/>
                <w:sz w:val="14"/>
                <w:szCs w:val="14"/>
                <w:color w:val="auto"/>
              </w:rPr>
              <w:t>CASH FLOWS FROM FINANCING ACTIVITIES: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2"/>
        </w:trPr>
        <w:tc>
          <w:tcPr>
            <w:tcW w:w="6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Principal repayment of long term debt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62"/>
        </w:trPr>
        <w:tc>
          <w:tcPr>
            <w:tcW w:w="6460" w:type="dxa"/>
            <w:vAlign w:val="bottom"/>
          </w:tcPr>
          <w:p>
            <w:pPr>
              <w:ind w:left="220"/>
              <w:spacing w:after="0"/>
              <w:rPr>
                <w:sz w:val="20"/>
                <w:szCs w:val="20"/>
                <w:color w:val="auto"/>
              </w:rPr>
            </w:pPr>
            <w:r>
              <w:rPr>
                <w:rFonts w:ascii="Arial" w:cs="Arial" w:eastAsia="Arial" w:hAnsi="Arial"/>
                <w:sz w:val="14"/>
                <w:szCs w:val="14"/>
                <w:color w:val="auto"/>
              </w:rPr>
              <w:t>Payments of employee withholding taxes related to stock-based awards</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exercised options</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4,584</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3,133</w:t>
            </w:r>
          </w:p>
        </w:tc>
      </w:tr>
      <w:tr>
        <w:trPr>
          <w:trHeight w:val="162"/>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3,070</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2,133</w:t>
            </w:r>
          </w:p>
        </w:tc>
      </w:tr>
      <w:tr>
        <w:trPr>
          <w:trHeight w:val="155"/>
        </w:trPr>
        <w:tc>
          <w:tcPr>
            <w:tcW w:w="64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INCREASE IN CASH, CASH EQUIVALENTS, AND RESTRICTED CASH</w:t>
            </w:r>
          </w:p>
        </w:tc>
        <w:tc>
          <w:tcPr>
            <w:tcW w:w="1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73,131</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2,224</w:t>
            </w:r>
          </w:p>
        </w:tc>
      </w:tr>
      <w:tr>
        <w:trPr>
          <w:trHeight w:val="155"/>
        </w:trPr>
        <w:tc>
          <w:tcPr>
            <w:tcW w:w="646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CASH, CASH EQUIVALENTS, AND RESTRICTED CASH—Beginning of period</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244,534</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235,059</w:t>
            </w:r>
          </w:p>
        </w:tc>
      </w:tr>
      <w:tr>
        <w:trPr>
          <w:trHeight w:val="156"/>
        </w:trPr>
        <w:tc>
          <w:tcPr>
            <w:tcW w:w="64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CASH EQUIVALENTS, AND RESTRICTED CASH—End of period</w:t>
            </w: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317,665</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237,283</w:t>
            </w:r>
          </w:p>
        </w:tc>
      </w:tr>
      <w:tr>
        <w:trPr>
          <w:trHeight w:val="155"/>
        </w:trPr>
        <w:tc>
          <w:tcPr>
            <w:tcW w:w="6460" w:type="dxa"/>
            <w:vAlign w:val="bottom"/>
          </w:tcPr>
          <w:p>
            <w:pPr>
              <w:ind w:left="20"/>
              <w:spacing w:after="0" w:line="155" w:lineRule="exact"/>
              <w:rPr>
                <w:sz w:val="20"/>
                <w:szCs w:val="20"/>
                <w:color w:val="auto"/>
              </w:rPr>
            </w:pPr>
            <w:r>
              <w:rPr>
                <w:rFonts w:ascii="Arial" w:cs="Arial" w:eastAsia="Arial" w:hAnsi="Arial"/>
                <w:sz w:val="14"/>
                <w:szCs w:val="14"/>
                <w:color w:val="auto"/>
              </w:rPr>
              <w:t>Supplemental Disclosure of Cash Flow Information:</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2"/>
        </w:trPr>
        <w:tc>
          <w:tcPr>
            <w:tcW w:w="6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during the year for interest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10,691</w:t>
            </w:r>
          </w:p>
        </w:tc>
        <w:tc>
          <w:tcPr>
            <w:tcW w:w="4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7,524</w:t>
            </w:r>
          </w:p>
        </w:tc>
      </w:tr>
      <w:tr>
        <w:trPr>
          <w:trHeight w:val="182"/>
        </w:trPr>
        <w:tc>
          <w:tcPr>
            <w:tcW w:w="6460" w:type="dxa"/>
            <w:vAlign w:val="bottom"/>
          </w:tcPr>
          <w:p>
            <w:pPr>
              <w:ind w:left="220"/>
              <w:spacing w:after="0"/>
              <w:rPr>
                <w:sz w:val="20"/>
                <w:szCs w:val="20"/>
                <w:color w:val="auto"/>
              </w:rPr>
            </w:pPr>
            <w:r>
              <w:rPr>
                <w:rFonts w:ascii="Arial" w:cs="Arial" w:eastAsia="Arial" w:hAnsi="Arial"/>
                <w:sz w:val="14"/>
                <w:szCs w:val="14"/>
                <w:color w:val="auto"/>
              </w:rPr>
              <w:t>Cash paid during the year for taxes</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19,890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290</w:t>
            </w:r>
          </w:p>
        </w:tc>
      </w:tr>
    </w:tbl>
    <w:p>
      <w:pPr>
        <w:spacing w:after="0" w:line="169" w:lineRule="exact"/>
        <w:rPr>
          <w:sz w:val="20"/>
          <w:szCs w:val="20"/>
          <w:color w:val="auto"/>
        </w:rPr>
      </w:pPr>
    </w:p>
    <w:p>
      <w:pPr>
        <w:ind w:left="4060" w:right="379" w:hanging="3041"/>
        <w:spacing w:after="0" w:line="260"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left="50" w:right="70"/>
        <w:spacing w:after="0" w:line="260" w:lineRule="auto"/>
        <w:rPr>
          <w:sz w:val="20"/>
          <w:szCs w:val="20"/>
          <w:color w:val="auto"/>
        </w:rPr>
      </w:pPr>
      <w:r>
        <w:rPr>
          <w:rFonts w:ascii="Arial" w:cs="Arial" w:eastAsia="Arial" w:hAnsi="Arial"/>
          <w:sz w:val="18"/>
          <w:szCs w:val="18"/>
          <w:b w:val="1"/>
          <w:bCs w:val="1"/>
          <w:color w:val="auto"/>
        </w:rPr>
        <w:t>HARMONY BIOSCIENCES HOLDINGS, INC. AND SUBSIDIARY NOTES TO UNAUDITED CONDENSED CONSOLIDATED FINANCIAL STATEMENTS (In thousands, except share and per share data)</w:t>
      </w:r>
    </w:p>
    <w:p>
      <w:pPr>
        <w:spacing w:after="0" w:line="151" w:lineRule="exact"/>
        <w:rPr>
          <w:sz w:val="20"/>
          <w:szCs w:val="20"/>
          <w:color w:val="auto"/>
        </w:rPr>
      </w:pPr>
    </w:p>
    <w:p>
      <w:pPr>
        <w:ind w:left="700" w:right="4419" w:hanging="650"/>
        <w:spacing w:after="0" w:line="491" w:lineRule="auto"/>
        <w:tabs>
          <w:tab w:leader="none" w:pos="2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The Company</w:t>
      </w:r>
    </w:p>
    <w:p>
      <w:pPr>
        <w:jc w:val="both"/>
        <w:ind w:left="60" w:right="59" w:firstLine="648"/>
        <w:spacing w:after="0" w:line="238" w:lineRule="auto"/>
        <w:rPr>
          <w:sz w:val="20"/>
          <w:szCs w:val="20"/>
          <w:color w:val="auto"/>
        </w:rPr>
      </w:pPr>
      <w:r>
        <w:rPr>
          <w:rFonts w:ascii="Arial" w:cs="Arial" w:eastAsia="Arial" w:hAnsi="Arial"/>
          <w:sz w:val="18"/>
          <w:szCs w:val="18"/>
          <w:color w:val="auto"/>
        </w:rPr>
        <w:t>Harmony Biosciences Holdings, Inc., and its consolidated subsidiary (the “Company”) was founded in July 2017 as Harmony Biosciences II, LLC, a Delaware limited liability company. The Company converted to a Delaware corporation named Harmony Biosciences II, Inc. in September 2017 and, in February 2020, the Company changed its name to Harmony Biosciences Holdings, Inc. The Company’s operations are conducted in its wholly owned subsidiary, Harmony Biosciences, LLC (“Harmony”), which was formed in May 2017. The Company is a commercial-stage pharmaceutical company focused on developing and commercializing innovative therapies for patients living with rare neurological diseases as well as patients living with other neurological diseases who have unmet medical needs. The Company is headquartered in Plymouth Meeting, Pennsylvania.</w:t>
      </w:r>
    </w:p>
    <w:p>
      <w:pPr>
        <w:spacing w:after="0" w:line="181" w:lineRule="exact"/>
        <w:rPr>
          <w:sz w:val="20"/>
          <w:szCs w:val="20"/>
          <w:color w:val="auto"/>
        </w:rPr>
      </w:pPr>
    </w:p>
    <w:p>
      <w:pPr>
        <w:ind w:left="260" w:hanging="210"/>
        <w:spacing w:after="0"/>
        <w:tabs>
          <w:tab w:leader="none" w:pos="2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LIQUIDITY AND CAPITAL RESOURCES</w:t>
      </w:r>
    </w:p>
    <w:p>
      <w:pPr>
        <w:spacing w:after="0" w:line="222"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The unaudited condensed consolidated financial statements have been prepared as though the Company will continue as a going concern, which contemplates the realization of assets and satisfaction of liabilities in the normal course of business. The Company had an accumulated deficit of $208,345 and $272,130, as of June 30, 2023 and December 31, 2022, respectively. As of June 30, 2023, the Company had cash, cash equivalents and investments of $429,884.</w:t>
      </w:r>
    </w:p>
    <w:p>
      <w:pPr>
        <w:spacing w:after="0" w:line="189"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The Company believes that its existing cash, cash equivalents and investments on hand as of June 30, 2023, as well as additional cash generated from operating and financing activities will meet its operational liquidity needs and fund its planned investing activities for the next twelve months from the date of issuance of these unaudited condensed consolidated financial statements.</w:t>
      </w:r>
    </w:p>
    <w:p>
      <w:pPr>
        <w:spacing w:after="0" w:line="178" w:lineRule="exact"/>
        <w:rPr>
          <w:sz w:val="20"/>
          <w:szCs w:val="20"/>
          <w:color w:val="auto"/>
        </w:rPr>
      </w:pPr>
    </w:p>
    <w:p>
      <w:pPr>
        <w:ind w:left="700" w:right="4199" w:hanging="650"/>
        <w:spacing w:after="0" w:line="491" w:lineRule="auto"/>
        <w:tabs>
          <w:tab w:leader="none" w:pos="2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left="60" w:right="59" w:firstLine="648"/>
        <w:spacing w:after="0" w:line="236" w:lineRule="auto"/>
        <w:rPr>
          <w:sz w:val="20"/>
          <w:szCs w:val="20"/>
          <w:color w:val="auto"/>
        </w:rPr>
      </w:pPr>
      <w:r>
        <w:rPr>
          <w:rFonts w:ascii="Arial" w:cs="Arial" w:eastAsia="Arial" w:hAnsi="Arial"/>
          <w:sz w:val="18"/>
          <w:szCs w:val="18"/>
          <w:color w:val="auto"/>
        </w:rPr>
        <w:t>The unaudited condensed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 in consolidation. The unaudited condensed consolidated balance sheet as of June 30, 2023, the unaudited condensed consolidated statements of cash flows for the three and six months ended June 30, 2023, and 2022, and the unaudited condensed consolidated statements of operations and comprehensive income and the unaudited condensed consolidated statements of shareholders’ equity for the three and six months ended June 30, 2023 and 2022, are unaudited. The balance sheet as of December 31, 2022, was derived from audited financial statements as of and for the year ended December 31, 2022. The unaudited interim condensed consolidated financial statements have been prepared on the same basis as the audited annual financial statements as of and for the year ended December 31, 2022, and, in the opinion of management, reflect all adjustments, which include only normal recurring adjustments, necessary for the fair presentation of the Company’s financial position as of June 30, 2023, and the results of its operations and its cash flows for the three and six months ended June 30, 2023 and 2022. The unaudited condensed consolidated results of operations are not necessarily indicative of the results that may occur for the full fiscal year. Certain information and disclosures normally included in the financial statements prepared in accordance with GAAP have been condensed or omitted under the SEC’s rules and regulations. These unaudited condensed consolidated financial statements should be read in conjunction with the audited financial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both"/>
        <w:ind w:left="60" w:right="59"/>
        <w:spacing w:after="0" w:line="260" w:lineRule="auto"/>
        <w:rPr>
          <w:sz w:val="20"/>
          <w:szCs w:val="20"/>
          <w:color w:val="auto"/>
        </w:rPr>
      </w:pPr>
      <w:r>
        <w:rPr>
          <w:rFonts w:ascii="Arial" w:cs="Arial" w:eastAsia="Arial" w:hAnsi="Arial"/>
          <w:sz w:val="18"/>
          <w:szCs w:val="18"/>
          <w:color w:val="auto"/>
        </w:rPr>
        <w:t>statements and accompanying notes thereto contained in the Company’s Annual Report on Form 10-K for the year ended December 31, 2022.</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Use of Estimates</w:t>
      </w:r>
    </w:p>
    <w:p>
      <w:pPr>
        <w:spacing w:after="0" w:line="222"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disclosures in the unaudited condensed consolidated financial statements, including the notes thereto, and elsewhere in this report. Actual results may differ significantly from estimates, which include rebates due pursuant to commercial and government contracts, accrued research and development expenses, stock-based compensation expense and income taxes.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2"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Cash and cash equivalents and restricted cash consist of cash and, if applicable, highly liquid investments with an original maturity of three months or less when purchased, including investments in Money Market Funds and debt securities that approximate fair value. The following table provides a reconciliation of cash, cash equivalents, and restricted cash reported within the balance sheet that equal the amount reflected in the statements of cash flows.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59"/>
              <w:spacing w:after="0" w:line="14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2"/>
                <w:szCs w:val="12"/>
                <w:color w:val="auto"/>
              </w:rPr>
            </w:pPr>
          </w:p>
        </w:tc>
        <w:tc>
          <w:tcPr>
            <w:tcW w:w="106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6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317,415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243,784</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170"/>
        </w:trPr>
        <w:tc>
          <w:tcPr>
            <w:tcW w:w="634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Total cash, cash equivalents, and restricted cash shown in the statements of</w:t>
            </w:r>
          </w:p>
        </w:tc>
        <w:tc>
          <w:tcPr>
            <w:tcW w:w="4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317,665</w:t>
            </w:r>
          </w:p>
        </w:tc>
        <w:tc>
          <w:tcPr>
            <w:tcW w:w="42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244,534</w:t>
            </w:r>
          </w:p>
        </w:tc>
        <w:tc>
          <w:tcPr>
            <w:tcW w:w="0" w:type="dxa"/>
            <w:vAlign w:val="bottom"/>
          </w:tcPr>
          <w:p>
            <w:pPr>
              <w:spacing w:after="0"/>
              <w:rPr>
                <w:sz w:val="1"/>
                <w:szCs w:val="1"/>
                <w:color w:val="auto"/>
              </w:rPr>
            </w:pPr>
          </w:p>
        </w:tc>
      </w:tr>
      <w:tr>
        <w:trPr>
          <w:trHeight w:val="202"/>
        </w:trPr>
        <w:tc>
          <w:tcPr>
            <w:tcW w:w="6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cash flows</w:t>
            </w:r>
          </w:p>
        </w:tc>
        <w:tc>
          <w:tcPr>
            <w:tcW w:w="4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Restricted cash includes amounts required to be held as a security deposit in the form of letters of credit for the Company’s credit card program and the fleet program.</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Investments</w:t>
      </w:r>
    </w:p>
    <w:p>
      <w:pPr>
        <w:spacing w:after="0" w:line="22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Company’s investments consist of debt securities that are classified as available-for-sale. Short-term and long-term investments are carried at fair value and unrealized gains and losses are recorded as a component of accumulated comprehensive income in stockholders’ equity. The amortization of premiums and accretion of discounts adjust the carrying value of investments and are recorded in interest expense, net, on the unaudited condensed consolidated statements of operations and comprehensive income. Interest income and realized gains and losses, if any, are also recorded in interest expense, net, on the unaudited condensed consolidated statement of operations and comprehensive income. Realized gains and losses that result from the sale of investments are determined on a specific identification basis.</w:t>
      </w:r>
    </w:p>
    <w:p>
      <w:pPr>
        <w:spacing w:after="0" w:line="194"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At each reporting period, the Company reviews any unrealized losses position to determine if the decline in the fair value of the underlying investments is a result of credit losses or other factors. If the assessment indicates that a credit loss exists, any impairment is recognized as an allowance for credit losses in our consolidated statement of operations.</w:t>
      </w:r>
    </w:p>
    <w:p>
      <w:pPr>
        <w:spacing w:after="0" w:line="188" w:lineRule="exact"/>
        <w:rPr>
          <w:sz w:val="20"/>
          <w:szCs w:val="20"/>
          <w:color w:val="auto"/>
        </w:rPr>
      </w:pPr>
    </w:p>
    <w:p>
      <w:pPr>
        <w:ind w:left="60" w:right="479" w:firstLine="648"/>
        <w:spacing w:after="0" w:line="247" w:lineRule="auto"/>
        <w:rPr>
          <w:sz w:val="20"/>
          <w:szCs w:val="20"/>
          <w:color w:val="auto"/>
        </w:rPr>
      </w:pPr>
      <w:r>
        <w:rPr>
          <w:rFonts w:ascii="Arial" w:cs="Arial" w:eastAsia="Arial" w:hAnsi="Arial"/>
          <w:sz w:val="18"/>
          <w:szCs w:val="18"/>
          <w:color w:val="auto"/>
        </w:rPr>
        <w:t>Interest income generated from our investments and cash equivalents, which is included in interest expense, net, was $2,731 and $ 5,153 for the three and six months ended June 30, 2023, respectively, compared to $250 and $317 for the three and six months ended June 30, 2022,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Concentrations of Risk</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Substantially all of the Company’s cash and money market funds are held in two financial institutions. Due to their size, the Company believes these financial institutions represent minimal credit risk. Deposits may exceed the amount of insurance provided on such deposits by the Federal Deposit Insurance Corporation for U.S. institutions. The Company has not experienced any losses on its deposits of cash and cash equivalents. The Company believes that it is not exposed to significant credit risk due to the financial position of the depository institutions in which those deposits are held.</w:t>
      </w:r>
    </w:p>
    <w:p>
      <w:pPr>
        <w:spacing w:after="0" w:line="19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The Company is also subject to credit risk from its trade receivables related to its product sales. The Company extends credit to specialty pharmaceutical distribution companies within the United States. Customer creditworthiness is monitored and collateral is not required. Historically, the Company has not experienced credit losses on its accounts receivable. The Company monitors its exposure within accounts receivable and would record a reserve against uncollectible accounts receivable if necessary. As of June 30, 2023, three customers accounted for 100% of gross accounts receivable; Caremark LLC (“CVS Caremark”), which accounted for 38% of gross accounts receivable; Accredo Health Group, Inc. (“Accredo”), which accounted for 36% of gross accounts receivable; and PANTHERx Specialty Pharmacy LLC (“Pantherx”), which accounted for 26% of gross accounts receivable. As of December 31, 2022, three customers accounted for 100% of gross accounts receivable; CVS Caremark, which accounted for 41% of gross accounts receivable, Accredo, which accounted for 35% of gross accounts receivable; and Pantherx, which accounted for 24% of gross accounts receivable.</w:t>
      </w:r>
    </w:p>
    <w:p>
      <w:pPr>
        <w:spacing w:after="0" w:line="19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For the six months ended June 30, 2023, three customers accounted for 100% of gross product revenues; CVS Caremark accounted for 35% of gross product revenues; Pantherx accounted for 33% of gross product revenues; and Accredo accounted for 32% of gross product revenues. For the six months ended June 30, 2022, three customers accounted for 100% of gross product revenues; CVS Caremark accounted for 39% of gross product revenues; Pantherx accounted for 32% of gross product revenues; and Accredo accounted for 29% of gross product revenues.</w:t>
      </w:r>
    </w:p>
    <w:p>
      <w:pPr>
        <w:spacing w:after="0" w:line="194"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The Company depends on a single source supplier for each of its product and active pharmaceutical ingredient.</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b w:val="1"/>
          <w:bCs w:val="1"/>
          <w:color w:val="auto"/>
        </w:rPr>
        <w:t xml:space="preserve">ASU 2020-04, Reference Rate Reform (Topic 848). </w:t>
      </w: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which provides guidance related to reference rate reform. The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guidance was effective upon issuance and could initially be applied to applicable contract modifications through December 31, 2022, which was extended to December 31, 2024 upon the FASB issuing ASU No. 2022-06,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(Topic 848): Deferral of the Sunset Date of Topic 848. The Company is currently evaluating the impact of the transition from LIBOR to alternative reference rates but does not expect a significant impact to its condensed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222"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The carrying value and amortized cost of the Company’s available-for-sale debt securities, summarized by type of security, consisted of the following:</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477"/>
              <w:spacing w:after="0"/>
              <w:rPr>
                <w:sz w:val="20"/>
                <w:szCs w:val="20"/>
                <w:color w:val="auto"/>
              </w:rPr>
            </w:pPr>
            <w:r>
              <w:rPr>
                <w:rFonts w:ascii="Arial" w:cs="Arial" w:eastAsia="Arial" w:hAnsi="Arial"/>
                <w:sz w:val="14"/>
                <w:szCs w:val="14"/>
                <w:b w:val="1"/>
                <w:bCs w:val="1"/>
                <w:color w:val="auto"/>
              </w:rPr>
              <w:t>June 30, 2023</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1"/>
        </w:trPr>
        <w:tc>
          <w:tcPr>
            <w:tcW w:w="3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w:t>
            </w: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30,058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30,030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21,647</w:t>
            </w:r>
          </w:p>
        </w:tc>
        <w:tc>
          <w:tcPr>
            <w:tcW w:w="0" w:type="dxa"/>
            <w:vAlign w:val="bottom"/>
          </w:tcPr>
          <w:p>
            <w:pPr>
              <w:spacing w:after="0"/>
              <w:rPr>
                <w:sz w:val="1"/>
                <w:szCs w:val="1"/>
                <w:color w:val="auto"/>
              </w:rPr>
            </w:pPr>
          </w:p>
        </w:tc>
      </w:tr>
      <w:tr>
        <w:trPr>
          <w:trHeight w:val="216"/>
        </w:trPr>
        <w:tc>
          <w:tcPr>
            <w:tcW w:w="3620" w:type="dxa"/>
            <w:vAlign w:val="bottom"/>
          </w:tcPr>
          <w:p>
            <w:pPr>
              <w:ind w:left="120"/>
              <w:spacing w:after="0"/>
              <w:rPr>
                <w:sz w:val="20"/>
                <w:szCs w:val="20"/>
                <w:color w:val="auto"/>
              </w:rPr>
            </w:pPr>
            <w:r>
              <w:rPr>
                <w:rFonts w:ascii="Arial" w:cs="Arial" w:eastAsia="Arial" w:hAnsi="Arial"/>
                <w:sz w:val="18"/>
                <w:szCs w:val="18"/>
                <w:color w:val="auto"/>
              </w:rPr>
              <w:t>U.S. government securities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13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53,622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53,568</w:t>
            </w:r>
          </w:p>
        </w:tc>
        <w:tc>
          <w:tcPr>
            <w:tcW w:w="0" w:type="dxa"/>
            <w:vAlign w:val="bottom"/>
          </w:tcPr>
          <w:p>
            <w:pPr>
              <w:spacing w:after="0"/>
              <w:rPr>
                <w:sz w:val="1"/>
                <w:szCs w:val="1"/>
                <w:color w:val="auto"/>
              </w:rPr>
            </w:pPr>
          </w:p>
        </w:tc>
      </w:tr>
      <w:tr>
        <w:trPr>
          <w:trHeight w:val="20"/>
        </w:trPr>
        <w:tc>
          <w:tcPr>
            <w:tcW w:w="3620" w:type="dxa"/>
            <w:vAlign w:val="bottom"/>
            <w:vMerge w:val="restart"/>
          </w:tcPr>
          <w:p>
            <w:pPr>
              <w:ind w:left="20"/>
              <w:spacing w:after="0"/>
              <w:rPr>
                <w:sz w:val="20"/>
                <w:szCs w:val="20"/>
                <w:color w:val="auto"/>
              </w:rPr>
            </w:pPr>
            <w:r>
              <w:rPr>
                <w:rFonts w:ascii="Arial" w:cs="Arial" w:eastAsia="Arial" w:hAnsi="Arial"/>
                <w:sz w:val="18"/>
                <w:szCs w:val="18"/>
                <w:color w:val="auto"/>
              </w:rPr>
              <w:t>Long-term:</w:t>
            </w: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16"/>
        </w:trPr>
        <w:tc>
          <w:tcPr>
            <w:tcW w:w="362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30,502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30,376</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U.S. government securities</w:t>
            </w:r>
          </w:p>
        </w:tc>
        <w:tc>
          <w:tcPr>
            <w:tcW w:w="1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27,016</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26,678</w:t>
            </w: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line="196" w:lineRule="exact"/>
              <w:rPr>
                <w:sz w:val="20"/>
                <w:szCs w:val="20"/>
                <w:color w:val="auto"/>
              </w:rPr>
            </w:pPr>
            <w:r>
              <w:rPr>
                <w:rFonts w:ascii="Arial" w:cs="Arial" w:eastAsia="Arial" w:hAnsi="Arial"/>
                <w:sz w:val="18"/>
                <w:szCs w:val="18"/>
                <w:color w:val="auto"/>
              </w:rPr>
              <w:t>Total long-term investments</w:t>
            </w:r>
          </w:p>
        </w:tc>
        <w:tc>
          <w:tcPr>
            <w:tcW w:w="13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59,119</w:t>
            </w:r>
          </w:p>
        </w:tc>
        <w:tc>
          <w:tcPr>
            <w:tcW w:w="2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1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(491)</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58,651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Amortized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Unrealized</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Unrealized</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Gains</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Losses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26,553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26,534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49,149</w:t>
            </w:r>
          </w:p>
        </w:tc>
        <w:tc>
          <w:tcPr>
            <w:tcW w:w="0" w:type="dxa"/>
            <w:vAlign w:val="bottom"/>
          </w:tcPr>
          <w:p>
            <w:pPr>
              <w:spacing w:after="0"/>
              <w:rPr>
                <w:sz w:val="1"/>
                <w:szCs w:val="1"/>
                <w:color w:val="auto"/>
              </w:rPr>
            </w:pPr>
          </w:p>
        </w:tc>
      </w:tr>
      <w:tr>
        <w:trPr>
          <w:trHeight w:val="216"/>
        </w:trPr>
        <w:tc>
          <w:tcPr>
            <w:tcW w:w="3620" w:type="dxa"/>
            <w:vAlign w:val="bottom"/>
          </w:tcPr>
          <w:p>
            <w:pPr>
              <w:ind w:left="120"/>
              <w:spacing w:after="0"/>
              <w:rPr>
                <w:sz w:val="20"/>
                <w:szCs w:val="20"/>
                <w:color w:val="auto"/>
              </w:rPr>
            </w:pPr>
            <w:r>
              <w:rPr>
                <w:rFonts w:ascii="Arial" w:cs="Arial" w:eastAsia="Arial" w:hAnsi="Arial"/>
                <w:sz w:val="18"/>
                <w:szCs w:val="18"/>
                <w:color w:val="auto"/>
              </w:rPr>
              <w:t>U.S. government securities</w:t>
            </w:r>
          </w:p>
        </w:tc>
        <w:tc>
          <w:tcPr>
            <w:tcW w:w="1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236"/>
        </w:trPr>
        <w:tc>
          <w:tcPr>
            <w:tcW w:w="3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14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79,424</w:t>
            </w: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(117)</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79,331</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853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21,459</w:t>
            </w:r>
          </w:p>
        </w:tc>
        <w:tc>
          <w:tcPr>
            <w:tcW w:w="0" w:type="dxa"/>
            <w:vAlign w:val="bottom"/>
          </w:tcPr>
          <w:p>
            <w:pPr>
              <w:spacing w:after="0"/>
              <w:rPr>
                <w:sz w:val="1"/>
                <w:szCs w:val="1"/>
                <w:color w:val="auto"/>
              </w:rPr>
            </w:pPr>
          </w:p>
        </w:tc>
      </w:tr>
      <w:tr>
        <w:trPr>
          <w:trHeight w:val="230"/>
        </w:trPr>
        <w:tc>
          <w:tcPr>
            <w:tcW w:w="3620" w:type="dxa"/>
            <w:vAlign w:val="bottom"/>
          </w:tcPr>
          <w:p>
            <w:pPr>
              <w:ind w:left="120"/>
              <w:spacing w:after="0"/>
              <w:rPr>
                <w:sz w:val="20"/>
                <w:szCs w:val="20"/>
                <w:color w:val="auto"/>
              </w:rPr>
            </w:pPr>
            <w:r>
              <w:rPr>
                <w:rFonts w:ascii="Arial" w:cs="Arial" w:eastAsia="Arial" w:hAnsi="Arial"/>
                <w:sz w:val="18"/>
                <w:szCs w:val="18"/>
                <w:color w:val="auto"/>
              </w:rPr>
              <w:t>U.S. government securities</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long-term investments</w:t>
            </w:r>
          </w:p>
        </w:tc>
        <w:tc>
          <w:tcPr>
            <w:tcW w:w="13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22,626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22,568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The Company classifies investments with an original maturity of less than one year as current and investments with an original maturity date of greater than one year as noncurrent on its unaudited condensed consolidated balance sheet. The investments classified as noncurrent have original maturity dates ranging from 1-2 years. The Company did not have any available-for-sale debt security investments in a continuous unrealized loss position of greater than 12 months as of June 30, 2023 and December 31, 2022, respectively.</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MEASUREMENTS</w:t>
      </w:r>
    </w:p>
    <w:p>
      <w:pPr>
        <w:spacing w:after="0" w:line="22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Company’s unaudited condensed consolidated financial statements include cash, cash equivalents, restricted cash, accounts payable, and accrued liabilities, all of which are short term in nature and, accordingly, approximate fair value.</w:t>
      </w:r>
    </w:p>
    <w:p>
      <w:pPr>
        <w:spacing w:after="0" w:line="184"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It is the Company’s policy to measure non-financial assets and liabilities at fair value on a nonrecurring basis. These non-financial assets and liabilities are not measured at fair value on an ongoing basis but are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both"/>
        <w:ind w:left="60" w:right="59"/>
        <w:spacing w:after="0" w:line="260" w:lineRule="auto"/>
        <w:rPr>
          <w:sz w:val="20"/>
          <w:szCs w:val="20"/>
          <w:color w:val="auto"/>
        </w:rPr>
      </w:pPr>
      <w:r>
        <w:rPr>
          <w:rFonts w:ascii="Arial" w:cs="Arial" w:eastAsia="Arial" w:hAnsi="Arial"/>
          <w:sz w:val="18"/>
          <w:szCs w:val="18"/>
          <w:color w:val="auto"/>
        </w:rPr>
        <w:t>subject to fair value adjustments in certain circumstances (such as evidence of impairment), which, if material, are disclosed in the accompanying footnotes.</w:t>
      </w:r>
    </w:p>
    <w:p>
      <w:pPr>
        <w:spacing w:after="0" w:line="173"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measures certain assets and liabilities at fair value based on the fair value hierarchy that prioritizes inputs to valuation techniques used to measure fair value into three levels based on the source of inputs as follows:</w:t>
      </w:r>
    </w:p>
    <w:p>
      <w:pPr>
        <w:spacing w:after="0" w:line="184" w:lineRule="exact"/>
        <w:rPr>
          <w:sz w:val="20"/>
          <w:szCs w:val="20"/>
          <w:color w:val="auto"/>
        </w:rPr>
      </w:pPr>
    </w:p>
    <w:p>
      <w:pPr>
        <w:ind w:left="700" w:right="739"/>
        <w:spacing w:after="0" w:line="260" w:lineRule="auto"/>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173" w:lineRule="exact"/>
        <w:rPr>
          <w:sz w:val="20"/>
          <w:szCs w:val="20"/>
          <w:color w:val="auto"/>
        </w:rPr>
      </w:pPr>
    </w:p>
    <w:p>
      <w:pPr>
        <w:ind w:left="700" w:right="199"/>
        <w:spacing w:after="0" w:line="260"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73" w:lineRule="exact"/>
        <w:rPr>
          <w:sz w:val="20"/>
          <w:szCs w:val="20"/>
          <w:color w:val="auto"/>
        </w:rPr>
      </w:pPr>
    </w:p>
    <w:p>
      <w:pPr>
        <w:ind w:left="700" w:right="119"/>
        <w:spacing w:after="0" w:line="260" w:lineRule="auto"/>
        <w:rPr>
          <w:sz w:val="20"/>
          <w:szCs w:val="20"/>
          <w:color w:val="auto"/>
        </w:rPr>
      </w:pPr>
      <w:r>
        <w:rPr>
          <w:rFonts w:ascii="Arial" w:cs="Arial" w:eastAsia="Arial" w:hAnsi="Arial"/>
          <w:sz w:val="18"/>
          <w:szCs w:val="18"/>
          <w:color w:val="auto"/>
        </w:rPr>
        <w:t>Level 3—Valuations based on unobservable inputs and models that are supported by little or no market activity.</w:t>
      </w:r>
    </w:p>
    <w:p>
      <w:pPr>
        <w:spacing w:after="0" w:line="17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June 30, 2023 or December 31, 2022.</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assets measured at fair value consisted of the following:</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June 30, 2023</w:t>
            </w:r>
          </w:p>
        </w:tc>
        <w:tc>
          <w:tcPr>
            <w:tcW w:w="8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December 31, 2022</w:t>
            </w:r>
          </w:p>
        </w:tc>
        <w:tc>
          <w:tcPr>
            <w:tcW w:w="740" w:type="dxa"/>
            <w:vAlign w:val="bottom"/>
            <w:tcBorders>
              <w:bottom w:val="single" w:sz="8" w:color="auto"/>
            </w:tcBorders>
          </w:tcPr>
          <w:p>
            <w:pPr>
              <w:spacing w:after="0"/>
              <w:rPr>
                <w:sz w:val="15"/>
                <w:szCs w:val="15"/>
                <w:color w:val="auto"/>
              </w:rPr>
            </w:pPr>
          </w:p>
        </w:tc>
      </w:tr>
      <w:tr>
        <w:trPr>
          <w:trHeight w:val="210"/>
        </w:trPr>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800" w:type="dxa"/>
            <w:vAlign w:val="bottom"/>
          </w:tcPr>
          <w:p>
            <w:pPr>
              <w:jc w:val="right"/>
              <w:ind w:right="73"/>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8"/>
                <w:szCs w:val="18"/>
                <w:color w:val="auto"/>
              </w:rPr>
            </w:pPr>
          </w:p>
        </w:tc>
        <w:tc>
          <w:tcPr>
            <w:tcW w:w="1000" w:type="dxa"/>
            <w:vAlign w:val="bottom"/>
            <w:gridSpan w:val="3"/>
          </w:tcPr>
          <w:p>
            <w:pPr>
              <w:ind w:left="140"/>
              <w:spacing w:after="0"/>
              <w:rPr>
                <w:sz w:val="20"/>
                <w:szCs w:val="20"/>
                <w:color w:val="auto"/>
              </w:rPr>
            </w:pPr>
            <w:r>
              <w:rPr>
                <w:rFonts w:ascii="Arial" w:cs="Arial" w:eastAsia="Arial" w:hAnsi="Arial"/>
                <w:sz w:val="14"/>
                <w:szCs w:val="14"/>
                <w:b w:val="1"/>
                <w:bCs w:val="1"/>
                <w:color w:val="auto"/>
              </w:rPr>
              <w:t>Level 1</w:t>
            </w:r>
          </w:p>
        </w:tc>
        <w:tc>
          <w:tcPr>
            <w:tcW w:w="740" w:type="dxa"/>
            <w:vAlign w:val="bottom"/>
          </w:tcPr>
          <w:p>
            <w:pPr>
              <w:jc w:val="right"/>
              <w:ind w:right="53"/>
              <w:spacing w:after="0"/>
              <w:rPr>
                <w:sz w:val="20"/>
                <w:szCs w:val="20"/>
                <w:color w:val="auto"/>
              </w:rPr>
            </w:pPr>
            <w:r>
              <w:rPr>
                <w:rFonts w:ascii="Arial" w:cs="Arial" w:eastAsia="Arial" w:hAnsi="Arial"/>
                <w:sz w:val="14"/>
                <w:szCs w:val="14"/>
                <w:b w:val="1"/>
                <w:bCs w:val="1"/>
                <w:color w:val="auto"/>
              </w:rPr>
              <w:t>Level 2</w:t>
            </w:r>
          </w:p>
        </w:tc>
      </w:tr>
      <w:tr>
        <w:trPr>
          <w:trHeight w:val="21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235,465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234,267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1,198</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184,977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184,977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27,388</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27,388</w:t>
            </w: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52,023</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52,023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70,608</w:t>
            </w:r>
          </w:p>
        </w:tc>
        <w:tc>
          <w:tcPr>
            <w:tcW w:w="1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70,608</w:t>
            </w:r>
          </w:p>
        </w:tc>
      </w:tr>
      <w:tr>
        <w:trPr>
          <w:trHeight w:val="216"/>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securities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28,569</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28,569</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w:t>
            </w:r>
          </w:p>
        </w:tc>
      </w:tr>
      <w:tr>
        <w:trPr>
          <w:trHeight w:val="196"/>
        </w:trPr>
        <w:tc>
          <w:tcPr>
            <w:tcW w:w="300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347,684</w:t>
            </w: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234,267</w:t>
            </w:r>
          </w:p>
        </w:tc>
        <w:tc>
          <w:tcPr>
            <w:tcW w:w="1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113,417</w:t>
            </w:r>
          </w:p>
        </w:tc>
        <w:tc>
          <w:tcPr>
            <w:tcW w:w="4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286,876</w:t>
            </w: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184,977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101,899</w:t>
            </w:r>
          </w:p>
        </w:tc>
      </w:tr>
      <w:tr>
        <w:trPr>
          <w:trHeight w:val="20"/>
        </w:trPr>
        <w:tc>
          <w:tcPr>
            <w:tcW w:w="3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INVENTORY</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Inventory, net consisted of the following:</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As of</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10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360" w:type="dxa"/>
            <w:vAlign w:val="bottom"/>
            <w:tcBorders>
              <w:bottom w:val="single" w:sz="8" w:color="CCEEFF"/>
            </w:tcBorders>
          </w:tcPr>
          <w:p>
            <w:pPr>
              <w:spacing w:after="0"/>
              <w:rPr>
                <w:sz w:val="15"/>
                <w:szCs w:val="15"/>
                <w:color w:val="auto"/>
              </w:rPr>
            </w:pPr>
          </w:p>
        </w:tc>
        <w:tc>
          <w:tcPr>
            <w:tcW w:w="33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Raw materials</w:t>
            </w:r>
          </w:p>
        </w:tc>
        <w:tc>
          <w:tcPr>
            <w:tcW w:w="33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Finished goods</w:t>
            </w:r>
          </w:p>
        </w:tc>
        <w:tc>
          <w:tcPr>
            <w:tcW w:w="33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line="196" w:lineRule="exact"/>
              <w:rPr>
                <w:sz w:val="20"/>
                <w:szCs w:val="20"/>
                <w:color w:val="auto"/>
              </w:rPr>
            </w:pPr>
            <w:r>
              <w:rPr>
                <w:rFonts w:ascii="Arial" w:cs="Arial" w:eastAsia="Arial" w:hAnsi="Arial"/>
                <w:sz w:val="18"/>
                <w:szCs w:val="18"/>
                <w:color w:val="auto"/>
              </w:rPr>
              <w:t>Inventory, gross</w:t>
            </w: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5,142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03"/>
        </w:trPr>
        <w:tc>
          <w:tcPr>
            <w:tcW w:w="33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Reserve for excess inventory</w:t>
            </w:r>
          </w:p>
        </w:tc>
        <w:tc>
          <w:tcPr>
            <w:tcW w:w="3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line="196" w:lineRule="exact"/>
              <w:rPr>
                <w:sz w:val="20"/>
                <w:szCs w:val="20"/>
                <w:color w:val="auto"/>
              </w:rPr>
            </w:pPr>
            <w:r>
              <w:rPr>
                <w:rFonts w:ascii="Arial" w:cs="Arial" w:eastAsia="Arial" w:hAnsi="Arial"/>
                <w:sz w:val="18"/>
                <w:szCs w:val="18"/>
                <w:color w:val="auto"/>
              </w:rPr>
              <w:t>Total inventory, net</w:t>
            </w:r>
          </w:p>
        </w:tc>
        <w:tc>
          <w:tcPr>
            <w:tcW w:w="3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4,854</w:t>
            </w:r>
          </w:p>
        </w:tc>
        <w:tc>
          <w:tcPr>
            <w:tcW w:w="100" w:type="dxa"/>
            <w:vAlign w:val="bottom"/>
          </w:tcPr>
          <w:p>
            <w:pPr>
              <w:spacing w:after="0"/>
              <w:rPr>
                <w:sz w:val="17"/>
                <w:szCs w:val="17"/>
                <w:color w:val="auto"/>
              </w:rPr>
            </w:pPr>
          </w:p>
        </w:tc>
        <w:tc>
          <w:tcPr>
            <w:tcW w:w="320" w:type="dxa"/>
            <w:vAlign w:val="bottom"/>
            <w:gridSpan w:val="2"/>
          </w:tcPr>
          <w:p>
            <w:pPr>
              <w:jc w:val="right"/>
              <w:ind w:right="39"/>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300" w:type="dxa"/>
            <w:vAlign w:val="bottom"/>
            <w:vMerge w:val="restart"/>
          </w:tcPr>
          <w:p>
            <w:pPr>
              <w:jc w:val="right"/>
              <w:ind w:right="2010"/>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36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3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INTANGIBLE ASSETS</w:t>
      </w:r>
    </w:p>
    <w:p>
      <w:pPr>
        <w:spacing w:after="0" w:line="222"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In August 2019, the Company received FDA approval of WAKIX</w:t>
      </w:r>
      <w:r>
        <w:rPr>
          <w:rFonts w:ascii="Arial" w:cs="Arial" w:eastAsia="Arial" w:hAnsi="Arial"/>
          <w:sz w:val="12"/>
          <w:szCs w:val="12"/>
          <w:color w:val="auto"/>
        </w:rPr>
        <w:t>®</w:t>
      </w:r>
      <w:r>
        <w:rPr>
          <w:rFonts w:ascii="Arial" w:cs="Arial" w:eastAsia="Arial" w:hAnsi="Arial"/>
          <w:sz w:val="18"/>
          <w:szCs w:val="18"/>
          <w:color w:val="auto"/>
        </w:rPr>
        <w:t xml:space="preserve"> (pitolisant) for the treatment of excessive daytime sleepiness (“EDS”) in adult patients with narcolepsy. This event triggered a milestone payment of $75,000 under the provisions of the 2017 LCA (defined below) which the Company capitalized as an intangible asset. The Company determined a useful life of 10 years for such intangible asset, and, as of June 30, 2023, the remaining useful life was 6.3 years.</w:t>
      </w:r>
    </w:p>
    <w:p>
      <w:pPr>
        <w:spacing w:after="0" w:line="189"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In October 2020, the Company received FDA approval for the New Drug Application (“NDA”) for WAKIX for the treatment of cataplexy in adult patients with narcolepsy. This event triggered a milestone payment of $100,000 under the provisions of the 2017 LCA which the Company capitalized as an intangible asset and paid in January of 2021. The Company determined a useful life of 9 years for such intangible asset, and, as of June 30, 2023, the remaining useful life was 6.3 years.</w:t>
      </w:r>
    </w:p>
    <w:p>
      <w:pPr>
        <w:spacing w:after="0" w:line="189"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In February 2022, the Company attained $500,000 in life-to-date aggregate net sales of WAKIX in the United States. This event triggered a final $40,000 payment under the provisions of the 2017 LCA which the Company capitalized as an intangible asset and paid in March of 2022. The Company determined a useful life of 7.6 years for such intangible asset, and, as of June 30, 2023, the remaining useful life was 6.3 years.</w:t>
      </w:r>
    </w:p>
    <w:p>
      <w:pPr>
        <w:spacing w:after="0" w:line="188"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Amortization expense was $5,961 for each of the three months ended June 30, 2023 and 2022, respectively, and $11,922 and $11,043 for the six months ended June 30, 2023 and 2022, respectively, and is recorded in general and administrative expenses on the unaudited condensed consolidated statements of operations and comprehensive income.</w:t>
      </w:r>
    </w:p>
    <w:p>
      <w:pPr>
        <w:spacing w:after="0" w:line="188"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The Company expects the future annual amortization expense for the unamortized intangible assets to be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2023 (Excluding the six months ended June 30, 2023)</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11,923</w:t>
            </w:r>
          </w:p>
        </w:tc>
        <w:tc>
          <w:tcPr>
            <w:tcW w:w="0" w:type="dxa"/>
            <w:vAlign w:val="bottom"/>
          </w:tcPr>
          <w:p>
            <w:pPr>
              <w:spacing w:after="0"/>
              <w:rPr>
                <w:sz w:val="1"/>
                <w:szCs w:val="1"/>
                <w:color w:val="auto"/>
              </w:rPr>
            </w:pPr>
          </w:p>
        </w:tc>
      </w:tr>
      <w:tr>
        <w:trPr>
          <w:trHeight w:val="203"/>
        </w:trPr>
        <w:tc>
          <w:tcPr>
            <w:tcW w:w="6740" w:type="dxa"/>
            <w:vAlign w:val="bottom"/>
          </w:tcPr>
          <w:p>
            <w:pPr>
              <w:ind w:left="120"/>
              <w:spacing w:after="0" w:line="202" w:lineRule="exact"/>
              <w:rPr>
                <w:sz w:val="20"/>
                <w:szCs w:val="20"/>
                <w:color w:val="auto"/>
              </w:rPr>
            </w:pPr>
            <w:r>
              <w:rPr>
                <w:rFonts w:ascii="Arial" w:cs="Arial" w:eastAsia="Arial" w:hAnsi="Arial"/>
                <w:sz w:val="18"/>
                <w:szCs w:val="18"/>
                <w:color w:val="auto"/>
              </w:rPr>
              <w:t>2024</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03"/>
        </w:trPr>
        <w:tc>
          <w:tcPr>
            <w:tcW w:w="6740" w:type="dxa"/>
            <w:vAlign w:val="bottom"/>
          </w:tcPr>
          <w:p>
            <w:pPr>
              <w:ind w:left="120"/>
              <w:spacing w:after="0" w:line="202" w:lineRule="exact"/>
              <w:rPr>
                <w:sz w:val="20"/>
                <w:szCs w:val="20"/>
                <w:color w:val="auto"/>
              </w:rPr>
            </w:pPr>
            <w:r>
              <w:rPr>
                <w:rFonts w:ascii="Arial" w:cs="Arial" w:eastAsia="Arial" w:hAnsi="Arial"/>
                <w:sz w:val="18"/>
                <w:szCs w:val="18"/>
                <w:color w:val="auto"/>
              </w:rPr>
              <w:t>2026</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2027</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41,728</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149,031</w:t>
            </w:r>
          </w:p>
        </w:tc>
        <w:tc>
          <w:tcPr>
            <w:tcW w:w="0" w:type="dxa"/>
            <w:vAlign w:val="bottom"/>
          </w:tcPr>
          <w:p>
            <w:pPr>
              <w:spacing w:after="0"/>
              <w:rPr>
                <w:sz w:val="1"/>
                <w:szCs w:val="1"/>
                <w:color w:val="auto"/>
              </w:rPr>
            </w:pPr>
          </w:p>
        </w:tc>
      </w:tr>
      <w:tr>
        <w:trPr>
          <w:trHeight w:val="20"/>
        </w:trPr>
        <w:tc>
          <w:tcPr>
            <w:tcW w:w="7740" w:type="dxa"/>
            <w:vAlign w:val="bottom"/>
            <w:gridSpan w:val="3"/>
            <w:vMerge w:val="restart"/>
          </w:tcPr>
          <w:p>
            <w:pPr>
              <w:ind w:left="660"/>
              <w:spacing w:after="0"/>
              <w:rPr>
                <w:sz w:val="20"/>
                <w:szCs w:val="20"/>
                <w:color w:val="auto"/>
              </w:rPr>
            </w:pPr>
            <w:r>
              <w:rPr>
                <w:rFonts w:ascii="Arial" w:cs="Arial" w:eastAsia="Arial" w:hAnsi="Arial"/>
                <w:sz w:val="18"/>
                <w:szCs w:val="18"/>
                <w:color w:val="auto"/>
              </w:rPr>
              <w:t>The gross carrying amount and net book value of the intangible asset is as follows:</w:t>
            </w: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7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159"/>
              <w:spacing w:after="0" w:line="14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00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6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Gross Carrying Amount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38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0" w:type="dxa"/>
            <w:vAlign w:val="bottom"/>
          </w:tcPr>
          <w:p>
            <w:pPr>
              <w:spacing w:after="0"/>
              <w:rPr>
                <w:sz w:val="1"/>
                <w:szCs w:val="1"/>
                <w:color w:val="auto"/>
              </w:rPr>
            </w:pPr>
          </w:p>
        </w:tc>
      </w:tr>
      <w:tr>
        <w:trPr>
          <w:trHeight w:val="202"/>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Accumulated Amortization</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(65,969)</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(54,047)</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Book Value</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149,031</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160,953</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700" w:right="3219" w:hanging="647"/>
        <w:spacing w:after="0" w:line="491" w:lineRule="auto"/>
        <w:rPr>
          <w:sz w:val="20"/>
          <w:szCs w:val="20"/>
          <w:color w:val="auto"/>
        </w:rPr>
      </w:pPr>
      <w:r>
        <w:rPr>
          <w:rFonts w:ascii="Arial" w:cs="Arial" w:eastAsia="Arial" w:hAnsi="Arial"/>
          <w:sz w:val="18"/>
          <w:szCs w:val="18"/>
          <w:b w:val="1"/>
          <w:bCs w:val="1"/>
          <w:color w:val="auto"/>
        </w:rPr>
        <w:t>8. LICENSE AGREEMENTS AND ASSET PURCHASE AGREEMENTS License Agreements</w:t>
      </w:r>
    </w:p>
    <w:p>
      <w:pPr>
        <w:jc w:val="both"/>
        <w:ind w:left="60" w:right="59" w:firstLine="648"/>
        <w:spacing w:after="0" w:line="241" w:lineRule="auto"/>
        <w:rPr>
          <w:sz w:val="20"/>
          <w:szCs w:val="20"/>
          <w:color w:val="auto"/>
        </w:rPr>
      </w:pPr>
      <w:r>
        <w:rPr>
          <w:rFonts w:ascii="Arial" w:cs="Arial" w:eastAsia="Arial" w:hAnsi="Arial"/>
          <w:sz w:val="18"/>
          <w:szCs w:val="18"/>
          <w:color w:val="auto"/>
        </w:rPr>
        <w:t>In July 2017, Harmony entered into a License Agreement (the “2017 LCA”) with Bioprojet Société Civile de Recherche (“Bioprojet”) whereby Harmony acquired the exclusive right to commercialize the pharmaceutical compound pitolisant for the treatment, and/or prevention, of narcolepsy, obstructive sleep apnea, idiopathic hypersomnia, and Parkinson’s disease as well as any other indications unanimously agreed by the parties in the United States and its territories. A milestone payment of $50,000 was due upon acceptance by the FDA 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pitolisant’s NDA, which was achieved in February 2019 and was expensed within research and development for the year ended December 31, 2019. A milestone payment of $77,000, which included a $2,000 fee that is described below, was due upon FDA approval of WAKIX (pitolisant) for treatment of EDS in adult patients with narcolepsy, which was achieved in August 2019. The $2,000 payment and $75,000 milestone payment were paid in August and November 2019, respectively. In addition, a milestone payment of $102,000, which included a $2,000 fee was due upon the FDA approval of the NDA for WAKIX for the treatment of cataplexy in adult patients with narcolepsy. The $2,000 payment was paid in October 2020 and a $ 100,000 milestone payment was paid in January 2021. A final $40,000 milestone payment was paid to Bioprojet in March 2022 upon WAKIX attaining $500,000 in aggregate net sales in the United States. The 2017 LCA also requires a fixed trademark royalty and a tiered royalty based on net sales, which is payable to Bioprojet on a quarterly basis. The Company incurred $22,542 and $17,125 for the three months ended June 30, 2023 and 2022, respectively, and $41,602 and $ 30,797 for the six months ended June 30, 2023 and 2022, respectively, for sales-based, trademark and tiered royalties recognized as cost of product sold. As of June 30, 2023 and December 31, 2022, the Company had accrued $22,542 and $25,367, respectively, for sales-based, trademark and tiered royalties.</w:t>
      </w:r>
    </w:p>
    <w:p>
      <w:pPr>
        <w:spacing w:after="0" w:line="20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On July 31, 2022, Harmony entered into a License and Commercialization Agreement (the “2022 LCA”) with Bioprojet whereby Harmony obtained exclusive rights to manufacture, use and commercialize one or more new products based on pitolisant in the United States and Latin America, with the potential to add additional indications and formulations upon agreement of both parties. Harmony paid an initial, non-refundable $30,000 licensing fee in October 2022 and additional payments of up to $155,000 are potentially due under the 2022 LCA upon the achievement of certain future development and sales-based milestones. In addition, there are other payments due upon achievement of development milestones for new indications and formulations as agreed upon by both parties. The 2022 LCA also requires a fixed trademark royalty and a tiered royalty based on net sales upon commercialization, which will be payable to Bioprojet on a quarterly basis.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Agreement Related to Intellectual Property</w:t>
      </w:r>
    </w:p>
    <w:p>
      <w:pPr>
        <w:spacing w:after="0" w:line="22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In August 2021, the Company entered into an asset purchase agreement with ConSynance Therapeutics, Inc. (the “APA”) to acquire HBS-102 (formerly referred to as “CSTI-100”), a potential first-in-class molecule with a novel mechanism of action. Under the terms of the APA, the Company acquired full development and commercialization rights globally, with the exception of Greater China, for $3,500. The Company accounted for the transaction as an asset acquisition as substantially all of the fair value of the assets acquired was concentrated in a single identified asset. In March 2023, the Company achieved a preclinical milestone, which triggered a $750 payment under the provisions of the APA, which the Company recognized as an IPR&amp;D charge recorded in research and development within the unaudited condensed consolidated statement of operations and comprehensive income for the six months ended June 30, 2023. There are additional payments due under the APA upon the achievement of certain milestones including $1,000 for preclinical milestones, $19,000 for development milestones, $44,000 for regulatory milestones and $110,000 for sales milestones.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ACCRUED EXPENSES</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consist of the following:</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5"/>
                <w:szCs w:val="15"/>
                <w:color w:val="auto"/>
              </w:rPr>
            </w:pPr>
          </w:p>
        </w:tc>
      </w:tr>
      <w:tr>
        <w:trPr>
          <w:trHeight w:val="142"/>
        </w:trPr>
        <w:tc>
          <w:tcPr>
            <w:tcW w:w="6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155"/>
              <w:spacing w:after="0" w:line="14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2"/>
                <w:szCs w:val="12"/>
                <w:color w:val="auto"/>
              </w:rPr>
            </w:pPr>
          </w:p>
        </w:tc>
        <w:tc>
          <w:tcPr>
            <w:tcW w:w="102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75"/>
        </w:trPr>
        <w:tc>
          <w:tcPr>
            <w:tcW w:w="67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Royalties due to third parties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22,542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25,367</w:t>
            </w:r>
          </w:p>
        </w:tc>
      </w:tr>
      <w:tr>
        <w:trPr>
          <w:trHeight w:val="203"/>
        </w:trPr>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Rebates and other sales deductions</w:t>
            </w: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30,441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27,860</w:t>
            </w:r>
          </w:p>
        </w:tc>
      </w:tr>
      <w:tr>
        <w:trPr>
          <w:trHeight w:val="203"/>
        </w:trPr>
        <w:tc>
          <w:tcPr>
            <w:tcW w:w="6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3,286</w:t>
            </w:r>
          </w:p>
        </w:tc>
      </w:tr>
      <w:tr>
        <w:trPr>
          <w:trHeight w:val="203"/>
        </w:trPr>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Selling and marketing</w:t>
            </w: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2,499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1,135</w:t>
            </w:r>
          </w:p>
        </w:tc>
      </w:tr>
      <w:tr>
        <w:trPr>
          <w:trHeight w:val="203"/>
        </w:trPr>
        <w:tc>
          <w:tcPr>
            <w:tcW w:w="6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w:t>
            </w:r>
          </w:p>
        </w:tc>
      </w:tr>
      <w:tr>
        <w:trPr>
          <w:trHeight w:val="203"/>
        </w:trPr>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Professional fees, consulting, and other services</w:t>
            </w: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1,163</w:t>
            </w:r>
          </w:p>
        </w:tc>
      </w:tr>
      <w:tr>
        <w:trPr>
          <w:trHeight w:val="203"/>
        </w:trPr>
        <w:tc>
          <w:tcPr>
            <w:tcW w:w="6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expenses</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1,163</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773</w:t>
            </w:r>
          </w:p>
        </w:tc>
      </w:tr>
      <w:tr>
        <w:trPr>
          <w:trHeight w:val="196"/>
        </w:trPr>
        <w:tc>
          <w:tcPr>
            <w:tcW w:w="67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63,563</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59,942</w:t>
            </w: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Blackstone Credit Agreement</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August 2021, the Company entered into the Blackstone Credit Agreement that provides for (i) a senior secured term loan facility in an aggregate original principal amount of $200,000 (the “Initial Term Loan”) and (ii) a senior secured delayed draw term loan facility in an aggregate principal amount up to $100,000 (the “DDTL” and, together with the Initial Term Loan, the “Loans”). The DDTL was initially available to draw down through August 9, 2022. In August 2022, the Company entered into an agreement to extend the expiration date of the DDTL to August 9, 2023, for which the Company will pay a ticking fee at a rate of 1% per annum on the undrawn portion of the DDTL, which commenced on August 10, 2022.</w:t>
      </w:r>
    </w:p>
    <w:p>
      <w:pPr>
        <w:spacing w:after="0" w:line="191"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The repayment schedule for the Initial Term Loan consists of quarterly $ 500 principal payments, which commenced on December 31, 2021, and increasing to quarterly $ 5,000 principal payments beginning on March 31, 2024, with a $145,500 payment due on the maturity date of August 9, 2026 (“Maturity Date”). Interest is payable quarterly, which commenced on November 9, 2021, and continues through the Maturity Date. The Initial Term Loan bears interest at a per annum rate equal to LIBOR, subject to a 1.00% floor, plus 6.50%.</w:t>
      </w:r>
    </w:p>
    <w:p>
      <w:pPr>
        <w:spacing w:after="0" w:line="189" w:lineRule="exact"/>
        <w:rPr>
          <w:sz w:val="20"/>
          <w:szCs w:val="20"/>
          <w:color w:val="auto"/>
        </w:rPr>
      </w:pPr>
    </w:p>
    <w:p>
      <w:pPr>
        <w:jc w:val="both"/>
        <w:ind w:left="60" w:right="59" w:firstLine="706"/>
        <w:spacing w:after="0" w:line="241" w:lineRule="auto"/>
        <w:rPr>
          <w:sz w:val="20"/>
          <w:szCs w:val="20"/>
          <w:color w:val="auto"/>
        </w:rPr>
      </w:pPr>
      <w:r>
        <w:rPr>
          <w:rFonts w:ascii="Arial" w:cs="Arial" w:eastAsia="Arial" w:hAnsi="Arial"/>
          <w:sz w:val="18"/>
          <w:szCs w:val="18"/>
          <w:color w:val="auto"/>
        </w:rPr>
        <w:t>Net cash received from the Initial Term Loan was $191,849, net of debt issuance costs of $8,151. The debt issuance costs related to the Initial Term Loan are being amortized as additional interest expense over the five-year loan term of the Blackstone Credit Agreement. In addition, the Company paid $1,000 in debt issuance costs relating to the DDTL, which are recorded in other current assets within the unaudited condensed consolidated balance sheet. The fair value of the Initial Term Loan as of June 30, 2023 was $171,622.</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net consists of the following:</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75"/>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r>
      <w:tr>
        <w:trPr>
          <w:trHeight w:val="196"/>
        </w:trPr>
        <w:tc>
          <w:tcPr>
            <w:tcW w:w="5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Liability component - principal</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196,500</w:t>
            </w:r>
          </w:p>
        </w:tc>
        <w:tc>
          <w:tcPr>
            <w:tcW w:w="36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197,500</w:t>
            </w:r>
          </w:p>
        </w:tc>
      </w:tr>
      <w:tr>
        <w:trPr>
          <w:trHeight w:val="203"/>
        </w:trPr>
        <w:tc>
          <w:tcPr>
            <w:tcW w:w="5880" w:type="dxa"/>
            <w:vAlign w:val="bottom"/>
          </w:tcPr>
          <w:p>
            <w:pPr>
              <w:ind w:left="20"/>
              <w:spacing w:after="0" w:line="202" w:lineRule="exact"/>
              <w:rPr>
                <w:sz w:val="20"/>
                <w:szCs w:val="20"/>
                <w:color w:val="auto"/>
              </w:rPr>
            </w:pPr>
            <w:r>
              <w:rPr>
                <w:rFonts w:ascii="Arial" w:cs="Arial" w:eastAsia="Arial" w:hAnsi="Arial"/>
                <w:sz w:val="18"/>
                <w:szCs w:val="18"/>
                <w:color w:val="auto"/>
              </w:rPr>
              <w:t>Unamortized debt discount associated with debt financing costs</w:t>
            </w:r>
          </w:p>
        </w:tc>
        <w:tc>
          <w:tcPr>
            <w:tcW w:w="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(5,013)</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(5,853)</w:t>
            </w:r>
          </w:p>
        </w:tc>
      </w:tr>
      <w:tr>
        <w:trPr>
          <w:trHeight w:val="196"/>
        </w:trPr>
        <w:tc>
          <w:tcPr>
            <w:tcW w:w="5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Liability component - net carrying value</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191,487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191,647</w:t>
            </w:r>
          </w:p>
        </w:tc>
      </w:tr>
      <w:tr>
        <w:trPr>
          <w:trHeight w:val="203"/>
        </w:trPr>
        <w:tc>
          <w:tcPr>
            <w:tcW w:w="5880" w:type="dxa"/>
            <w:vAlign w:val="bottom"/>
          </w:tcPr>
          <w:p>
            <w:pPr>
              <w:ind w:left="20"/>
              <w:spacing w:after="0" w:line="202" w:lineRule="exact"/>
              <w:rPr>
                <w:sz w:val="20"/>
                <w:szCs w:val="20"/>
                <w:color w:val="auto"/>
              </w:rPr>
            </w:pPr>
            <w:r>
              <w:rPr>
                <w:rFonts w:ascii="Arial" w:cs="Arial" w:eastAsia="Arial" w:hAnsi="Arial"/>
                <w:sz w:val="18"/>
                <w:szCs w:val="18"/>
                <w:color w:val="auto"/>
              </w:rPr>
              <w:t>Less current portion</w:t>
            </w:r>
          </w:p>
        </w:tc>
        <w:tc>
          <w:tcPr>
            <w:tcW w:w="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(11,000)</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w:t>
            </w:r>
          </w:p>
        </w:tc>
      </w:tr>
      <w:tr>
        <w:trPr>
          <w:trHeight w:val="236"/>
        </w:trPr>
        <w:tc>
          <w:tcPr>
            <w:tcW w:w="5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Long-term debt, net</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180,487</w:t>
            </w:r>
          </w:p>
        </w:tc>
        <w:tc>
          <w:tcPr>
            <w:tcW w:w="36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189,647</w:t>
            </w:r>
          </w:p>
        </w:tc>
      </w:tr>
      <w:tr>
        <w:trPr>
          <w:trHeight w:val="831"/>
        </w:trPr>
        <w:tc>
          <w:tcPr>
            <w:tcW w:w="5880" w:type="dxa"/>
            <w:vAlign w:val="bottom"/>
            <w:tcBorders>
              <w:top w:val="single" w:sz="8" w:color="CCEEFF"/>
            </w:tcBorders>
          </w:tcPr>
          <w:p>
            <w:pPr>
              <w:ind w:left="4360"/>
              <w:spacing w:after="0"/>
              <w:rPr>
                <w:sz w:val="20"/>
                <w:szCs w:val="20"/>
                <w:color w:val="auto"/>
              </w:rPr>
            </w:pPr>
            <w:r>
              <w:rPr>
                <w:rFonts w:ascii="Arial" w:cs="Arial" w:eastAsia="Arial" w:hAnsi="Arial"/>
                <w:sz w:val="18"/>
                <w:szCs w:val="18"/>
                <w:color w:val="auto"/>
              </w:rPr>
              <w:t>14</w:t>
            </w:r>
          </w:p>
        </w:tc>
        <w:tc>
          <w:tcPr>
            <w:tcW w:w="8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547"/>
        </w:trPr>
        <w:tc>
          <w:tcPr>
            <w:tcW w:w="5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Future minimum payments relating to long-term debt, net as of June 30, 2023, for the periods indicated below consists of the following:</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2023 (Excluding the six months ended June 30, 2023)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7800" w:type="dxa"/>
            <w:vAlign w:val="bottom"/>
          </w:tcPr>
          <w:p>
            <w:pPr>
              <w:ind w:left="1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7800" w:type="dxa"/>
            <w:vAlign w:val="bottom"/>
          </w:tcPr>
          <w:p>
            <w:pPr>
              <w:ind w:left="1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155,500</w:t>
            </w:r>
          </w:p>
        </w:tc>
      </w:tr>
      <w:tr>
        <w:trPr>
          <w:trHeight w:val="216"/>
        </w:trPr>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8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196,500</w:t>
            </w:r>
          </w:p>
        </w:tc>
      </w:tr>
      <w:tr>
        <w:trPr>
          <w:trHeight w:val="20"/>
        </w:trPr>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Interest expense related to the Company’s long-term debt, net, is included in interest expense, net in the unaudited condensed consolidated statements of operations and comprehensive income and consists of the following: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right"/>
              <w:ind w:right="35"/>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0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r>
      <w:tr>
        <w:trPr>
          <w:trHeight w:val="155"/>
        </w:trPr>
        <w:tc>
          <w:tcPr>
            <w:tcW w:w="5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3"/>
                <w:szCs w:val="13"/>
                <w:color w:val="auto"/>
              </w:rPr>
            </w:pPr>
          </w:p>
        </w:tc>
        <w:tc>
          <w:tcPr>
            <w:tcW w:w="780" w:type="dxa"/>
            <w:vAlign w:val="bottom"/>
            <w:tcBorders>
              <w:bottom w:val="single" w:sz="8" w:color="auto"/>
            </w:tcBorders>
          </w:tcPr>
          <w:p>
            <w:pPr>
              <w:jc w:val="right"/>
              <w:ind w:right="144"/>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on principal balance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5,794</w:t>
            </w:r>
          </w:p>
        </w:tc>
        <w:tc>
          <w:tcPr>
            <w:tcW w:w="3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3,773</w:t>
            </w:r>
          </w:p>
        </w:tc>
        <w:tc>
          <w:tcPr>
            <w:tcW w:w="9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$ 11,109</w:t>
            </w:r>
          </w:p>
        </w:tc>
        <w:tc>
          <w:tcPr>
            <w:tcW w:w="3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7,597</w:t>
            </w: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Amortization of deferred financing costs</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424</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411</w:t>
            </w:r>
          </w:p>
        </w:tc>
        <w:tc>
          <w:tcPr>
            <w:tcW w:w="140" w:type="dxa"/>
            <w:vAlign w:val="bottom"/>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840</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823</w:t>
            </w:r>
          </w:p>
        </w:tc>
      </w:tr>
      <w:tr>
        <w:trPr>
          <w:trHeight w:val="216"/>
        </w:trPr>
        <w:tc>
          <w:tcPr>
            <w:tcW w:w="53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term loan interest expense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6,218</w:t>
            </w:r>
          </w:p>
        </w:tc>
        <w:tc>
          <w:tcPr>
            <w:tcW w:w="3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4,184</w:t>
            </w:r>
          </w:p>
        </w:tc>
        <w:tc>
          <w:tcPr>
            <w:tcW w:w="9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$ 11,949</w:t>
            </w:r>
          </w:p>
        </w:tc>
        <w:tc>
          <w:tcPr>
            <w:tcW w:w="3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8,420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LEASES</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June 2018, the Company entered into an operating lease for approximately fifteen thousand square feet of office space in Plymouth Meeting, PA, which expires in May 2024. The Company subsequently entered two separate operating leases for additional office space in Plymouth Meeting, PA, which include approximately thirteen thousand square feet and seven thousand square feet of additional office space, respectively, and expire in May 2024. The terms of the lease payments provide for rental payments on a monthly basis and on a graduated scale. The Company also leases a fleet of automobiles that are used by its sales representatives and are classified as operating leases.</w:t>
      </w:r>
    </w:p>
    <w:p>
      <w:pPr>
        <w:spacing w:after="0" w:line="191"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Operating lease right-of-use assets and operating lease liabilities are recognized based on the present value of the future lease payments using our incremental borrowing rate. Leases with an initial term of 12 months or less are not recorded on the balance sheet. Our leases have remaining lease terms of less than 1 year to 3 years, some of which may include the option to extend or terminate the leases.</w:t>
      </w:r>
    </w:p>
    <w:p>
      <w:pPr>
        <w:spacing w:after="0" w:line="188"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recorded operating lease costs of $444 and $392 for the three months ended June 30, 2023 and 2022, respectively, and $822 and $777 for the six months ended June 30, 2023 and 2022, respectively.</w:t>
      </w:r>
    </w:p>
    <w:p>
      <w:pPr>
        <w:spacing w:after="0" w:line="184"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As of June 30, 2023, the weighted-average remaining lease term for operating leases was 1.4 years and the weighted-average discount rate for operating leases was 4.7%.</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balance sheet information related to operating leases was as follows: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340" w:type="dxa"/>
            <w:vAlign w:val="bottom"/>
          </w:tcPr>
          <w:p>
            <w:pPr>
              <w:ind w:left="1540"/>
              <w:spacing w:after="0"/>
              <w:rPr>
                <w:sz w:val="20"/>
                <w:szCs w:val="20"/>
                <w:color w:val="auto"/>
              </w:rPr>
            </w:pPr>
            <w:r>
              <w:rPr>
                <w:rFonts w:ascii="Arial" w:cs="Arial" w:eastAsia="Arial" w:hAnsi="Arial"/>
                <w:sz w:val="14"/>
                <w:szCs w:val="14"/>
                <w:b w:val="1"/>
                <w:bCs w:val="1"/>
                <w:color w:val="auto"/>
              </w:rPr>
              <w:t>Leases</w:t>
            </w:r>
          </w:p>
        </w:tc>
        <w:tc>
          <w:tcPr>
            <w:tcW w:w="2960" w:type="dxa"/>
            <w:vAlign w:val="bottom"/>
          </w:tcPr>
          <w:p>
            <w:pPr>
              <w:ind w:left="1120"/>
              <w:spacing w:after="0"/>
              <w:rPr>
                <w:sz w:val="20"/>
                <w:szCs w:val="20"/>
                <w:color w:val="auto"/>
              </w:rPr>
            </w:pPr>
            <w:r>
              <w:rPr>
                <w:rFonts w:ascii="Arial" w:cs="Arial" w:eastAsia="Arial" w:hAnsi="Arial"/>
                <w:sz w:val="14"/>
                <w:szCs w:val="14"/>
                <w:b w:val="1"/>
                <w:bCs w:val="1"/>
                <w:color w:val="auto"/>
              </w:rPr>
              <w:t>Classification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 2023December 31, 2022</w:t>
            </w:r>
          </w:p>
        </w:tc>
      </w:tr>
      <w:tr>
        <w:trPr>
          <w:trHeight w:val="196"/>
        </w:trPr>
        <w:tc>
          <w:tcPr>
            <w:tcW w:w="3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960" w:type="dxa"/>
            <w:vAlign w:val="bottom"/>
          </w:tcPr>
          <w:p>
            <w:pPr>
              <w:ind w:left="220"/>
              <w:spacing w:after="0" w:line="202" w:lineRule="exact"/>
              <w:rPr>
                <w:sz w:val="20"/>
                <w:szCs w:val="20"/>
                <w:color w:val="auto"/>
              </w:rPr>
            </w:pPr>
            <w:r>
              <w:rPr>
                <w:rFonts w:ascii="Arial" w:cs="Arial" w:eastAsia="Arial" w:hAnsi="Arial"/>
                <w:sz w:val="18"/>
                <w:szCs w:val="18"/>
                <w:color w:val="auto"/>
              </w:rPr>
              <w:t>Other noncurrent assets</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2,057</w:t>
            </w:r>
          </w:p>
        </w:tc>
        <w:tc>
          <w:tcPr>
            <w:tcW w:w="58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2,312</w:t>
            </w: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960" w:type="dxa"/>
            <w:vAlign w:val="bottom"/>
          </w:tcPr>
          <w:p>
            <w:pPr>
              <w:ind w:left="220"/>
              <w:spacing w:after="0" w:line="202" w:lineRule="exact"/>
              <w:rPr>
                <w:sz w:val="20"/>
                <w:szCs w:val="20"/>
                <w:color w:val="auto"/>
              </w:rPr>
            </w:pPr>
            <w:r>
              <w:rPr>
                <w:rFonts w:ascii="Arial" w:cs="Arial" w:eastAsia="Arial" w:hAnsi="Arial"/>
                <w:sz w:val="18"/>
                <w:szCs w:val="18"/>
                <w:color w:val="auto"/>
              </w:rPr>
              <w:t>Other current liabilities</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1,786</w:t>
            </w:r>
          </w:p>
        </w:tc>
        <w:tc>
          <w:tcPr>
            <w:tcW w:w="58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1,614</w:t>
            </w:r>
          </w:p>
        </w:tc>
      </w:tr>
      <w:tr>
        <w:trPr>
          <w:trHeight w:val="203"/>
        </w:trPr>
        <w:tc>
          <w:tcPr>
            <w:tcW w:w="3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liability, long-term</w:t>
            </w:r>
          </w:p>
        </w:tc>
        <w:tc>
          <w:tcPr>
            <w:tcW w:w="29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452</w:t>
            </w:r>
          </w:p>
        </w:tc>
        <w:tc>
          <w:tcPr>
            <w:tcW w:w="6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975</w:t>
            </w:r>
          </w:p>
        </w:tc>
      </w:tr>
      <w:tr>
        <w:trPr>
          <w:trHeight w:val="196"/>
        </w:trPr>
        <w:tc>
          <w:tcPr>
            <w:tcW w:w="3340" w:type="dxa"/>
            <w:vAlign w:val="bottom"/>
          </w:tcPr>
          <w:p>
            <w:pPr>
              <w:ind w:left="260"/>
              <w:spacing w:after="0" w:line="196" w:lineRule="exact"/>
              <w:rPr>
                <w:sz w:val="20"/>
                <w:szCs w:val="20"/>
                <w:color w:val="auto"/>
              </w:rPr>
            </w:pPr>
            <w:r>
              <w:rPr>
                <w:rFonts w:ascii="Arial" w:cs="Arial" w:eastAsia="Arial" w:hAnsi="Arial"/>
                <w:sz w:val="18"/>
                <w:szCs w:val="18"/>
                <w:color w:val="auto"/>
              </w:rPr>
              <w:t>Total operating lease liabilities</w:t>
            </w:r>
          </w:p>
        </w:tc>
        <w:tc>
          <w:tcPr>
            <w:tcW w:w="29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2,238</w:t>
            </w:r>
          </w:p>
        </w:tc>
        <w:tc>
          <w:tcPr>
            <w:tcW w:w="6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2,589</w:t>
            </w:r>
          </w:p>
        </w:tc>
      </w:tr>
      <w:tr>
        <w:trPr>
          <w:trHeight w:val="20"/>
        </w:trPr>
        <w:tc>
          <w:tcPr>
            <w:tcW w:w="3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June 30, 2022</w:t>
            </w:r>
          </w:p>
        </w:tc>
      </w:tr>
      <w:tr>
        <w:trPr>
          <w:trHeight w:val="196"/>
        </w:trPr>
        <w:tc>
          <w:tcPr>
            <w:tcW w:w="59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922</w:t>
            </w:r>
          </w:p>
        </w:tc>
        <w:tc>
          <w:tcPr>
            <w:tcW w:w="3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872</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Right of use assets obtained in exchange for operating lease obligations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465</w:t>
            </w:r>
          </w:p>
        </w:tc>
      </w:tr>
    </w:tbl>
    <w:p>
      <w:pPr>
        <w:spacing w:after="0" w:line="339"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Future payments under noncancelable operating leases with initial terms of one year or more as of June 30, 2023 consisted of the following:</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3"/>
        </w:trPr>
        <w:tc>
          <w:tcPr>
            <w:tcW w:w="7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2023 (Excluding the six months ended June 30, 2023)</w:t>
            </w:r>
          </w:p>
        </w:tc>
        <w:tc>
          <w:tcPr>
            <w:tcW w:w="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992</w:t>
            </w:r>
          </w:p>
        </w:tc>
      </w:tr>
      <w:tr>
        <w:trPr>
          <w:trHeight w:val="203"/>
        </w:trPr>
        <w:tc>
          <w:tcPr>
            <w:tcW w:w="7740" w:type="dxa"/>
            <w:vAlign w:val="bottom"/>
          </w:tcPr>
          <w:p>
            <w:pPr>
              <w:ind w:left="120"/>
              <w:spacing w:after="0" w:line="202" w:lineRule="exact"/>
              <w:rPr>
                <w:sz w:val="20"/>
                <w:szCs w:val="20"/>
                <w:color w:val="auto"/>
              </w:rPr>
            </w:pPr>
            <w:r>
              <w:rPr>
                <w:rFonts w:ascii="Arial" w:cs="Arial" w:eastAsia="Arial" w:hAnsi="Arial"/>
                <w:sz w:val="18"/>
                <w:szCs w:val="18"/>
                <w:color w:val="auto"/>
              </w:rPr>
              <w:t>2024</w:t>
            </w: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1,135</w:t>
            </w:r>
          </w:p>
        </w:tc>
      </w:tr>
      <w:tr>
        <w:trPr>
          <w:trHeight w:val="203"/>
        </w:trPr>
        <w:tc>
          <w:tcPr>
            <w:tcW w:w="7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2025</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w:t>
            </w:r>
          </w:p>
        </w:tc>
      </w:tr>
      <w:tr>
        <w:trPr>
          <w:trHeight w:val="203"/>
        </w:trPr>
        <w:tc>
          <w:tcPr>
            <w:tcW w:w="7740" w:type="dxa"/>
            <w:vAlign w:val="bottom"/>
          </w:tcPr>
          <w:p>
            <w:pPr>
              <w:ind w:left="120"/>
              <w:spacing w:after="0" w:line="202" w:lineRule="exact"/>
              <w:rPr>
                <w:sz w:val="20"/>
                <w:szCs w:val="20"/>
                <w:color w:val="auto"/>
              </w:rPr>
            </w:pPr>
            <w:r>
              <w:rPr>
                <w:rFonts w:ascii="Arial" w:cs="Arial" w:eastAsia="Arial" w:hAnsi="Arial"/>
                <w:sz w:val="18"/>
                <w:szCs w:val="18"/>
                <w:color w:val="auto"/>
              </w:rPr>
              <w:t>2026</w:t>
            </w: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3"/>
        </w:trPr>
        <w:tc>
          <w:tcPr>
            <w:tcW w:w="7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2027</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740" w:type="dxa"/>
            <w:vAlign w:val="bottom"/>
          </w:tcPr>
          <w:p>
            <w:pPr>
              <w:ind w:left="120"/>
              <w:spacing w:after="0" w:line="202" w:lineRule="exact"/>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7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2,323</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36"/>
        </w:trPr>
        <w:tc>
          <w:tcPr>
            <w:tcW w:w="7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lease liabilities</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2,238</w:t>
            </w:r>
          </w:p>
        </w:tc>
      </w:tr>
    </w:tbl>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COMMITMENTS AND CONTINGENCIES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Litigation</w:t>
      </w:r>
    </w:p>
    <w:p>
      <w:pPr>
        <w:spacing w:after="0" w:line="22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From time to time, the Company is subject to claims and suits arising in the ordinary course of business. The Company accrues such liabilities when they are known, if they are deemed probable and can be reasonably estimated. As of June 30, 2023, there were no material claims or suits outstanding.</w:t>
      </w:r>
    </w:p>
    <w:p>
      <w:pPr>
        <w:spacing w:after="0" w:line="188" w:lineRule="exact"/>
        <w:rPr>
          <w:sz w:val="20"/>
          <w:szCs w:val="20"/>
          <w:color w:val="auto"/>
        </w:rPr>
      </w:pPr>
    </w:p>
    <w:p>
      <w:pPr>
        <w:ind w:left="700" w:right="6399" w:hanging="650"/>
        <w:spacing w:after="0" w:line="519" w:lineRule="auto"/>
        <w:tabs>
          <w:tab w:leader="none" w:pos="352"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spacing w:after="0" w:line="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holders of common stock are entitled to one vote for each share held on all matters submitted to a vote of the Company’s stockholders. The holders of common stock do not have any cumulative voting rights. Holders of common stock are entitled to receive ratably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STOCK INCENTIVE PLAN AND STOCK-BASED COMPENSATION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2020 Stock Incentive Plan</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connection with the Company’s IPO, the board of directors adopted, and its stockholders approved, the 2020 Incentive Award Plan (the “2020 Plan”), in order to facilitate the grant of cash and equity incentives to directors, employees (including the Company’s named executive officers) and consultants of the Company and its subsidiaries. The 2020 Plan provides for the grant of stock options, including incentive stock options (“ISOs”) and non-qualified stock options (“NSOs”), SARs, restricted stock, dividend equivalents, restricted stock units (“RSUs”) and other stock or cash-based awards.</w:t>
      </w:r>
    </w:p>
    <w:p>
      <w:pPr>
        <w:spacing w:after="0" w:line="19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Stock options and stock appreciation rights under the 2020 Plan have a 10-year contractual term and vest over the vesting period specified in the applicable award agreement, at achievement of a performance requirement, or upon change of control (as defined in the applicable plan). RSUs vest over the vesting period specified in the applicable award agreement, at achievement of a performance requirement, or upon change of control (as defined in the applicable plan). As of June 30, 2023, there were 6,825,685 shares of common stock available for issuance under the 2020 Plan. The number of shares that may be issued under the 2020 Plan will automatically increase on January 1 of each year in an amount equal to the lesser of (i) 4.0% of the shares of the Company’s common stock outstanding on December 31 of the preceding year or (ii) an amount determined by the Company’s board of directors.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2017 Stock Incentive Plan</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August 2017, the Company adopted an equity incentive plan (the “2017 Plan”). Under the 2017 Plan, directors, officers, employees, consultants, and advisors of the Company can be paid incentive compensation measured by the value of the Company’s shares of common stock through grants of stock options, stock appreciation rights (“SARs”), or restricted stock. Following the adoption of the 2020 Plan, no further grants have been, or will be, made under the 2017 Plan. However, the 2017 Plan will continue to govern the terms and conditions of outstanding awards granted under it.</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Options</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stock option activity for the six months ended June 30, 2023:</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3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5"/>
        </w:trPr>
        <w:tc>
          <w:tcPr>
            <w:tcW w:w="38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9"/>
              </w:rPr>
              <w:t>Price</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196"/>
        </w:trPr>
        <w:tc>
          <w:tcPr>
            <w:tcW w:w="3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2022</w:t>
            </w:r>
          </w:p>
        </w:tc>
        <w:tc>
          <w:tcPr>
            <w:tcW w:w="3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6,460,947</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30.90</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7.86</w:t>
            </w: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3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305,828</w:t>
            </w:r>
          </w:p>
        </w:tc>
        <w:tc>
          <w:tcPr>
            <w:tcW w:w="100" w:type="dxa"/>
            <w:vAlign w:val="bottom"/>
          </w:tcPr>
          <w:p>
            <w:pPr>
              <w:spacing w:after="0"/>
              <w:rPr>
                <w:sz w:val="17"/>
                <w:szCs w:val="17"/>
                <w:color w:val="auto"/>
              </w:rPr>
            </w:pPr>
          </w:p>
        </w:tc>
        <w:tc>
          <w:tcPr>
            <w:tcW w:w="2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37.27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32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(355,298)</w:t>
            </w:r>
          </w:p>
        </w:tc>
        <w:tc>
          <w:tcPr>
            <w:tcW w:w="2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11.74</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216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(194,620)</w:t>
            </w:r>
          </w:p>
        </w:tc>
        <w:tc>
          <w:tcPr>
            <w:tcW w:w="2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24.57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6"/>
        </w:trPr>
        <w:tc>
          <w:tcPr>
            <w:tcW w:w="38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outstanding—June 30, 2023</w:t>
            </w:r>
          </w:p>
        </w:tc>
        <w:tc>
          <w:tcPr>
            <w:tcW w:w="2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6,216,857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32.50</w:t>
            </w:r>
          </w:p>
        </w:tc>
        <w:tc>
          <w:tcPr>
            <w:tcW w:w="10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7.61</w:t>
            </w:r>
          </w:p>
        </w:tc>
      </w:tr>
      <w:tr>
        <w:trPr>
          <w:trHeight w:val="831"/>
        </w:trPr>
        <w:tc>
          <w:tcPr>
            <w:tcW w:w="3860" w:type="dxa"/>
            <w:vAlign w:val="bottom"/>
          </w:tcPr>
          <w:p>
            <w:pPr>
              <w:spacing w:after="0"/>
              <w:rPr>
                <w:sz w:val="24"/>
                <w:szCs w:val="24"/>
                <w:color w:val="auto"/>
              </w:rPr>
            </w:pPr>
          </w:p>
        </w:tc>
        <w:tc>
          <w:tcPr>
            <w:tcW w:w="2160" w:type="dxa"/>
            <w:vAlign w:val="bottom"/>
          </w:tcPr>
          <w:p>
            <w:pPr>
              <w:jc w:val="right"/>
              <w:ind w:right="1370"/>
              <w:spacing w:after="0"/>
              <w:rPr>
                <w:sz w:val="20"/>
                <w:szCs w:val="20"/>
                <w:color w:val="auto"/>
              </w:rPr>
            </w:pPr>
            <w:r>
              <w:rPr>
                <w:rFonts w:ascii="Arial" w:cs="Arial" w:eastAsia="Arial" w:hAnsi="Arial"/>
                <w:sz w:val="18"/>
                <w:szCs w:val="18"/>
                <w:color w:val="auto"/>
              </w:rPr>
              <w:t>17</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47"/>
        </w:trPr>
        <w:tc>
          <w:tcPr>
            <w:tcW w:w="38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Appreciation Rights</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SARs activity for the six months ended June 30, 2023:</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040" w:type="dxa"/>
            <w:vAlign w:val="bottom"/>
          </w:tcPr>
          <w:p>
            <w:pPr>
              <w:spacing w:after="0"/>
              <w:rPr>
                <w:sz w:val="14"/>
                <w:szCs w:val="14"/>
                <w:color w:val="auto"/>
              </w:rPr>
            </w:pPr>
          </w:p>
        </w:tc>
        <w:tc>
          <w:tcPr>
            <w:tcW w:w="940" w:type="dxa"/>
            <w:vAlign w:val="bottom"/>
          </w:tcPr>
          <w:p>
            <w:pPr>
              <w:jc w:val="right"/>
              <w:ind w:right="15"/>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5"/>
        </w:trPr>
        <w:tc>
          <w:tcPr>
            <w:tcW w:w="6040" w:type="dxa"/>
            <w:vAlign w:val="bottom"/>
          </w:tcPr>
          <w:p>
            <w:pPr>
              <w:spacing w:after="0"/>
              <w:rPr>
                <w:sz w:val="15"/>
                <w:szCs w:val="15"/>
                <w:color w:val="auto"/>
              </w:rPr>
            </w:pPr>
          </w:p>
        </w:tc>
        <w:tc>
          <w:tcPr>
            <w:tcW w:w="9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196"/>
        </w:trPr>
        <w:tc>
          <w:tcPr>
            <w:tcW w:w="6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2022</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9.38</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6.32</w:t>
            </w:r>
          </w:p>
        </w:tc>
      </w:tr>
      <w:tr>
        <w:trPr>
          <w:trHeight w:val="203"/>
        </w:trPr>
        <w:tc>
          <w:tcPr>
            <w:tcW w:w="604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6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6040" w:type="dxa"/>
            <w:vAlign w:val="bottom"/>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6"/>
        </w:trPr>
        <w:tc>
          <w:tcPr>
            <w:tcW w:w="60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outstanding—June 30, 2023</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3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w:t>
            </w:r>
          </w:p>
        </w:tc>
        <w:tc>
          <w:tcPr>
            <w:tcW w:w="10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5.83</w:t>
            </w:r>
          </w:p>
        </w:tc>
      </w:tr>
    </w:tbl>
    <w:p>
      <w:pPr>
        <w:spacing w:after="0" w:line="3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Restricted Stock Units</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RSU activity for the six months ended June 30, 2023:</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04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Grant Date</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5"/>
        </w:trPr>
        <w:tc>
          <w:tcPr>
            <w:tcW w:w="604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196"/>
        </w:trPr>
        <w:tc>
          <w:tcPr>
            <w:tcW w:w="60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2022</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60,000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29.03</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8.24</w:t>
            </w:r>
          </w:p>
        </w:tc>
      </w:tr>
      <w:tr>
        <w:trPr>
          <w:trHeight w:val="203"/>
        </w:trPr>
        <w:tc>
          <w:tcPr>
            <w:tcW w:w="604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6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vested</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(30,000)</w:t>
            </w:r>
          </w:p>
        </w:tc>
        <w:tc>
          <w:tcPr>
            <w:tcW w:w="1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29.03</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6040" w:type="dxa"/>
            <w:vAlign w:val="bottom"/>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60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outstanding—June 30, 2023</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29.03</w:t>
            </w:r>
          </w:p>
        </w:tc>
        <w:tc>
          <w:tcPr>
            <w:tcW w:w="102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7.75</w:t>
            </w:r>
          </w:p>
        </w:tc>
      </w:tr>
      <w:tr>
        <w:trPr>
          <w:trHeight w:val="20"/>
        </w:trPr>
        <w:tc>
          <w:tcPr>
            <w:tcW w:w="6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As of June 30, 2023 and December 31, 2022, stock awards issued under the 2017 and 2020 Plans of 2,459,938 and 1,818,045 shares of common stock, respectively, were vested.</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Stock Options and SARs</w:t>
      </w:r>
    </w:p>
    <w:p>
      <w:pPr>
        <w:spacing w:after="0" w:line="22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The Company values options and SARs using the Black-Scholes option-pricing model. The Company lacks sufficient historical company-specific volatility information. Therefore, the Company estimates expected stock volatility based on historical volatility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For SARs, the expected term is based upon the weighting of certain future events. The risk-free interest rate is determined by reference to the U.S. Treasury yield curve in effect at the time of grant of the award for the time periods approximately equal to the expected term of the award. An expected dividend yield of 0% is based on the fact that the Company has never paid cash dividends and does not expect to do so in the foreseeable future.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assumptions used to value the awards are summarized in the following table.</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1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1130"/>
              <w:spacing w:after="0"/>
              <w:rPr>
                <w:sz w:val="20"/>
                <w:szCs w:val="20"/>
                <w:color w:val="auto"/>
              </w:rPr>
            </w:pPr>
            <w:r>
              <w:rPr>
                <w:rFonts w:ascii="Arial" w:cs="Arial" w:eastAsia="Arial" w:hAnsi="Arial"/>
                <w:sz w:val="14"/>
                <w:szCs w:val="14"/>
                <w:b w:val="1"/>
                <w:bCs w:val="1"/>
                <w:color w:val="auto"/>
              </w:rPr>
              <w:t>As of</w:t>
            </w:r>
          </w:p>
        </w:tc>
      </w:tr>
      <w:tr>
        <w:trPr>
          <w:trHeight w:val="142"/>
        </w:trPr>
        <w:tc>
          <w:tcPr>
            <w:tcW w:w="6120" w:type="dxa"/>
            <w:vAlign w:val="bottom"/>
          </w:tcPr>
          <w:p>
            <w:pPr>
              <w:spacing w:after="0"/>
              <w:rPr>
                <w:sz w:val="12"/>
                <w:szCs w:val="12"/>
                <w:color w:val="auto"/>
              </w:rPr>
            </w:pPr>
          </w:p>
        </w:tc>
        <w:tc>
          <w:tcPr>
            <w:tcW w:w="1440" w:type="dxa"/>
            <w:vAlign w:val="bottom"/>
            <w:gridSpan w:val="2"/>
          </w:tcPr>
          <w:p>
            <w:pPr>
              <w:jc w:val="right"/>
              <w:ind w:right="499"/>
              <w:spacing w:after="0" w:line="143" w:lineRule="exact"/>
              <w:rPr>
                <w:sz w:val="20"/>
                <w:szCs w:val="20"/>
                <w:color w:val="auto"/>
              </w:rPr>
            </w:pPr>
            <w:r>
              <w:rPr>
                <w:rFonts w:ascii="Arial" w:cs="Arial" w:eastAsia="Arial" w:hAnsi="Arial"/>
                <w:sz w:val="14"/>
                <w:szCs w:val="14"/>
                <w:b w:val="1"/>
                <w:bCs w:val="1"/>
                <w:color w:val="auto"/>
              </w:rPr>
              <w:t>June 30,</w:t>
            </w:r>
          </w:p>
        </w:tc>
        <w:tc>
          <w:tcPr>
            <w:tcW w:w="1360" w:type="dxa"/>
            <w:vAlign w:val="bottom"/>
            <w:gridSpan w:val="2"/>
          </w:tcPr>
          <w:p>
            <w:pPr>
              <w:jc w:val="right"/>
              <w:ind w:right="230"/>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75"/>
        </w:trPr>
        <w:tc>
          <w:tcPr>
            <w:tcW w:w="6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r>
      <w:tr>
        <w:trPr>
          <w:trHeight w:val="196"/>
        </w:trPr>
        <w:tc>
          <w:tcPr>
            <w:tcW w:w="6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Dividend yield</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87"/>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44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76.32 - 80.21 %</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72.57 - 77.08 %</w:t>
            </w:r>
          </w:p>
        </w:tc>
      </w:tr>
      <w:tr>
        <w:trPr>
          <w:trHeight w:val="203"/>
        </w:trPr>
        <w:tc>
          <w:tcPr>
            <w:tcW w:w="6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44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3.42 - 3.85 %</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1.99 - 4.05 %</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Lack of marketability discount</w:t>
            </w:r>
          </w:p>
        </w:tc>
        <w:tc>
          <w:tcPr>
            <w:tcW w:w="144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0.00 %</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0.00 %</w:t>
            </w:r>
          </w:p>
        </w:tc>
      </w:tr>
      <w:tr>
        <w:trPr>
          <w:trHeight w:val="203"/>
        </w:trPr>
        <w:tc>
          <w:tcPr>
            <w:tcW w:w="6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term (years)</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2.6 - 6.3</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3.1 - 6.3</w:t>
            </w:r>
          </w:p>
        </w:tc>
        <w:tc>
          <w:tcPr>
            <w:tcW w:w="180" w:type="dxa"/>
            <w:vAlign w:val="bottom"/>
            <w:shd w:val="clear" w:color="auto" w:fill="CCEEFF"/>
          </w:tcPr>
          <w:p>
            <w:pPr>
              <w:spacing w:after="0"/>
              <w:rPr>
                <w:sz w:val="17"/>
                <w:szCs w:val="17"/>
                <w:color w:val="auto"/>
              </w:rPr>
            </w:pPr>
          </w:p>
        </w:tc>
      </w:tr>
    </w:tbl>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RSUs</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fair value of RSUs is equal to the value of the Company’s common stock on the grant date.</w:t>
      </w:r>
    </w:p>
    <w:p>
      <w:pPr>
        <w:spacing w:after="0" w:line="212"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The weighted average per share fair value of awards issued under the 2017 Plan and 2020 Plan was $20.06 and $18.88 on June 30, 2023 and December 31, 2022, respectively.</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 Expense</w:t>
      </w:r>
    </w:p>
    <w:p>
      <w:pPr>
        <w:spacing w:after="0" w:line="22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Stock-based compensation expense, net for the three and six months ended June 30, 2023 and 2022, was recorded in the unaudited condensed consolidated statements of operations and comprehensive income in the following line items: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500" w:type="dxa"/>
            <w:vAlign w:val="bottom"/>
          </w:tcPr>
          <w:p>
            <w:pPr>
              <w:spacing w:after="0"/>
              <w:rPr>
                <w:sz w:val="15"/>
                <w:szCs w:val="15"/>
                <w:color w:val="auto"/>
              </w:rPr>
            </w:pPr>
          </w:p>
        </w:tc>
        <w:tc>
          <w:tcPr>
            <w:tcW w:w="2240" w:type="dxa"/>
            <w:vAlign w:val="bottom"/>
            <w:tcBorders>
              <w:bottom w:val="single" w:sz="8" w:color="auto"/>
            </w:tcBorders>
            <w:gridSpan w:val="5"/>
          </w:tcPr>
          <w:p>
            <w:pPr>
              <w:jc w:val="right"/>
              <w:ind w:right="34"/>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5"/>
                <w:szCs w:val="15"/>
                <w:color w:val="auto"/>
              </w:rPr>
            </w:pPr>
          </w:p>
        </w:tc>
        <w:tc>
          <w:tcPr>
            <w:tcW w:w="2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22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956</w:t>
            </w:r>
          </w:p>
        </w:tc>
        <w:tc>
          <w:tcPr>
            <w:tcW w:w="4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826</w:t>
            </w:r>
          </w:p>
        </w:tc>
        <w:tc>
          <w:tcPr>
            <w:tcW w:w="360" w:type="dxa"/>
            <w:vAlign w:val="bottom"/>
            <w:gridSpan w:val="2"/>
            <w:shd w:val="clear" w:color="auto" w:fill="CCEEFF"/>
          </w:tcPr>
          <w:p>
            <w:pPr>
              <w:jc w:val="right"/>
              <w:ind w:right="28"/>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1,932</w:t>
            </w:r>
          </w:p>
        </w:tc>
        <w:tc>
          <w:tcPr>
            <w:tcW w:w="3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1,344</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Sales and marketing expense</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1,146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884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2,219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1,860</w:t>
            </w:r>
          </w:p>
        </w:tc>
      </w:tr>
      <w:tr>
        <w:trPr>
          <w:trHeight w:val="203"/>
        </w:trPr>
        <w:tc>
          <w:tcPr>
            <w:tcW w:w="45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5,691</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5,661</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10,203</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9,063</w:t>
            </w:r>
          </w:p>
        </w:tc>
      </w:tr>
      <w:tr>
        <w:trPr>
          <w:trHeight w:val="196"/>
        </w:trPr>
        <w:tc>
          <w:tcPr>
            <w:tcW w:w="4500" w:type="dxa"/>
            <w:vAlign w:val="bottom"/>
          </w:tcPr>
          <w:p>
            <w:pPr>
              <w:spacing w:after="0"/>
              <w:rPr>
                <w:sz w:val="17"/>
                <w:szCs w:val="17"/>
                <w:color w:val="auto"/>
              </w:rPr>
            </w:pPr>
          </w:p>
        </w:tc>
        <w:tc>
          <w:tcPr>
            <w:tcW w:w="220" w:type="dxa"/>
            <w:vAlign w:val="bottom"/>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7,793</w:t>
            </w:r>
          </w:p>
        </w:tc>
        <w:tc>
          <w:tcPr>
            <w:tcW w:w="4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7,371</w:t>
            </w:r>
          </w:p>
        </w:tc>
        <w:tc>
          <w:tcPr>
            <w:tcW w:w="3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14,354</w:t>
            </w:r>
          </w:p>
        </w:tc>
        <w:tc>
          <w:tcPr>
            <w:tcW w:w="3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12,267</w:t>
            </w:r>
          </w:p>
        </w:tc>
      </w:tr>
      <w:tr>
        <w:trPr>
          <w:trHeight w:val="20"/>
        </w:trPr>
        <w:tc>
          <w:tcPr>
            <w:tcW w:w="4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Stock-based compensation expense, net related to options and RSUs issued under the 2017 Plan and 2020 Plan is included in stockholder’s equity, and a liability for SARs is included in other non-current liabilities, in the Company’s unaudited condensed consolidated balance sheet. As of June 30, 2023, the total unrecognized stock-based compensation expense related to options and RSUs was $74,153. Such amount will be recognized in the Company’s consolidated statement of operations over a weighted average period of 2.6 years.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 Stock Purchase Plan</w:t>
      </w:r>
    </w:p>
    <w:p>
      <w:pPr>
        <w:spacing w:after="0" w:line="22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The 2020 Employee Stock Purchase Plan (“ESPP”) was adopted by the Company’s Board of Directors on April 30, 2021. The ESPP permits eligible employees to purchase shares of the Company’s common stock at a 15% discount from the lesser of the fair market value per share of the Company’s common stock on the first day of the offering period or the fair market value of the Company’s common stock on the purchase date. Funds are collected from employees through after-tax payroll deductions. The total number of shares reserved for issuance under the ESPP was initially 629,805, which will automatically increase on January 1 of each year in an amount equal to the lesser of (i) 1.0% of the shares of the Company’s common stock outstanding on December 31 of the preceding year or (ii) an amount determined by the Company’s board of directors. It is intended that the ESPP meet the requirements for an “employee stock purchase plan” under Section 423 of the Internal Revenue Code. There were 14,043 and 14,889 shares issued under the ESPP for each of the three and six months ended June 30, 2023 and 2022, respectively. The discount on the ESPP was $103 and $91 for the three months ended June 30, 2023 and 2022, respectively, and $208 and $185 for the six months ended June 30, 2023 and 2022, respectively, and is recorded within stock-based compensation expense.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EARNINGS PER SHARE</w:t>
      </w:r>
    </w:p>
    <w:p>
      <w:pPr>
        <w:spacing w:after="0" w:line="222"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Basic earnings per share is calculated by dividing net income by the weighted average number of shares of common stock outstanding. Diluted net income per common share is computed under the treasury stock method by using the weighted average number of shares of common stock outstanding, plus, for periods with net income, the potential dilutive effects of stock options, stock appreciation rights and restricted stock units.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9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39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3920" w:type="dxa"/>
            <w:vAlign w:val="bottom"/>
          </w:tcPr>
          <w:p>
            <w:pPr>
              <w:ind w:left="120"/>
              <w:spacing w:after="0" w:line="202" w:lineRule="exact"/>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34,300</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23,531</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63,785</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45,016</w:t>
            </w:r>
          </w:p>
        </w:tc>
      </w:tr>
      <w:tr>
        <w:trPr>
          <w:trHeight w:val="203"/>
        </w:trPr>
        <w:tc>
          <w:tcPr>
            <w:tcW w:w="39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Denominator</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3920" w:type="dxa"/>
            <w:vAlign w:val="bottom"/>
          </w:tcPr>
          <w:p>
            <w:pPr>
              <w:ind w:left="120"/>
              <w:spacing w:after="0" w:line="202" w:lineRule="exact"/>
              <w:rPr>
                <w:sz w:val="20"/>
                <w:szCs w:val="20"/>
                <w:color w:val="auto"/>
              </w:rPr>
            </w:pPr>
            <w:r>
              <w:rPr>
                <w:rFonts w:ascii="Arial" w:cs="Arial" w:eastAsia="Arial" w:hAnsi="Arial"/>
                <w:sz w:val="18"/>
                <w:szCs w:val="18"/>
                <w:color w:val="auto"/>
              </w:rPr>
              <w:t>Net income per common share - basic</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0.57</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0.40</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0.76</w:t>
            </w:r>
          </w:p>
        </w:tc>
      </w:tr>
      <w:tr>
        <w:trPr>
          <w:trHeight w:val="203"/>
        </w:trPr>
        <w:tc>
          <w:tcPr>
            <w:tcW w:w="3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income per common share - diluted</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0.56</w:t>
            </w:r>
          </w:p>
        </w:tc>
        <w:tc>
          <w:tcPr>
            <w:tcW w:w="3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0.39</w:t>
            </w:r>
          </w:p>
        </w:tc>
        <w:tc>
          <w:tcPr>
            <w:tcW w:w="3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c>
          <w:tcPr>
            <w:tcW w:w="3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0.74</w:t>
            </w:r>
          </w:p>
        </w:tc>
      </w:tr>
      <w:tr>
        <w:trPr>
          <w:trHeight w:val="190"/>
        </w:trPr>
        <w:tc>
          <w:tcPr>
            <w:tcW w:w="3920" w:type="dxa"/>
            <w:vAlign w:val="bottom"/>
          </w:tcPr>
          <w:p>
            <w:pPr>
              <w:ind w:left="120"/>
              <w:spacing w:after="0" w:line="189" w:lineRule="exact"/>
              <w:rPr>
                <w:sz w:val="20"/>
                <w:szCs w:val="20"/>
                <w:color w:val="auto"/>
              </w:rPr>
            </w:pPr>
            <w:r>
              <w:rPr>
                <w:rFonts w:ascii="Arial" w:cs="Arial" w:eastAsia="Arial" w:hAnsi="Arial"/>
                <w:sz w:val="18"/>
                <w:szCs w:val="18"/>
                <w:color w:val="auto"/>
              </w:rPr>
              <w:t>Weighted average number of shares of</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5"/>
        </w:trPr>
        <w:tc>
          <w:tcPr>
            <w:tcW w:w="3920" w:type="dxa"/>
            <w:vAlign w:val="bottom"/>
          </w:tcPr>
          <w:p>
            <w:pPr>
              <w:ind w:left="120"/>
              <w:spacing w:after="0"/>
              <w:rPr>
                <w:sz w:val="20"/>
                <w:szCs w:val="20"/>
                <w:color w:val="auto"/>
              </w:rPr>
            </w:pPr>
            <w:r>
              <w:rPr>
                <w:rFonts w:ascii="Arial" w:cs="Arial" w:eastAsia="Arial" w:hAnsi="Arial"/>
                <w:sz w:val="18"/>
                <w:szCs w:val="18"/>
                <w:color w:val="auto"/>
              </w:rPr>
              <w:t>common stock - basic</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59,974,123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59,063,358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59,853,808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58,986,370</w:t>
            </w:r>
          </w:p>
        </w:tc>
      </w:tr>
      <w:tr>
        <w:trPr>
          <w:trHeight w:val="190"/>
        </w:trPr>
        <w:tc>
          <w:tcPr>
            <w:tcW w:w="39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Weighted average number of shares of</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5"/>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 diluted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60,743,953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60,922,672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60,997,410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60,759,026</w:t>
            </w:r>
          </w:p>
        </w:tc>
      </w:tr>
    </w:tbl>
    <w:p>
      <w:pPr>
        <w:spacing w:after="0" w:line="190"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Securities outstanding that were included in the computation above, utilizing the treasury stock method are as follows: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22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5"/>
                <w:szCs w:val="15"/>
                <w:color w:val="auto"/>
              </w:rPr>
            </w:pPr>
          </w:p>
        </w:tc>
        <w:tc>
          <w:tcPr>
            <w:tcW w:w="20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480" w:type="dxa"/>
            <w:vAlign w:val="bottom"/>
          </w:tcPr>
          <w:p>
            <w:pPr>
              <w:spacing w:after="0"/>
              <w:rPr>
                <w:sz w:val="13"/>
                <w:szCs w:val="13"/>
                <w:color w:val="auto"/>
              </w:rPr>
            </w:pPr>
          </w:p>
        </w:tc>
        <w:tc>
          <w:tcPr>
            <w:tcW w:w="960" w:type="dxa"/>
            <w:vAlign w:val="bottom"/>
          </w:tcPr>
          <w:p>
            <w:pPr>
              <w:jc w:val="right"/>
              <w:ind w:right="242"/>
              <w:spacing w:after="0" w:line="155" w:lineRule="exact"/>
              <w:rPr>
                <w:sz w:val="20"/>
                <w:szCs w:val="20"/>
                <w:color w:val="auto"/>
              </w:rPr>
            </w:pPr>
            <w:r>
              <w:rPr>
                <w:rFonts w:ascii="Arial" w:cs="Arial" w:eastAsia="Arial" w:hAnsi="Arial"/>
                <w:sz w:val="14"/>
                <w:szCs w:val="14"/>
                <w:b w:val="1"/>
                <w:bCs w:val="1"/>
                <w:color w:val="auto"/>
              </w:rPr>
              <w:t>2023</w:t>
            </w:r>
          </w:p>
        </w:tc>
        <w:tc>
          <w:tcPr>
            <w:tcW w:w="128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940" w:type="dxa"/>
            <w:vAlign w:val="bottom"/>
          </w:tcPr>
          <w:p>
            <w:pPr>
              <w:jc w:val="right"/>
              <w:ind w:right="248"/>
              <w:spacing w:after="0" w:line="155" w:lineRule="exact"/>
              <w:rPr>
                <w:sz w:val="20"/>
                <w:szCs w:val="20"/>
                <w:color w:val="auto"/>
              </w:rPr>
            </w:pPr>
            <w:r>
              <w:rPr>
                <w:rFonts w:ascii="Arial" w:cs="Arial" w:eastAsia="Arial" w:hAnsi="Arial"/>
                <w:sz w:val="14"/>
                <w:szCs w:val="14"/>
                <w:b w:val="1"/>
                <w:bCs w:val="1"/>
                <w:color w:val="auto"/>
              </w:rPr>
              <w:t>2023</w:t>
            </w:r>
          </w:p>
        </w:tc>
        <w:tc>
          <w:tcPr>
            <w:tcW w:w="11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2022</w:t>
            </w:r>
          </w:p>
        </w:tc>
      </w:tr>
      <w:tr>
        <w:trPr>
          <w:trHeight w:val="183"/>
        </w:trPr>
        <w:tc>
          <w:tcPr>
            <w:tcW w:w="44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Stock options, SARs, and RSUs to purchase common</w:t>
            </w: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215"/>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769,830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1,859,314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1,143,602</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1,772,656</w:t>
            </w:r>
          </w:p>
        </w:tc>
      </w:tr>
    </w:tbl>
    <w:p>
      <w:pPr>
        <w:spacing w:after="0" w:line="190"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Potential shares of common stock issuable that were excluded from the computation of diluted weighted-average shares outstanding excluded from the numerator, are as follows: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22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5"/>
                <w:szCs w:val="15"/>
                <w:color w:val="auto"/>
              </w:rPr>
            </w:pPr>
          </w:p>
        </w:tc>
        <w:tc>
          <w:tcPr>
            <w:tcW w:w="20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540" w:type="dxa"/>
            <w:vAlign w:val="bottom"/>
          </w:tcPr>
          <w:p>
            <w:pPr>
              <w:spacing w:after="0"/>
              <w:rPr>
                <w:sz w:val="13"/>
                <w:szCs w:val="13"/>
                <w:color w:val="auto"/>
              </w:rPr>
            </w:pPr>
          </w:p>
        </w:tc>
        <w:tc>
          <w:tcPr>
            <w:tcW w:w="1000" w:type="dxa"/>
            <w:vAlign w:val="bottom"/>
          </w:tcPr>
          <w:p>
            <w:pPr>
              <w:jc w:val="right"/>
              <w:ind w:right="262"/>
              <w:spacing w:after="0" w:line="155" w:lineRule="exact"/>
              <w:rPr>
                <w:sz w:val="20"/>
                <w:szCs w:val="20"/>
                <w:color w:val="auto"/>
              </w:rPr>
            </w:pPr>
            <w:r>
              <w:rPr>
                <w:rFonts w:ascii="Arial" w:cs="Arial" w:eastAsia="Arial" w:hAnsi="Arial"/>
                <w:sz w:val="14"/>
                <w:szCs w:val="14"/>
                <w:b w:val="1"/>
                <w:bCs w:val="1"/>
                <w:color w:val="auto"/>
              </w:rPr>
              <w:t>2023</w:t>
            </w:r>
          </w:p>
        </w:tc>
        <w:tc>
          <w:tcPr>
            <w:tcW w:w="120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92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2023</w:t>
            </w:r>
          </w:p>
        </w:tc>
        <w:tc>
          <w:tcPr>
            <w:tcW w:w="110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2022</w:t>
            </w:r>
          </w:p>
        </w:tc>
      </w:tr>
      <w:tr>
        <w:trPr>
          <w:trHeight w:val="183"/>
        </w:trPr>
        <w:tc>
          <w:tcPr>
            <w:tcW w:w="45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Stock options, SARs, and RSUs to purchase common</w:t>
            </w: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215"/>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5,520,235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5,058,223</w:t>
            </w: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5,146,464</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5,144,881</w:t>
            </w:r>
          </w:p>
        </w:tc>
      </w:tr>
    </w:tbl>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INCOME TAXES</w:t>
      </w:r>
    </w:p>
    <w:p>
      <w:pPr>
        <w:spacing w:after="0" w:line="222" w:lineRule="exact"/>
        <w:rPr>
          <w:sz w:val="20"/>
          <w:szCs w:val="20"/>
          <w:color w:val="auto"/>
        </w:rPr>
      </w:pPr>
    </w:p>
    <w:p>
      <w:pPr>
        <w:ind w:left="60" w:right="679" w:firstLine="648"/>
        <w:spacing w:after="0" w:line="289" w:lineRule="auto"/>
        <w:rPr>
          <w:sz w:val="20"/>
          <w:szCs w:val="20"/>
          <w:color w:val="auto"/>
        </w:rPr>
      </w:pPr>
      <w:r>
        <w:rPr>
          <w:rFonts w:ascii="Arial" w:cs="Arial" w:eastAsia="Arial" w:hAnsi="Arial"/>
          <w:sz w:val="17"/>
          <w:szCs w:val="17"/>
          <w:color w:val="auto"/>
        </w:rPr>
        <w:t>The reasons for the difference between the statutory federal income tax rate and the Company’s effective income tax rate for the three and six months ended June 30, 2023 and 2022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24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Three Months Ended June 30,</w:t>
            </w:r>
          </w:p>
        </w:tc>
        <w:tc>
          <w:tcPr>
            <w:tcW w:w="22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r>
      <w:tr>
        <w:trPr>
          <w:trHeight w:val="175"/>
        </w:trPr>
        <w:tc>
          <w:tcPr>
            <w:tcW w:w="4200" w:type="dxa"/>
            <w:vAlign w:val="bottom"/>
          </w:tcPr>
          <w:p>
            <w:pPr>
              <w:spacing w:after="0"/>
              <w:rPr>
                <w:sz w:val="15"/>
                <w:szCs w:val="15"/>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5"/>
                <w:szCs w:val="15"/>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5"/>
                <w:szCs w:val="15"/>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r>
      <w:tr>
        <w:trPr>
          <w:trHeight w:val="196"/>
        </w:trPr>
        <w:tc>
          <w:tcPr>
            <w:tcW w:w="4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Federal income tax rate</w:t>
            </w:r>
          </w:p>
        </w:tc>
        <w:tc>
          <w:tcPr>
            <w:tcW w:w="13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21.0 %</w:t>
            </w:r>
          </w:p>
        </w:tc>
        <w:tc>
          <w:tcPr>
            <w:tcW w:w="11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21.0 %</w:t>
            </w:r>
          </w:p>
        </w:tc>
        <w:tc>
          <w:tcPr>
            <w:tcW w:w="12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21.0 %</w:t>
            </w: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21.0 %</w:t>
            </w:r>
          </w:p>
        </w:tc>
      </w:tr>
      <w:tr>
        <w:trPr>
          <w:trHeight w:val="203"/>
        </w:trPr>
        <w:tc>
          <w:tcPr>
            <w:tcW w:w="420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3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(0.5)</w:t>
            </w: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(0.5)</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60" w:type="dxa"/>
            <w:vAlign w:val="bottom"/>
          </w:tcPr>
          <w:p>
            <w:pPr>
              <w:spacing w:after="0"/>
              <w:rPr>
                <w:sz w:val="17"/>
                <w:szCs w:val="17"/>
                <w:color w:val="auto"/>
              </w:rPr>
            </w:pPr>
          </w:p>
        </w:tc>
      </w:tr>
      <w:tr>
        <w:trPr>
          <w:trHeight w:val="203"/>
        </w:trPr>
        <w:tc>
          <w:tcPr>
            <w:tcW w:w="4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State taxes</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7"/>
                <w:szCs w:val="17"/>
                <w:color w:val="auto"/>
              </w:rPr>
            </w:pPr>
          </w:p>
        </w:tc>
      </w:tr>
      <w:tr>
        <w:trPr>
          <w:trHeight w:val="203"/>
        </w:trPr>
        <w:tc>
          <w:tcPr>
            <w:tcW w:w="4200" w:type="dxa"/>
            <w:vAlign w:val="bottom"/>
          </w:tcPr>
          <w:p>
            <w:pPr>
              <w:ind w:left="20"/>
              <w:spacing w:after="0" w:line="202" w:lineRule="exact"/>
              <w:rPr>
                <w:sz w:val="20"/>
                <w:szCs w:val="20"/>
                <w:color w:val="auto"/>
              </w:rPr>
            </w:pPr>
            <w:r>
              <w:rPr>
                <w:rFonts w:ascii="Arial" w:cs="Arial" w:eastAsia="Arial" w:hAnsi="Arial"/>
                <w:sz w:val="18"/>
                <w:szCs w:val="18"/>
                <w:color w:val="auto"/>
              </w:rPr>
              <w:t>Credits</w:t>
            </w:r>
          </w:p>
        </w:tc>
        <w:tc>
          <w:tcPr>
            <w:tcW w:w="13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(2.9)</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36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4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420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w:t>
            </w:r>
          </w:p>
        </w:tc>
        <w:tc>
          <w:tcPr>
            <w:tcW w:w="180" w:type="dxa"/>
            <w:vAlign w:val="bottom"/>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w:t>
            </w:r>
          </w:p>
        </w:tc>
        <w:tc>
          <w:tcPr>
            <w:tcW w:w="160" w:type="dxa"/>
            <w:vAlign w:val="bottom"/>
          </w:tcPr>
          <w:p>
            <w:pPr>
              <w:spacing w:after="0"/>
              <w:rPr>
                <w:sz w:val="17"/>
                <w:szCs w:val="17"/>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22.2 %</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19.5 %</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14.4 %</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844"/>
        </w:trPr>
        <w:tc>
          <w:tcPr>
            <w:tcW w:w="4200" w:type="dxa"/>
            <w:vAlign w:val="bottom"/>
          </w:tcPr>
          <w:p>
            <w:pPr>
              <w:spacing w:after="0"/>
              <w:rPr>
                <w:sz w:val="24"/>
                <w:szCs w:val="24"/>
                <w:color w:val="auto"/>
              </w:rPr>
            </w:pPr>
          </w:p>
        </w:tc>
        <w:tc>
          <w:tcPr>
            <w:tcW w:w="940" w:type="dxa"/>
            <w:vAlign w:val="bottom"/>
          </w:tcPr>
          <w:p>
            <w:pPr>
              <w:jc w:val="right"/>
              <w:ind w:right="494"/>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34"/>
        </w:trPr>
        <w:tc>
          <w:tcPr>
            <w:tcW w:w="4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RELATED-PARTY TRANSACTIONS</w:t>
      </w:r>
    </w:p>
    <w:p>
      <w:pPr>
        <w:spacing w:after="0" w:line="22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The Company was party to a management agreement for professional services provided by a related party, Paragon Biosciences, LLC (“Paragon”). The related party is an entity that shares common ownership with the Company. In addition, the Chairman of the Company’s board of directors was the President and owner of the entity. The Company terminated the management agreement upon the consummation of its IPO. The Company is also party to a right of use agreement with the related party whereby it has access to and the right to use certain office space leased by the related party in Chicago, IL. In addition, the Company had participated in certain transactions with separate related parties that also share common ownership with the Company, primarily related to combined employee health plans. The Company incurred $74 and $71 for the three months ended June 30, 2023 and 2022, and incurred $145 and $ 142 for the six months ended June 30, 2023 and 2022, respectively, in expenses to this related party, which are included in general and administrative expense in the unaudited condensed consolidated statements of operations and comprehensive loss. As of June 30, 2023 and December 31, 2022, there were no amounts due to or due from related parties included in the unaudited condensed consolidated balance sheets.</w:t>
      </w:r>
    </w:p>
    <w:p>
      <w:pPr>
        <w:spacing w:after="0" w:line="200" w:lineRule="exact"/>
        <w:rPr>
          <w:sz w:val="20"/>
          <w:szCs w:val="20"/>
          <w:color w:val="auto"/>
        </w:rPr>
      </w:pP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SUBSEQUENT EVENTS</w:t>
      </w:r>
    </w:p>
    <w:p>
      <w:pPr>
        <w:spacing w:after="0" w:line="222"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On July 26, 2023, the Company entered into a Credit Agreement (the “TLA Credit Agreement”) with JPMorgan Chase Bank, N.A., as administrative agent, and certain lenders. The TLA Credit Agreement provides for a five-year senior secured term loan (the “TLA Term Loan”) in an aggregate principal amount of $185,000. The proceeds from the TLA Term Loan, together with the Company’s cash on hand, were used to repay the Initial Term Loan and to pay transaction fees and expenses in connection with the establishment of the TLA Credit Agreement. In addition, the Company paid a repayment premium of 2.00% of the principal amount of the Initial Term Loan outstanding at the time of repayment. Upon entry into the TLA Credit Agreement and repayment of the Initial Term Loan, all commitments under the Blackstone Credit Agreement were terminated.</w:t>
      </w:r>
    </w:p>
    <w:p>
      <w:pPr>
        <w:spacing w:after="0" w:line="181" w:lineRule="exact"/>
        <w:rPr>
          <w:sz w:val="20"/>
          <w:szCs w:val="20"/>
          <w:color w:val="auto"/>
        </w:rPr>
      </w:pPr>
    </w:p>
    <w:p>
      <w:pPr>
        <w:ind w:left="60" w:right="79" w:firstLine="648"/>
        <w:spacing w:after="0" w:line="247" w:lineRule="auto"/>
        <w:rPr>
          <w:sz w:val="20"/>
          <w:szCs w:val="20"/>
          <w:color w:val="auto"/>
        </w:rPr>
      </w:pPr>
      <w:r>
        <w:rPr>
          <w:rFonts w:ascii="Arial" w:cs="Arial" w:eastAsia="Arial" w:hAnsi="Arial"/>
          <w:sz w:val="18"/>
          <w:szCs w:val="18"/>
          <w:color w:val="auto"/>
        </w:rPr>
        <w:t>On August 1, 2023, the Company’s Board of Directors approved a repurchase program providing for the repurchase of shares of common stock in an aggregate amount of up to $125,000, exclusive of commissions and transaction fees. The repurchase program may be modified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and financial position,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such differences include, but are not limited to, statements about:</w:t>
      </w:r>
    </w:p>
    <w:p>
      <w:pPr>
        <w:spacing w:after="0" w:line="205" w:lineRule="exact"/>
        <w:rPr>
          <w:sz w:val="20"/>
          <w:szCs w:val="20"/>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commercialization efforts and strategy for WAKIX;</w:t>
      </w:r>
    </w:p>
    <w:p>
      <w:pPr>
        <w:spacing w:after="0" w:line="211" w:lineRule="exact"/>
        <w:rPr>
          <w:rFonts w:ascii="Arial" w:cs="Arial" w:eastAsia="Arial" w:hAnsi="Arial"/>
          <w:sz w:val="18"/>
          <w:szCs w:val="18"/>
          <w:color w:val="auto"/>
        </w:rPr>
      </w:pPr>
    </w:p>
    <w:p>
      <w:pPr>
        <w:ind w:left="1040" w:right="59" w:hanging="315"/>
        <w:spacing w:after="0" w:line="260"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pitolisant in additional indications, if approved, and any other product candidates we may develop or acquire, if approved;</w:t>
      </w:r>
    </w:p>
    <w:p>
      <w:pPr>
        <w:spacing w:after="0" w:line="172" w:lineRule="exact"/>
        <w:rPr>
          <w:rFonts w:ascii="Arial" w:cs="Arial" w:eastAsia="Arial" w:hAnsi="Arial"/>
          <w:sz w:val="18"/>
          <w:szCs w:val="18"/>
          <w:color w:val="auto"/>
        </w:rPr>
      </w:pPr>
    </w:p>
    <w:p>
      <w:pPr>
        <w:ind w:left="1040" w:right="439" w:hanging="315"/>
        <w:spacing w:after="0" w:line="260"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research and development plans, including our plans to explore the therapeutic potential of pitolisant in additional indications;</w:t>
      </w:r>
    </w:p>
    <w:p>
      <w:pPr>
        <w:spacing w:after="0" w:line="186"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ongoing and planned clinical trials;</w:t>
      </w:r>
    </w:p>
    <w:p>
      <w:pPr>
        <w:spacing w:after="0" w:line="210" w:lineRule="exact"/>
        <w:rPr>
          <w:rFonts w:ascii="Arial" w:cs="Arial" w:eastAsia="Arial" w:hAnsi="Arial"/>
          <w:sz w:val="18"/>
          <w:szCs w:val="18"/>
          <w:color w:val="auto"/>
        </w:rPr>
      </w:pPr>
    </w:p>
    <w:p>
      <w:pPr>
        <w:ind w:left="1040" w:right="91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expand the scope of our license agreements with Bioprojet Société Civile de Recherche (“Bioprojet”);</w:t>
      </w:r>
    </w:p>
    <w:p>
      <w:pPr>
        <w:spacing w:after="0" w:line="18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favorable insurance coverage and reimbursement for WAKIX;</w:t>
      </w:r>
    </w:p>
    <w:p>
      <w:pPr>
        <w:spacing w:after="0" w:line="211" w:lineRule="exact"/>
        <w:rPr>
          <w:rFonts w:ascii="Arial" w:cs="Arial" w:eastAsia="Arial" w:hAnsi="Arial"/>
          <w:sz w:val="18"/>
          <w:szCs w:val="18"/>
          <w:color w:val="auto"/>
        </w:rPr>
      </w:pPr>
    </w:p>
    <w:p>
      <w:pPr>
        <w:ind w:left="1040" w:right="59" w:hanging="315"/>
        <w:spacing w:after="0" w:line="260"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and our ability to obtain, regulatory approvals for pitolisant for other indications as well as any other product candidates;</w:t>
      </w:r>
    </w:p>
    <w:p>
      <w:pPr>
        <w:spacing w:after="0" w:line="172" w:lineRule="exact"/>
        <w:rPr>
          <w:rFonts w:ascii="Arial" w:cs="Arial" w:eastAsia="Arial" w:hAnsi="Arial"/>
          <w:sz w:val="18"/>
          <w:szCs w:val="18"/>
          <w:color w:val="auto"/>
        </w:rPr>
      </w:pPr>
    </w:p>
    <w:p>
      <w:pPr>
        <w:ind w:left="1040" w:right="59" w:hanging="315"/>
        <w:spacing w:after="0" w:line="260"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additional financing needs;</w:t>
      </w:r>
    </w:p>
    <w:p>
      <w:pPr>
        <w:spacing w:after="0" w:line="172" w:lineRule="exact"/>
        <w:rPr>
          <w:rFonts w:ascii="Arial" w:cs="Arial" w:eastAsia="Arial" w:hAnsi="Arial"/>
          <w:sz w:val="18"/>
          <w:szCs w:val="18"/>
          <w:color w:val="auto"/>
        </w:rPr>
      </w:pPr>
    </w:p>
    <w:p>
      <w:pPr>
        <w:ind w:left="1040" w:right="59" w:hanging="315"/>
        <w:spacing w:after="0" w:line="260"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identify and/or acquire additional products or product candidates with significant commercial potential that are consistent with our commercial objectives;</w:t>
      </w:r>
    </w:p>
    <w:p>
      <w:pPr>
        <w:spacing w:after="0" w:line="186"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competition in our industry;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or retirement of key members of management;</w:t>
      </w:r>
    </w:p>
    <w:p>
      <w:pPr>
        <w:spacing w:after="0" w:line="211" w:lineRule="exact"/>
        <w:rPr>
          <w:rFonts w:ascii="Arial" w:cs="Arial" w:eastAsia="Arial" w:hAnsi="Arial"/>
          <w:sz w:val="18"/>
          <w:szCs w:val="18"/>
          <w:color w:val="auto"/>
        </w:rPr>
      </w:pPr>
    </w:p>
    <w:p>
      <w:pPr>
        <w:ind w:left="1040" w:right="59" w:hanging="315"/>
        <w:spacing w:after="0" w:line="260"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successfully execute our growth strategy, including any delays in our planned future growth;</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maintain effective internal controls;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 in our most recent Annual Report on Form 10-K entitled “Item 1A. Risk Factors” and the sections in this Quarterly Report on Form 10-Q titled “Risk Factors” and “Management’s Discussion and Analysis of Financial Condition and Results of Operations.”</w:t>
      </w:r>
    </w:p>
    <w:p>
      <w:pPr>
        <w:spacing w:after="0" w:line="195"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3"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Unless otherwise indicated, information contained in this Quarterly Report on Form 10-Q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and forecasts in the estimates made by the independent parties and by us.</w:t>
      </w:r>
    </w:p>
    <w:p>
      <w:pPr>
        <w:spacing w:after="0" w:line="19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94"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As used herein, the terms “Harmony,” “we,” “us,” “our” and “the Company” refer to Harmony Biosciences Holdings, Inc., a Delaware corporation and our operating subsidiary, Harmony Biosciences, LLC.</w:t>
      </w:r>
    </w:p>
    <w:p>
      <w:pPr>
        <w:spacing w:after="0" w:line="17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Further, we have in-licensed from Bioprojet the registered trademark product name WAKIX® in the United States. We also have registered trademark protection in the United States for KNOW NARCOLEPSY®, REM AT THE WRONG TIME® and NON-REM AT THE WRONG TIME®, as well as our brand and logo HB®, HB HARMONY BIOSCIENCES® and HARMONY BIOSCIENCES®. This report also includes trademarks, service marks and trade names of other companies. Trademarks, service marks and trade names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Company Overview</w:t>
      </w:r>
    </w:p>
    <w:p>
      <w:pPr>
        <w:spacing w:after="0" w:line="222" w:lineRule="exact"/>
        <w:rPr>
          <w:sz w:val="20"/>
          <w:szCs w:val="20"/>
          <w:color w:val="auto"/>
        </w:rPr>
      </w:pPr>
    </w:p>
    <w:p>
      <w:pPr>
        <w:jc w:val="both"/>
        <w:ind w:left="60" w:right="59" w:firstLine="648"/>
        <w:spacing w:after="0" w:line="226" w:lineRule="auto"/>
        <w:rPr>
          <w:sz w:val="20"/>
          <w:szCs w:val="20"/>
          <w:color w:val="auto"/>
        </w:rPr>
      </w:pPr>
      <w:r>
        <w:rPr>
          <w:rFonts w:ascii="Arial" w:cs="Arial" w:eastAsia="Arial" w:hAnsi="Arial"/>
          <w:sz w:val="18"/>
          <w:szCs w:val="18"/>
          <w:color w:val="auto"/>
        </w:rPr>
        <w:t>We are a commercial-stage, pharmaceutical company focused on developing and commercializing innovative therapies for patients living with rare neurological diseases as well as patients living with other neurological diseases who have unmet medical needs. Our product, WAKIX (pitolisant), is a first-in-class molecule with a novel mechanism of action (“MOA”) specifically designed to increase histamine signaling in the brain by binding to H</w:t>
      </w:r>
      <w:r>
        <w:rPr>
          <w:rFonts w:ascii="Arial" w:cs="Arial" w:eastAsia="Arial" w:hAnsi="Arial"/>
          <w:sz w:val="26"/>
          <w:szCs w:val="26"/>
          <w:color w:val="auto"/>
          <w:vertAlign w:val="subscript"/>
        </w:rPr>
        <w:t>3</w:t>
      </w:r>
      <w:r>
        <w:rPr>
          <w:rFonts w:ascii="Arial" w:cs="Arial" w:eastAsia="Arial" w:hAnsi="Arial"/>
          <w:sz w:val="18"/>
          <w:szCs w:val="18"/>
          <w:color w:val="auto"/>
        </w:rPr>
        <w:t xml:space="preserve"> receptors. In August 2019, WAKIX was approved by the U.S. Food and Drug</w:t>
      </w:r>
    </w:p>
    <w:p>
      <w:pPr>
        <w:spacing w:after="0" w:line="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Administration (the “FDA”) for the treatment of excessive daytime sleepiness (“EDS”) in adult patients with narcolepsy, and its U.S. commercial launch was initiated in November 2019. In October 2020, WAKIX was approved by the FDA for the treatment of cataplexy in adult patients with narcolepsy. WAKIX is the first-and-only approved product for patients with narcolepsy that is not scheduled as a controlled substance by the U.S. Drug Enforcement Administration (the “DEA”).</w:t>
      </w:r>
    </w:p>
    <w:p>
      <w:pPr>
        <w:spacing w:after="0" w:line="190" w:lineRule="exact"/>
        <w:rPr>
          <w:sz w:val="20"/>
          <w:szCs w:val="20"/>
          <w:color w:val="auto"/>
        </w:rPr>
      </w:pPr>
    </w:p>
    <w:p>
      <w:pPr>
        <w:jc w:val="both"/>
        <w:ind w:left="60" w:right="59" w:firstLine="648"/>
        <w:spacing w:after="0" w:line="217" w:lineRule="auto"/>
        <w:rPr>
          <w:sz w:val="20"/>
          <w:szCs w:val="20"/>
          <w:color w:val="auto"/>
        </w:rPr>
      </w:pPr>
      <w:r>
        <w:rPr>
          <w:rFonts w:ascii="Arial" w:cs="Arial" w:eastAsia="Arial" w:hAnsi="Arial"/>
          <w:sz w:val="18"/>
          <w:szCs w:val="18"/>
          <w:color w:val="auto"/>
        </w:rPr>
        <w:t>We believe that pitolisant’s ability to regulate histamine gives it the potential to provide therapeutic benefit in other rare neurological diseases that are mediated through H</w:t>
      </w:r>
      <w:r>
        <w:rPr>
          <w:rFonts w:ascii="Arial" w:cs="Arial" w:eastAsia="Arial" w:hAnsi="Arial"/>
          <w:sz w:val="26"/>
          <w:szCs w:val="26"/>
          <w:color w:val="auto"/>
          <w:vertAlign w:val="subscript"/>
        </w:rPr>
        <w:t>3</w:t>
      </w:r>
      <w:r>
        <w:rPr>
          <w:rFonts w:ascii="Arial" w:cs="Arial" w:eastAsia="Arial" w:hAnsi="Arial"/>
          <w:sz w:val="18"/>
          <w:szCs w:val="18"/>
          <w:color w:val="auto"/>
        </w:rPr>
        <w:t xml:space="preserve"> receptors and histamine signaling. We</w:t>
      </w:r>
    </w:p>
    <w:p>
      <w:pPr>
        <w:jc w:val="both"/>
        <w:ind w:left="60" w:right="59"/>
        <w:spacing w:after="0" w:line="235" w:lineRule="auto"/>
        <w:rPr>
          <w:sz w:val="20"/>
          <w:szCs w:val="20"/>
          <w:color w:val="auto"/>
        </w:rPr>
      </w:pPr>
      <w:r>
        <w:rPr>
          <w:rFonts w:ascii="Arial" w:cs="Arial" w:eastAsia="Arial" w:hAnsi="Arial"/>
          <w:sz w:val="18"/>
          <w:szCs w:val="18"/>
          <w:color w:val="auto"/>
        </w:rPr>
        <w:t>are taking a mechanism-based approach to managing the life cycle of pitolisant and have identified idiopathic hypersomnia (“IH”), another central disorder of hypersomnolence like narcolepsy, as our next potential new indication for WAKIX. In April 2022, we initiated a Phase 3 registrational trial, the INTUNE Study, to evaluate the efficacy and safety of pitolisant in adult patients with IH. We have seen strong momentum in the INTUNE Study and completed enrollment in the study in May 2023. We are on track for topline data from this Phase 3 registrational trial in the fourth quarter of 2023. We are focusing our development efforts on other rare neurological disorders in which EDS is a prominent symptom, including Prader-Willi Syndrome (“PWS”) and myotonic dystrophy, otherwise known as dystrophia myotonica (“DM”). Based on the positive signals from the data from our Phase 2 proof-of-concept clinical trial to evaluate pitolisant for the treatment of EDS and other key symptoms in patients with PWS, an end-of-phase 2 meeting with the FDA was held in June 2023. We aligned with the FDA on the proposed Phase 3 study to support further investigation of pitolisant as a potential treatment to address the unmet medical need for children, adolescents and adults with PWS experiencing EDS, for which there is currently no approved treatment. We plan to initiate the Phase 3 study in the fourth quarter of 2023. In June 2021, we initiated a Phase 2 proof-of-concept clinical trial to evaluate pitolisant for the treatment of EDS, fatigue and cognitive dysfunction in adult patients with DM1 and we are on track for topline results from this trial in the fourth quarter of 2023.</w:t>
      </w:r>
    </w:p>
    <w:p>
      <w:pPr>
        <w:spacing w:after="0" w:line="201"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partner, Bioprojet, completed a Phase 3 trial in pediatric patients with narcolepsy and received an approval from the European Medical Agency’s (“EMA”) Committee for Medicinal Products for Human Use (“CHMP”) for a pediatric narcolepsy indication. We are working with Bioprojet towards the submission to the FDA of a supplemental NDA for pediatric narcolepsy, which we plan to submit in the fourth quarter of 2023. In addition, we made progress with FDA in gaining alignment on the requirements for pediatric exclusivity for WAKIX, which we are actively pursuing.</w:t>
      </w:r>
    </w:p>
    <w:p>
      <w:pPr>
        <w:spacing w:after="0" w:line="19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are actively working to expand our pipeline through the acquisition of additional assets that focus on addressing the unmet needs of patients living with rare neurological diseases as well as patients living with other neurological diseases who have unmet medical needs. We are targeting assets that will allow us to further leverage the expertise and infrastructure that we have successfully built at Harmony so we can optimize the benefit of internal synergies. Consistent with this objective, in July 2022, we entered into a License and Commercialization Agreement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The 2022 LCA has the potential to generate new intellectual property and extend the pitolisant franchise. We are co-developing the new formulations of pitolisant with Bioprojet and work is ongoing.</w:t>
      </w:r>
    </w:p>
    <w:p>
      <w:pPr>
        <w:spacing w:after="0" w:line="197"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In addition, in August 2021, we entered into an asset purchase agreement with ConSynance Therapeutics, Inc. (the “APA”) to acquire HBS-102, a Melanin-concentrating hormone receptor 1 (MCHR1) antagonist previously developed as CSTI-100/ALB-127258(a)/ALB-127258 (the “Compound”), along with intellectual property and other assets related to the development, manufacture, and commercialization of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Compound. In connection with the acquisition, we made an upfront payment of $3.5 million and will be required to make additional payments upon the achievement of certain development milestones, regulatory milestones, and sales milestones and pay ongoing royalties upon commercialization. We acquired full development and commercialization rights globally, but we have provided a grant-back license to ConSynance for the development and commercialization of the Compound in Greater China. A preclinical proof-of-concept study to assess the effect of HBS-102 on hyperphagia, weight gain, and other metabolic parameters in a mouse model of PWS is ongoing.</w:t>
      </w:r>
    </w:p>
    <w:p>
      <w:pPr>
        <w:spacing w:after="0" w:line="191"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Pitolisant was developed by Bioprojet and approved by the EMA in 2016 for the treatment of narcolepsy in adult patients with or without cataplexy and in 2021 for the treatment of EDS in adult patients with obstructive sleep apnea. We acquired an exclusive license to develop, manufacture and commercialize pitolisant in the United States pursuant to our license agreement with Bioprojet (as amended, the “2017 LCA”) in July 2017. Pitolisant was granted Orphan Drug Designation for the treatment of narcolepsy by the FDA in 2010. It received Breakthrough Therapy designation for the treatment of cataplexy in patients with narcolepsy and Fast Track status for the treatment of EDS and cataplexy in patients with narcolepsy in April 2018.</w:t>
      </w:r>
    </w:p>
    <w:p>
      <w:pPr>
        <w:spacing w:after="0" w:line="191"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were founded in July 2017 as Harmony Biosciences II, LLC, a Delaware limited liability company. We converted to a Delaware corporation named Harmony Biosciences II, Inc. in September 2017, and, in February 2020, we changed our name to Harmony Biosciences Holdings, Inc. Our operations are conducted by our wholly owned subsidiary, Harmony Biosciences, LLC, which was formed in May 2017. Our operations to date have consisted of building and staffing our organization, acquiring the rights to pitolisant, raising capital, opening an investigational new drug application (“IND”) for pitolisant in narcolepsy, conducting an Expanded Access Program (“EAP”) for pitolisant for appropriate patients with narcolepsy in the United States, preparing and submitting our NDA for pitolisant, gaining NDA approval for WAKIX for the treatment of EDS or cataplexy in adult patients with narcolepsy, and launching and commercializing WAKIX in the United States. In addition, we have opened INDs for the development of pitolisant in PWS, DM and IH and have initiated clinical trials in pursuit of potential new indications in those rare disease patient populations.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Performance Metrics</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As of June 30, 2023, we continued to see growth in the number of unique healthcare professional (“HCP”) prescribers of WAKIX since it became available in November 2019. The average number of patients on WAKIX for the three months ended June 30, 2023 was approximately 5,450. Additionally, as of June 30, 2023, we have secured formulary access for more than 80% of all insured lives (Commercial, Medicare and Medicaid) in the United States. Within these covered lives, we have observed favorable access to WAKIX subsequent to the expanded approval of WAKIX for the treatment of cataplexy in adult patients with narcolepsy in October 2020.</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w:t>
      </w:r>
    </w:p>
    <w:p>
      <w:pPr>
        <w:spacing w:after="0" w:line="222"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Net product sales includes gross sales of WAKIX less provisions for sales discounts and allowances, which includes trade allowances, rebates to government and commercial entities, and discounts. Although we expect net sales to increase over time, provisions for sales discounts and allowances may fluctuate based on the mix of sales to different customer segments and/or changes in our estimates.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Sales</w:t>
      </w:r>
    </w:p>
    <w:p>
      <w:pPr>
        <w:spacing w:after="0" w:line="222"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Cost of product sales includes manufacturing and distribution costs, the cost of the drug substance, FDA program fees, royalties due to third parties on net product sales, freight, shipping, handling, storage costs and salaries of employees involved with production. We expect the cost of product sales to increase as we continue to ramp up production in order to meet future demand for WAKIX and diversify our supply chain for WAKIX.</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The shelf life of WAKIX is three years from date of manufacture, with the earliest expiration of current inventory expected to be January 2025. We regularly review our inventory levels and expect write-offs from time to time. We will continue to assess inventory levels in future periods as demand for WAKIX and the rate of inventory turnover evolves. We currently expect to have adequate supply of WAKIX into the third quarter of 2024, with additional API on-hand inventory to support at least 36 months beyond this time frame.</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2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Research and development expenses primarily include development programs for potential new indications for pitolisant in patients with IH, PWS and DM. We also incur research and development expenses related to our team of Medical Science Liaisons (“MSLs”) who interact with key opinion leaders, with a focus on the science, the role of histamine in sleep-wake state stability and the novel mechanism of action of pitolisant. In addition, our MSLs support our market access team with the presentation of clinical data to payors upon request and our clinical development team to identify potential clinical trial sites. Research and development costs are expensed as incurred. We have significantly increased our research and development efforts as we advance our clinical programs in IH, PWS and DM and assess other product candidates to expand our pipeline. Research and development expenses also include:</w:t>
      </w:r>
    </w:p>
    <w:p>
      <w:pPr>
        <w:spacing w:after="0" w:line="191" w:lineRule="exact"/>
        <w:rPr>
          <w:sz w:val="20"/>
          <w:szCs w:val="20"/>
          <w:color w:val="auto"/>
        </w:rPr>
      </w:pPr>
    </w:p>
    <w:p>
      <w:pPr>
        <w:ind w:left="1040" w:right="519" w:hanging="315"/>
        <w:spacing w:after="0" w:line="26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employee-related expenses, such as salaries, share-based compensation, benefits and travel expenses for our research and development personnel;</w:t>
      </w:r>
    </w:p>
    <w:p>
      <w:pPr>
        <w:spacing w:after="0" w:line="172" w:lineRule="exact"/>
        <w:rPr>
          <w:rFonts w:ascii="Arial" w:cs="Arial" w:eastAsia="Arial" w:hAnsi="Arial"/>
          <w:sz w:val="18"/>
          <w:szCs w:val="18"/>
          <w:color w:val="auto"/>
        </w:rPr>
      </w:pPr>
    </w:p>
    <w:p>
      <w:pPr>
        <w:ind w:left="1040" w:right="499" w:hanging="315"/>
        <w:spacing w:after="0" w:line="26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 third-party costs such as expenses incurred under agreements with CROs, and contract manufacturing organizations (“CMOs”);</w:t>
      </w:r>
    </w:p>
    <w:p>
      <w:pPr>
        <w:spacing w:after="0" w:line="199"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manufacturing costs in connection with producing materials for use in conducting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related to packaging and labeling of clinical supplies;</w:t>
      </w:r>
    </w:p>
    <w:p>
      <w:pPr>
        <w:spacing w:after="0" w:line="211" w:lineRule="exact"/>
        <w:rPr>
          <w:rFonts w:ascii="Arial" w:cs="Arial" w:eastAsia="Arial" w:hAnsi="Arial"/>
          <w:sz w:val="18"/>
          <w:szCs w:val="18"/>
          <w:color w:val="auto"/>
        </w:rPr>
      </w:pPr>
    </w:p>
    <w:p>
      <w:pPr>
        <w:ind w:left="1040" w:right="279" w:hanging="315"/>
        <w:spacing w:after="0" w:line="26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third-party expenses (e.g., consultants, advisors) directly attributable to the development of our product candidates; and</w:t>
      </w:r>
    </w:p>
    <w:p>
      <w:pPr>
        <w:spacing w:after="0" w:line="186"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amortization expense for assets used in research and development activities.</w:t>
      </w:r>
    </w:p>
    <w:p>
      <w:pPr>
        <w:spacing w:after="0" w:line="212"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We do not track research and development expenses on an indication-by-indication basis. A significant portion of our research and development costs are external costs, such as fees paid to CROs and CMOs, central laboratories, contractors, and consultants in connection with our clinical development programs. Internal expenses primarily relate to personnel who are deployed across multiple programs.</w:t>
      </w:r>
    </w:p>
    <w:p>
      <w:pPr>
        <w:spacing w:after="0" w:line="188"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Product candidates in later stages of clinical development generally have higher development costs than those in earlier stages of clinical development, primarily due to the increased size and duration of later-stage clinical trials, milestone payments, and the cost of submitting an NDA to the FDA (and/or other regulatory authorities). We expect our research and development expenses to be significant over the next several years as we advance our current clinical development programs and prepare to seek regulatory approval for additional indications for pitolisant, advance HBS-102 from preclinical studies into the clinic, and identify potential new product candidates to develop toward new indications.</w:t>
      </w:r>
    </w:p>
    <w:p>
      <w:pPr>
        <w:spacing w:after="0" w:line="191"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p>
    <w:p>
      <w:pPr>
        <w:spacing w:after="0" w:line="188" w:lineRule="exact"/>
        <w:rPr>
          <w:sz w:val="20"/>
          <w:szCs w:val="20"/>
          <w:color w:val="auto"/>
        </w:rPr>
      </w:pPr>
    </w:p>
    <w:p>
      <w:pPr>
        <w:ind w:left="1040" w:right="119" w:hanging="315"/>
        <w:spacing w:after="0" w:line="26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duration, costs and timing of clinical trials of our current development programs and any further clinical trials related to new product candidates;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left="1040" w:right="339" w:hanging="315"/>
        <w:spacing w:after="0" w:line="26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sufficiency of our financial and other resources to complete the necessary preclinical studies and clinical trials;</w:t>
      </w:r>
    </w:p>
    <w:p>
      <w:pPr>
        <w:spacing w:after="0" w:line="172" w:lineRule="exact"/>
        <w:rPr>
          <w:rFonts w:ascii="Arial" w:cs="Arial" w:eastAsia="Arial" w:hAnsi="Arial"/>
          <w:sz w:val="18"/>
          <w:szCs w:val="18"/>
          <w:color w:val="auto"/>
        </w:rPr>
      </w:pPr>
    </w:p>
    <w:p>
      <w:pPr>
        <w:jc w:val="both"/>
        <w:ind w:left="1040" w:right="59" w:hanging="315"/>
        <w:spacing w:after="0" w:line="241"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the COVID-19 pandemic, including any future resurgence or new variants, on the ability to initiate new clinical trials and/or maintain the continuity of ongoing clinical trials, including our ability to access sleep labs in order to conduct objective sleep testing, that could be impacted by future shelter-in-place orders and needs of the health care system to focus on managing patients affected by COVID-19;</w:t>
      </w:r>
    </w:p>
    <w:p>
      <w:pPr>
        <w:spacing w:after="0" w:line="187"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receiving Bioprojet’s consent to pursue additional indications for pitolisant;</w:t>
      </w:r>
    </w:p>
    <w:p>
      <w:pPr>
        <w:spacing w:after="0" w:line="239"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acceptance of INDs for our planned clinical trials or future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successful and timely enrollment and completion of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successful completion of preclinical studies and clinical trials;</w:t>
      </w:r>
    </w:p>
    <w:p>
      <w:pPr>
        <w:spacing w:after="0" w:line="211" w:lineRule="exact"/>
        <w:rPr>
          <w:rFonts w:ascii="Arial" w:cs="Arial" w:eastAsia="Arial" w:hAnsi="Arial"/>
          <w:sz w:val="18"/>
          <w:szCs w:val="18"/>
          <w:color w:val="auto"/>
        </w:rPr>
      </w:pPr>
    </w:p>
    <w:p>
      <w:pPr>
        <w:ind w:left="1040" w:right="459" w:hanging="315"/>
        <w:spacing w:after="0" w:line="26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 data from our clinical programs that support an acceptable risk-benefit profile of our product candidates in the intended populations;</w:t>
      </w:r>
    </w:p>
    <w:p>
      <w:pPr>
        <w:spacing w:after="0" w:line="172" w:lineRule="exact"/>
        <w:rPr>
          <w:rFonts w:ascii="Arial" w:cs="Arial" w:eastAsia="Arial" w:hAnsi="Arial"/>
          <w:sz w:val="18"/>
          <w:szCs w:val="18"/>
          <w:color w:val="auto"/>
        </w:rPr>
      </w:pPr>
    </w:p>
    <w:p>
      <w:pPr>
        <w:ind w:left="1040" w:right="499" w:hanging="315"/>
        <w:spacing w:after="0" w:line="26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receipt and maintenance of regulatory and marketing approvals from applicable regulatory authorities;</w:t>
      </w:r>
    </w:p>
    <w:p>
      <w:pPr>
        <w:spacing w:after="0" w:line="172" w:lineRule="exact"/>
        <w:rPr>
          <w:rFonts w:ascii="Arial" w:cs="Arial" w:eastAsia="Arial" w:hAnsi="Arial"/>
          <w:sz w:val="18"/>
          <w:szCs w:val="18"/>
          <w:color w:val="auto"/>
        </w:rPr>
      </w:pPr>
    </w:p>
    <w:p>
      <w:pPr>
        <w:ind w:left="1040" w:right="59" w:hanging="315"/>
        <w:spacing w:after="0" w:line="26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product candidate is approved;</w:t>
      </w:r>
    </w:p>
    <w:p>
      <w:pPr>
        <w:spacing w:after="0" w:line="186"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entry into collaborations to further the development of our product candidates;</w:t>
      </w:r>
    </w:p>
    <w:p>
      <w:pPr>
        <w:spacing w:after="0" w:line="211" w:lineRule="exact"/>
        <w:rPr>
          <w:rFonts w:ascii="Arial" w:cs="Arial" w:eastAsia="Arial" w:hAnsi="Arial"/>
          <w:sz w:val="18"/>
          <w:szCs w:val="18"/>
          <w:color w:val="auto"/>
        </w:rPr>
      </w:pPr>
    </w:p>
    <w:p>
      <w:pPr>
        <w:ind w:left="1040" w:right="679" w:hanging="315"/>
        <w:spacing w:after="0" w:line="26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 and</w:t>
      </w:r>
    </w:p>
    <w:p>
      <w:pPr>
        <w:spacing w:after="0" w:line="172" w:lineRule="exact"/>
        <w:rPr>
          <w:rFonts w:ascii="Arial" w:cs="Arial" w:eastAsia="Arial" w:hAnsi="Arial"/>
          <w:sz w:val="18"/>
          <w:szCs w:val="18"/>
          <w:color w:val="auto"/>
        </w:rPr>
      </w:pPr>
    </w:p>
    <w:p>
      <w:pPr>
        <w:ind w:left="1040" w:right="679" w:hanging="315"/>
        <w:spacing w:after="0" w:line="26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launching our product candidates and achieving commercial sales, if and when approved.</w:t>
      </w:r>
    </w:p>
    <w:p>
      <w:pPr>
        <w:spacing w:after="0" w:line="173"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 Expenses</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sales and marketing expenses primarily relate to the market development and commercialization activities of WAKIX for the treatment of EDS and cataplexy in adult patients with narcolepsy. Market development and commercial activities account for a significant portion of our operating expenses and are expensed as incurred. We expect our sales and marketing expenses to increase in the near- and mid-term to support WAKIX’s indications for the treatment of EDS or cataplexy in adult patients with narcolepsy and to expand our portfolio with the anticipated growth from potential additional indications.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Sales and marketing expenses include:</w:t>
      </w:r>
    </w:p>
    <w:p>
      <w:pPr>
        <w:spacing w:after="0" w:line="212" w:lineRule="exact"/>
        <w:rPr>
          <w:sz w:val="20"/>
          <w:szCs w:val="20"/>
          <w:color w:val="auto"/>
        </w:rPr>
      </w:pPr>
    </w:p>
    <w:p>
      <w:pPr>
        <w:ind w:left="1040" w:right="59" w:hanging="315"/>
        <w:spacing w:after="0" w:line="26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employee-related expenses, such as salaries, share-based compensation, benefits and travel expenses for our sales, marketing and market access personnel;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left="1040" w:right="59" w:hanging="315"/>
        <w:spacing w:after="0" w:line="260"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healthcare professional-related expenses, including marketing programs, healthcare professional promotional medical education, disease education, conference exhibits and market research;</w:t>
      </w:r>
    </w:p>
    <w:p>
      <w:pPr>
        <w:spacing w:after="0" w:line="172" w:lineRule="exact"/>
        <w:rPr>
          <w:rFonts w:ascii="Arial" w:cs="Arial" w:eastAsia="Arial" w:hAnsi="Arial"/>
          <w:sz w:val="18"/>
          <w:szCs w:val="18"/>
          <w:color w:val="auto"/>
        </w:rPr>
      </w:pPr>
    </w:p>
    <w:p>
      <w:pPr>
        <w:jc w:val="both"/>
        <w:ind w:left="1040" w:right="59" w:hanging="315"/>
        <w:spacing w:after="0" w:line="24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patient-related expenses, including patient awareness and education programs, disease awareness education, patient reimbursement programs, patient support services and market research;</w:t>
      </w:r>
    </w:p>
    <w:p>
      <w:pPr>
        <w:spacing w:after="0" w:line="184" w:lineRule="exact"/>
        <w:rPr>
          <w:rFonts w:ascii="Arial" w:cs="Arial" w:eastAsia="Arial" w:hAnsi="Arial"/>
          <w:sz w:val="18"/>
          <w:szCs w:val="18"/>
          <w:color w:val="auto"/>
        </w:rPr>
      </w:pPr>
    </w:p>
    <w:p>
      <w:pPr>
        <w:ind w:left="1040" w:right="59" w:hanging="315"/>
        <w:spacing w:after="0" w:line="260"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access expenses, including payor education, specialty pharmacy programs and services to support the continued commercialization of WAKIX; and</w:t>
      </w:r>
    </w:p>
    <w:p>
      <w:pPr>
        <w:spacing w:after="0" w:line="172" w:lineRule="exact"/>
        <w:rPr>
          <w:rFonts w:ascii="Arial" w:cs="Arial" w:eastAsia="Arial" w:hAnsi="Arial"/>
          <w:sz w:val="18"/>
          <w:szCs w:val="18"/>
          <w:color w:val="auto"/>
        </w:rPr>
      </w:pPr>
    </w:p>
    <w:p>
      <w:pPr>
        <w:ind w:left="1040" w:right="59" w:hanging="315"/>
        <w:spacing w:after="0" w:line="260"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secondary data purchases (i.e., patient claims and prescription data), data warehouse development and data management.</w:t>
      </w:r>
    </w:p>
    <w:p>
      <w:pPr>
        <w:spacing w:after="0" w:line="173"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addition, sales and marketing expenses include external costs such as website development, media placement fees, agency fees for patient, medical education and promotional expenses, market research, analysis of secondary data, conference fees and consulting fees.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2"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and professional fees, including legal, tax and accounting and consulting fees.</w:t>
      </w:r>
    </w:p>
    <w:p>
      <w:pPr>
        <w:spacing w:after="0" w:line="18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be driven by costs associated with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Paragon Agreements</w:t>
      </w:r>
    </w:p>
    <w:p>
      <w:pPr>
        <w:spacing w:after="0" w:line="22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were party to a management services agreement with Paragon Biosciences, LLC (“Paragon”), which was terminated upon the consummation of our IPO, pursuant to which Paragon provided us with certain professional services.</w:t>
      </w:r>
    </w:p>
    <w:p>
      <w:pPr>
        <w:spacing w:after="0" w:line="18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are also party to a right-of-use agreement with Paragon whereby we have access to and the right to use certain office space leased by Paragon in Chicago, Illinois. For the three and six months ended June 30, 2023, we paid fees of $0.1 million and $0.2 million, respectively, pursuant to this agreement.</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 Net</w:t>
      </w:r>
    </w:p>
    <w:p>
      <w:pPr>
        <w:spacing w:after="0" w:line="22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Interest expense, net consists primarily of interest expense on debt facilities, amortization of debt issuance costs and amortization of premiums on our debt securities, partially offset by interest income earned on our cash and investment balances and accretion of the discount on our debt securities.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2" w:lineRule="exact"/>
        <w:rPr>
          <w:sz w:val="20"/>
          <w:szCs w:val="20"/>
          <w:color w:val="auto"/>
        </w:rPr>
      </w:pPr>
    </w:p>
    <w:p>
      <w:pPr>
        <w:ind w:left="60" w:right="359" w:firstLine="648"/>
        <w:spacing w:after="0" w:line="260" w:lineRule="auto"/>
        <w:rPr>
          <w:sz w:val="20"/>
          <w:szCs w:val="20"/>
          <w:color w:val="auto"/>
        </w:rPr>
      </w:pPr>
      <w:r>
        <w:rPr>
          <w:rFonts w:ascii="Arial" w:cs="Arial" w:eastAsia="Arial" w:hAnsi="Arial"/>
          <w:sz w:val="18"/>
          <w:szCs w:val="18"/>
          <w:color w:val="auto"/>
        </w:rPr>
        <w:t>The following table sets forth selected items in our unaudited condensed consolidated statements of operations for the periods presented:</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0" w:type="dxa"/>
            <w:vAlign w:val="bottom"/>
            <w:tcBorders>
              <w:bottom w:val="single" w:sz="8" w:color="auto"/>
            </w:tcBorders>
            <w:gridSpan w:val="6"/>
          </w:tcPr>
          <w:p>
            <w:pPr>
              <w:jc w:val="right"/>
              <w:ind w:right="11"/>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5"/>
                <w:szCs w:val="15"/>
                <w:color w:val="auto"/>
              </w:rPr>
            </w:pPr>
          </w:p>
        </w:tc>
        <w:tc>
          <w:tcPr>
            <w:tcW w:w="2060" w:type="dxa"/>
            <w:vAlign w:val="bottom"/>
            <w:tcBorders>
              <w:bottom w:val="single" w:sz="8" w:color="auto"/>
            </w:tcBorders>
            <w:gridSpan w:val="5"/>
          </w:tcPr>
          <w:p>
            <w:pPr>
              <w:jc w:val="right"/>
              <w:ind w:right="31"/>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2022</w:t>
            </w:r>
          </w:p>
        </w:tc>
      </w:tr>
      <w:tr>
        <w:trPr>
          <w:trHeight w:val="155"/>
        </w:trPr>
        <w:tc>
          <w:tcPr>
            <w:tcW w:w="4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132"/>
              <w:spacing w:after="0" w:line="155" w:lineRule="exact"/>
              <w:rPr>
                <w:sz w:val="20"/>
                <w:szCs w:val="20"/>
                <w:color w:val="auto"/>
              </w:rPr>
            </w:pPr>
            <w:r>
              <w:rPr>
                <w:rFonts w:ascii="Arial" w:cs="Arial" w:eastAsia="Arial" w:hAnsi="Arial"/>
                <w:sz w:val="14"/>
                <w:szCs w:val="14"/>
                <w:b w:val="1"/>
                <w:bCs w:val="1"/>
                <w:color w:val="auto"/>
              </w:rPr>
              <w:t>(In</w:t>
            </w:r>
          </w:p>
        </w:tc>
        <w:tc>
          <w:tcPr>
            <w:tcW w:w="1200" w:type="dxa"/>
            <w:vAlign w:val="bottom"/>
            <w:gridSpan w:val="4"/>
          </w:tcPr>
          <w:p>
            <w:pPr>
              <w:jc w:val="right"/>
              <w:ind w:right="511"/>
              <w:spacing w:after="0" w:line="155" w:lineRule="exact"/>
              <w:rPr>
                <w:sz w:val="20"/>
                <w:szCs w:val="20"/>
                <w:color w:val="auto"/>
              </w:rPr>
            </w:pPr>
            <w:r>
              <w:rPr>
                <w:rFonts w:ascii="Arial" w:cs="Arial" w:eastAsia="Arial" w:hAnsi="Arial"/>
                <w:sz w:val="14"/>
                <w:szCs w:val="14"/>
                <w:b w:val="1"/>
                <w:bCs w:val="1"/>
                <w:color w:val="auto"/>
                <w:w w:val="76"/>
              </w:rPr>
              <w:t>thousands)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4"/>
          </w:tcPr>
          <w:p>
            <w:pPr>
              <w:jc w:val="right"/>
              <w:ind w:right="451"/>
              <w:spacing w:after="0" w:line="155" w:lineRule="exact"/>
              <w:rPr>
                <w:sz w:val="20"/>
                <w:szCs w:val="20"/>
                <w:color w:val="auto"/>
              </w:rPr>
            </w:pPr>
            <w:r>
              <w:rPr>
                <w:rFonts w:ascii="Arial" w:cs="Arial" w:eastAsia="Arial" w:hAnsi="Arial"/>
                <w:sz w:val="14"/>
                <w:szCs w:val="14"/>
                <w:b w:val="1"/>
                <w:bCs w:val="1"/>
                <w:color w:val="auto"/>
              </w:rPr>
              <w:t>(In thousands)</w:t>
            </w:r>
          </w:p>
        </w:tc>
      </w:tr>
      <w:tr>
        <w:trPr>
          <w:trHeight w:val="203"/>
        </w:trPr>
        <w:tc>
          <w:tcPr>
            <w:tcW w:w="4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product revenue</w:t>
            </w:r>
          </w:p>
        </w:tc>
        <w:tc>
          <w:tcPr>
            <w:tcW w:w="64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134,216</w:t>
            </w:r>
          </w:p>
        </w:tc>
        <w:tc>
          <w:tcPr>
            <w:tcW w:w="1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107,028</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253,342</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192,341</w:t>
            </w:r>
          </w:p>
        </w:tc>
      </w:tr>
      <w:tr>
        <w:trPr>
          <w:trHeight w:val="203"/>
        </w:trPr>
        <w:tc>
          <w:tcPr>
            <w:tcW w:w="40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Cost of product sales</w:t>
            </w:r>
          </w:p>
        </w:tc>
        <w:tc>
          <w:tcPr>
            <w:tcW w:w="4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25,008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18,921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45,788</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33,637</w:t>
            </w:r>
          </w:p>
        </w:tc>
      </w:tr>
      <w:tr>
        <w:trPr>
          <w:trHeight w:val="196"/>
        </w:trPr>
        <w:tc>
          <w:tcPr>
            <w:tcW w:w="4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Gross profit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109,208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88,107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207,554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158,704</w:t>
            </w:r>
          </w:p>
        </w:tc>
      </w:tr>
      <w:tr>
        <w:trPr>
          <w:trHeight w:val="203"/>
        </w:trPr>
        <w:tc>
          <w:tcPr>
            <w:tcW w:w="406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0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12,668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28,258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20,246</w:t>
            </w:r>
          </w:p>
        </w:tc>
      </w:tr>
      <w:tr>
        <w:trPr>
          <w:trHeight w:val="203"/>
        </w:trPr>
        <w:tc>
          <w:tcPr>
            <w:tcW w:w="4060" w:type="dxa"/>
            <w:vAlign w:val="bottom"/>
          </w:tcPr>
          <w:p>
            <w:pPr>
              <w:ind w:left="120"/>
              <w:spacing w:after="0" w:line="202" w:lineRule="exact"/>
              <w:rPr>
                <w:sz w:val="20"/>
                <w:szCs w:val="20"/>
                <w:color w:val="auto"/>
              </w:rPr>
            </w:pPr>
            <w:r>
              <w:rPr>
                <w:rFonts w:ascii="Arial" w:cs="Arial" w:eastAsia="Arial" w:hAnsi="Arial"/>
                <w:sz w:val="18"/>
                <w:szCs w:val="18"/>
                <w:color w:val="auto"/>
              </w:rPr>
              <w:t>Sales and marketing</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24,528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20,160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47,100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37,743</w:t>
            </w:r>
          </w:p>
        </w:tc>
      </w:tr>
      <w:tr>
        <w:trPr>
          <w:trHeight w:val="203"/>
        </w:trPr>
        <w:tc>
          <w:tcPr>
            <w:tcW w:w="40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22,163</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44,871</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40,043</w:t>
            </w:r>
          </w:p>
        </w:tc>
      </w:tr>
      <w:tr>
        <w:trPr>
          <w:trHeight w:val="196"/>
        </w:trPr>
        <w:tc>
          <w:tcPr>
            <w:tcW w:w="4060" w:type="dxa"/>
            <w:vAlign w:val="bottom"/>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62,306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54,991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120,229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98,032</w:t>
            </w:r>
          </w:p>
        </w:tc>
      </w:tr>
      <w:tr>
        <w:trPr>
          <w:trHeight w:val="203"/>
        </w:trPr>
        <w:tc>
          <w:tcPr>
            <w:tcW w:w="4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income</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46,902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33,116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87,325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60,672</w:t>
            </w:r>
          </w:p>
        </w:tc>
      </w:tr>
      <w:tr>
        <w:trPr>
          <w:trHeight w:val="203"/>
        </w:trPr>
        <w:tc>
          <w:tcPr>
            <w:tcW w:w="4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(expense) income, net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406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(2,776)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(3,927)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(5,421)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(8,096)</w:t>
            </w:r>
          </w:p>
        </w:tc>
      </w:tr>
      <w:tr>
        <w:trPr>
          <w:trHeight w:val="196"/>
        </w:trPr>
        <w:tc>
          <w:tcPr>
            <w:tcW w:w="40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before provision for income taxes</w:t>
            </w: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44,095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29,231</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81,875</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52,616</w:t>
            </w:r>
          </w:p>
        </w:tc>
      </w:tr>
      <w:tr>
        <w:trPr>
          <w:trHeight w:val="203"/>
        </w:trPr>
        <w:tc>
          <w:tcPr>
            <w:tcW w:w="406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(9,795)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(5,700)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(18,090)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(7,600)</w:t>
            </w:r>
          </w:p>
        </w:tc>
      </w:tr>
      <w:tr>
        <w:trPr>
          <w:trHeight w:val="196"/>
        </w:trPr>
        <w:tc>
          <w:tcPr>
            <w:tcW w:w="40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23,531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63,785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45,016</w:t>
            </w:r>
          </w:p>
        </w:tc>
      </w:tr>
      <w:tr>
        <w:trPr>
          <w:trHeight w:val="20"/>
        </w:trPr>
        <w:tc>
          <w:tcPr>
            <w:tcW w:w="4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w:t>
      </w:r>
    </w:p>
    <w:p>
      <w:pPr>
        <w:spacing w:after="0" w:line="222"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Net product revenue increased by $27.2 million, or 25.4%, for the three months ended June 30, 2023 and increased by $61.0 million, or 31.7%, for the six months ended June 30, 2023, compared to the same periods in 2022. The increase in both comparable periods was due to the growth in the average number of patients on WAKIX, and price increases. The average number of patients increased from 4,300 for the three months ended June 30, 2022 to 5,450 for the three months ended June 30, 2023.</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Sales</w:t>
      </w:r>
    </w:p>
    <w:p>
      <w:pPr>
        <w:spacing w:after="0" w:line="222"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Cost of product sales increased by $6.1 million, or 32.2%, for the three months ended June 30, 2023 and increased by $12.2 million, or 36.1%, for the six months ended June 30, 2023, compared to the same periods in 2022. The increase in both comparable periods was due to higher sales of WAKIX. Cost of product sales is primarily comprised of the royalty to Bioprojet.</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Research and development expenses increased by $2.3 million, or 18.2%, for the three months ended June 30, 2023 and increased by $8.0 million, or 39.6%, for the six months ended June 30, 2023, compared to the same periods in 2022. The increase for the three months ended June 30, 2023 was primarily driven by increased clinical development work associated with IH, PWS and DM. The increase for the six months ended June 30, 2023 was primarily driven by increased clinical development work associated with IH, PWS and DM, an IPR&amp;D charge related milestone related to preclinical milestones achieved for HBS-102 and increased personnel costs.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Marketing Expenses</w:t>
      </w:r>
    </w:p>
    <w:p>
      <w:pPr>
        <w:spacing w:after="0" w:line="22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Sales and marketing expenses increased by $ 4.4 million, or 21.7%, for the three months ended June 30, 2023, and increased by $9.4 million, or 24.8%, for the six months ended June 30, 2023, compared to the same periods in 2022. The increase in both comparable periods was primarily due to patient engagement and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both"/>
        <w:ind w:left="60" w:right="59"/>
        <w:spacing w:after="0" w:line="260" w:lineRule="auto"/>
        <w:rPr>
          <w:sz w:val="20"/>
          <w:szCs w:val="20"/>
          <w:color w:val="auto"/>
        </w:rPr>
      </w:pPr>
      <w:r>
        <w:rPr>
          <w:rFonts w:ascii="Arial" w:cs="Arial" w:eastAsia="Arial" w:hAnsi="Arial"/>
          <w:sz w:val="18"/>
          <w:szCs w:val="18"/>
          <w:color w:val="auto"/>
        </w:rPr>
        <w:t>marketing activities driven by our commercialization of WAKIX and increased personnel costs related to sales force expansion.</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General and administrative expenses increased by $0.6 million, or 2.9%, for the three months ended June 30, 2023 and increased by $4.8 million, or 12.1%, for the six months ended June 30, 2023, as compared to the same periods in 2022. The increase in the six months ended June 30, 2023 was primarily due to an increase to stock compensation associated with new awards, an increase in personnel cost, and an increase in intangible asset amortization as a result of the $40.0 million milestone payment in March 2022 upon attaining $500.0 million in life-to-date aggregate net sales of WAKIX in the United States.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 Net</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Interest expense, net decreased by $1.2 million, or 29.3%, for the three months ended June 30, 2023 and decreased by $2.7 million, or 33.0%, for the six months ended June 30, 2023, compared to the same periods in 2022 primarily due to interest income generated from our investments and cash equivalents, partially offset by higher interest rates on our debt as a result of the increase to the LIBOR. Interest income generated from our investments and cash equivalents, which is included in interest expense, net, was $2.7 million and $5.2 million for the three and six months ended June 30, 2023, respectively, compared to $0.2 million and $0.3 million for the three and six months ended June 30, 2022, respectively.</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2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Income tax expense was $9.8 million, representing a 22.2% effective tax rate, for the three months ended June 30, 2023, and $5.7 million, or an effective tax rate of 19.5%, as compared to the same periods in 2022. Income tax expense was $ 18.1 million, representing a 22.1% effective tax rate, for the six months ended June 30, 2023, and $7.6 million, or an effective tax rate of 14.4%, as compared to the same periods in 2022. The increase in our effective tax rate for both comparable periods was primarily driven by the utilization of net operating loss (“NOL”) carryforwards during 2022, which reduced our effective rate tax in the prior year. We have utilized all of our federal NOL carryforwards as of December 31, 2022, and the utilization of state NOL carryforwards may be subject to a substantial limitation due to state provisions. The effective tax rate of 22.1% for the six months ended June 30, 2023 included 5.1% for the provision of state income taxes, partially offset by a tax windfall benefit of 1.5% from the exercise of stock options and a 2.9% benefit from credits.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Sources of Funding and Capital Resources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22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To date, we have financed our operations primarily with (a) proceeds from sales of our convertible preferred stock; (b) borrowings under our debt agreements; (c) the proceeds from our IPO; and (d) the proceeds from the sale of common stock to Blackstone. From our inception through our IPO, we received aggregate proceeds of $ 345.0 million from sales of our convertible preferred stock. In August 2020, we completed the IPO of our common stock, in which we sold 6,151,162 shares of our common stock, including 802,325 shares of our common stock pursuant to the underwriters’ over-allotment option. The shares were sold at a price of $24.00 per share for net proceeds of approximately $135.4 million. As of June 30, 2023, we had cash, cash equivalents, restricted cash and investments of $429.9 million and an accumulated deficit of $208.3 million. As of June 30, 2023, we had outstanding debt of $196.5 million.</w:t>
      </w:r>
    </w:p>
    <w:p>
      <w:pPr>
        <w:spacing w:after="0" w:line="191"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We have invested a portion of our available cash in money market funds, U.S. government and agency securities, corporate bonds and commercial paper in accordance with our investment policy. Our investment policy defines allowable investments and establishes guidelines relating to credit quality, diversification, and maturities of our investments to preserve principal and maintain liquidity. All investment securities have a credit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both"/>
        <w:ind w:left="60" w:right="59"/>
        <w:spacing w:after="0" w:line="260" w:lineRule="auto"/>
        <w:rPr>
          <w:sz w:val="20"/>
          <w:szCs w:val="20"/>
          <w:color w:val="auto"/>
        </w:rPr>
      </w:pPr>
      <w:r>
        <w:rPr>
          <w:rFonts w:ascii="Arial" w:cs="Arial" w:eastAsia="Arial" w:hAnsi="Arial"/>
          <w:sz w:val="18"/>
          <w:szCs w:val="18"/>
          <w:color w:val="auto"/>
        </w:rPr>
        <w:t>rating of at least A-2/P-2/F2 from at least two National Recognized Statistical Rating Organizations. Our investment portfolio may be adversely impacted by future disruptions in the credit markets.</w:t>
      </w:r>
    </w:p>
    <w:p>
      <w:pPr>
        <w:spacing w:after="0" w:line="173"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unaudited condensed consolidated financial statements have been prepared as though we will continue as a going concern, which contemplates the realization of assets and satisfaction of liabilities in the normal course of business.</w:t>
      </w:r>
    </w:p>
    <w:p>
      <w:pPr>
        <w:spacing w:after="0" w:line="184"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We believe that our existing cash, cash equivalents and investments on hand as of June 30, 2023, will enable us to meet our operational liquidity needs and fund our planned investing activities for the next 12 months. We have based our liquidity and cash flow projections on assumptions that may prove to be incorrect, and we could use our capital resources sooner than we expect.</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Blackstone Credit Agreement</w:t>
      </w:r>
    </w:p>
    <w:p>
      <w:pPr>
        <w:spacing w:after="0" w:line="22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August 2021, we entered into the Blackstone Credit Agreement that provided for (i) a senior secured term loan facility in an aggregate original principal amount of $200.0 million (the “Initial Term Loan”) and (ii) a senior secured delayed draw term loan facility in an aggregate principal amount up to $100.0 million (the “DDTL” and, together with the Initial Term Loans, the “Loans”). The DDTL was initially available to draw down through August 9, 2022. In August 2022, we entered into an agreement to extend the expiration date of the DDTL to August 9, 2023, for which we will pay a ticking fee at a rate of 1% per annum on the undrawn portion of the DDTL, which commenced on August 10, 2022. We used substantially all of the proceeds from the Blackstone Credit Agreement, and the related sale of our common stock, to repay the balance of the OrbiMed Credit Agreement.</w:t>
      </w:r>
    </w:p>
    <w:p>
      <w:pPr>
        <w:spacing w:after="0" w:line="191"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repayment schedule for the Initial Term Loan consists of quarterly $0.5 million principal payments, which commenced on December 31, 2021 and increases to quarterly $5.0 million payments beginning on March 31, 2024, with a $145.5 million payment due on the maturity date of August 9, 2026 (“Maturity Date”). Interest is payable quarterly commencing on November 9, 2021 and continuing through the Maturity Date. The Initial Term Loan bears interest at a per annum rate equal to LIBOR, subject to a 1.00% floor, plus 6.50%. The Loans are guaranteed by our subsidiary Harmony Biosciences, LLC.</w:t>
      </w:r>
    </w:p>
    <w:p>
      <w:pPr>
        <w:spacing w:after="0" w:line="194"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Blackstone Credit Agreement contains affirmative and negative covenants, including limitations on our ability, among other things, to incur additional debt, grant or permit additional liens, make investments and acquisitions, merge or consolidate with others, dispose of assets, pay dividends and distributions and enter into affiliate transactions, in each case, subject to certain exceptions. In addition, the Blackstone Credit Agreement contains a financial covenant that requires us to maintain at all times cash and cash equivalents in certain deposit accounts in an amount at least equal to $10.0 million. We were in compliance with all covenants as of June 30, 2023.</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Agreement Related to Intellectual Property</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August 2021, we entered into the APA to acquire HBS-102, a potential first-in-class molecule with a novel mechanism of action. Under the terms of the agreement, we acquired full development and commercialization rights globally, with the exception of Greater China, for $3.5 million. Additionally, there are payments due upon the achievement of certain milestones, including $1.0 million for additional preclinical milestones (see “Recent Milestone Payment”), $19.0 million for development milestones, $44.0 million for regulatory milestones and $110.0 million for sales milestones.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License Agreement</w:t>
      </w:r>
    </w:p>
    <w:p>
      <w:pPr>
        <w:spacing w:after="0" w:line="222"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In July 2022, we entered into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We paid an initial, non-refundable $30.0 million licensing fee in October 2022 and additional payments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of up to $155.0 million are potentially due under the 2022 LCA upon the achievement of certain future development and sales-based milestones. In addition, certain payments will become due upon the achievement of development milestones for new indications and formulations as agreed upon by both parties. The 2022 LCA also includes a fixed trademark royalty and a tiered royalty based on net sales of any new products commercialized, which will be payable to Bioprojet on a quarterly basis.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Milestone Payments</w:t>
      </w:r>
    </w:p>
    <w:p>
      <w:pPr>
        <w:spacing w:after="0" w:line="222"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In March 2023, we achieved a preclinical milestone, which triggered a $0.8 million payment under the provisions of the APA, which was paid in April 2023.</w:t>
      </w:r>
    </w:p>
    <w:p>
      <w:pPr>
        <w:spacing w:after="0" w:line="173"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In March 2022, we made a final $40.0 million milestone payment to Bioprojet upon WAKIX attaining $500.0 million in life-to-date aggregate net sales in the United States.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22" w:lineRule="exact"/>
        <w:rPr>
          <w:sz w:val="20"/>
          <w:szCs w:val="20"/>
          <w:color w:val="auto"/>
        </w:rPr>
      </w:pPr>
    </w:p>
    <w:p>
      <w:pPr>
        <w:ind w:left="60" w:right="299" w:firstLine="648"/>
        <w:spacing w:after="0" w:line="260" w:lineRule="auto"/>
        <w:rPr>
          <w:sz w:val="20"/>
          <w:szCs w:val="20"/>
          <w:color w:val="auto"/>
        </w:rPr>
      </w:pPr>
      <w:r>
        <w:rPr>
          <w:rFonts w:ascii="Arial" w:cs="Arial" w:eastAsia="Arial" w:hAnsi="Arial"/>
          <w:sz w:val="18"/>
          <w:szCs w:val="18"/>
          <w:color w:val="auto"/>
        </w:rPr>
        <w:t>The following table sets forth a summary of our cash flows for the three months ended June 30, 2023 and 2022:</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6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Selected cash flow data</w:t>
            </w: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66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(In</w:t>
            </w:r>
          </w:p>
        </w:tc>
        <w:tc>
          <w:tcPr>
            <w:tcW w:w="1260" w:type="dxa"/>
            <w:vAlign w:val="bottom"/>
            <w:gridSpan w:val="3"/>
          </w:tcPr>
          <w:p>
            <w:pPr>
              <w:jc w:val="right"/>
              <w:ind w:right="575"/>
              <w:spacing w:after="0" w:line="142" w:lineRule="exact"/>
              <w:rPr>
                <w:sz w:val="20"/>
                <w:szCs w:val="20"/>
                <w:color w:val="auto"/>
              </w:rPr>
            </w:pPr>
            <w:r>
              <w:rPr>
                <w:rFonts w:ascii="Arial" w:cs="Arial" w:eastAsia="Arial" w:hAnsi="Arial"/>
                <w:sz w:val="14"/>
                <w:szCs w:val="14"/>
                <w:b w:val="1"/>
                <w:bCs w:val="1"/>
                <w:color w:val="auto"/>
                <w:w w:val="76"/>
              </w:rPr>
              <w:t>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Cash provided by (used in):</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79,622</w:t>
            </w:r>
          </w:p>
        </w:tc>
        <w:tc>
          <w:tcPr>
            <w:tcW w:w="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62,583</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6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(9,561)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(62,492)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0" w:type="dxa"/>
            <w:vAlign w:val="bottom"/>
            <w:gridSpan w:val="2"/>
          </w:tcPr>
          <w:p>
            <w:pPr>
              <w:ind w:left="10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Activities</w:t>
      </w:r>
    </w:p>
    <w:p>
      <w:pPr>
        <w:spacing w:after="0" w:line="222"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Net cash provided by operating activities for the six months ended June 30, 2023 consisted of our net income of $63.8 million adjusted for non-cash items of $7.6 million related to deferred tax assets, $12.1 million related to intangible amortization and depreciation and $14.4 million related to stock-based compensation expense. Net working capital excluding cash decreased by $3.3 million.</w:t>
      </w:r>
    </w:p>
    <w:p>
      <w:pPr>
        <w:spacing w:after="0" w:line="188"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Net cash provided by operating activities for the six months ended June 30, 2022 consisted of our net income of $ 45.0 million adjusted for non-cash items of $11.3 million related to intangible amortization and depreciation and $ 12.3 million related to stock-based compensation expense. Net working capital excluding cash decreased by $7.5 million.</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Investing Activities</w:t>
      </w:r>
    </w:p>
    <w:p>
      <w:pPr>
        <w:spacing w:after="0" w:line="22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used in investing activities for the six months ended June 30, 2023 was $9.6 million, which was primarily attributable to $72.8 million in purchases of debt securities, partially offset by $63.5 million in proceeds from sales and maturities of investments and $0.2 million in purchases of property and equipment.</w:t>
      </w:r>
    </w:p>
    <w:p>
      <w:pPr>
        <w:spacing w:after="0" w:line="18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used in investing activities for the six months ended June 30, 2022 was $62.5 million, which was primarily attributable to a final $40.0 million milestone payment associated with the 2017 LCA and $22.4 million in purchases of debt securities.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Financing Activities</w:t>
      </w:r>
    </w:p>
    <w:p>
      <w:pPr>
        <w:spacing w:after="0" w:line="222"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Net cash provided by financing activities for the six months ended June 30, 2023 was $3.0 million, which primarily consisted of $4.6 million in proceeds from exercised options offset by a $1.0 million principal</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both"/>
        <w:ind w:left="60" w:right="59"/>
        <w:spacing w:after="0" w:line="260" w:lineRule="auto"/>
        <w:rPr>
          <w:sz w:val="20"/>
          <w:szCs w:val="20"/>
          <w:color w:val="auto"/>
        </w:rPr>
      </w:pPr>
      <w:r>
        <w:rPr>
          <w:rFonts w:ascii="Arial" w:cs="Arial" w:eastAsia="Arial" w:hAnsi="Arial"/>
          <w:sz w:val="18"/>
          <w:szCs w:val="18"/>
          <w:color w:val="auto"/>
        </w:rPr>
        <w:t>payment associated with the Blackstone Credit Agreement and $0.5 million of employee withholding tax payments related to stock-based awards.</w:t>
      </w:r>
    </w:p>
    <w:p>
      <w:pPr>
        <w:spacing w:after="0" w:line="173"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provided by financing activities for the six months ended June 30, 2022 was $2.1 million, which primarily consisted of $3.1 million in proceeds from exercised options offset by $1.0 million in principal payments associated with the Blackstone Credit Agreement.</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Critical Accounting Estimates</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or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spacing w:after="0" w:line="191"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Significant estimates include assumptions used in the determination of the amount of revenue recognized on sales of WAKIX, our costs incurred under services type agreements related to the performance of research and development activities, and the measurement of compensation expense pursuant to stock-based awards. We base our estimates on contractual terms,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1"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define our critical accounting policies as those under GAAP that require us to make subjective estimates and judgments about matters that are uncertain and are likely to have a material impact on our financial condition and results of operations, as well as the specific manner in which we apply those principles. During the quarter covered by this report, there were no material changes to the accounting policies and assumptions previously disclosed, except as disclosed in Note 3 to the unaudited condensed consolidated financial statements contained herein.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2" w:lineRule="exact"/>
        <w:rPr>
          <w:sz w:val="20"/>
          <w:szCs w:val="20"/>
          <w:color w:val="auto"/>
        </w:rPr>
      </w:pPr>
    </w:p>
    <w:p>
      <w:pPr>
        <w:ind w:left="60" w:right="699" w:firstLine="648"/>
        <w:spacing w:after="0" w:line="260" w:lineRule="auto"/>
        <w:rPr>
          <w:sz w:val="20"/>
          <w:szCs w:val="20"/>
          <w:color w:val="auto"/>
        </w:rPr>
      </w:pPr>
      <w:r>
        <w:rPr>
          <w:rFonts w:ascii="Arial" w:cs="Arial" w:eastAsia="Arial" w:hAnsi="Arial"/>
          <w:sz w:val="18"/>
          <w:szCs w:val="18"/>
          <w:color w:val="auto"/>
        </w:rPr>
        <w:t>See Note 3 to our unaudited condensed consolidated financial statements for recent accounting pronouncements.</w:t>
      </w: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Rate Fluctuation Risk</w:t>
      </w:r>
    </w:p>
    <w:p>
      <w:pPr>
        <w:spacing w:after="0" w:line="22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are exposed to market risk related to changes in interest rates. We invest a portion of our cash in investment-grade, interest-bearing securities. The primary objectives of our investment activities are to preserve principal, maintain liquidity and maximize total return. In order to achieve these objectives, we invest in money market funds, U.S. government and agency securities, corporate bonds and commercial paper in accordance with our investment policy. Our investment policy defines allowable investments and establishes guidelines relating to credit quality, diversification, and maturities of our investments to preserve principal and maintain liquidity. All investment securities have a credit rating of at least A-2/P-2/F2 from at least two National Recognized Statistical Rating Organizations. We do not have any direct investments in asset-backed securities, collateralized debt or loan obligations, or structured investment vehicles. Our primary exposure to market risk is interest income sensitivity, which is affected by changes in the general level of U.S. interest rates. Based on our $348.0 million of investments in money market funds, U.S. treasury notes, corporate bonds and municipal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both"/>
        <w:ind w:left="60" w:right="59"/>
        <w:spacing w:after="0" w:line="260" w:lineRule="auto"/>
        <w:rPr>
          <w:sz w:val="20"/>
          <w:szCs w:val="20"/>
          <w:color w:val="auto"/>
        </w:rPr>
      </w:pPr>
      <w:r>
        <w:rPr>
          <w:rFonts w:ascii="Arial" w:cs="Arial" w:eastAsia="Arial" w:hAnsi="Arial"/>
          <w:sz w:val="18"/>
          <w:szCs w:val="18"/>
          <w:color w:val="auto"/>
        </w:rPr>
        <w:t>obligations as of June 30, 2023, an immediate 10% change in market interest rates would not have a material impact on the fair market value of our investment portfolio or on our financial position or results of operations.</w:t>
      </w:r>
    </w:p>
    <w:p>
      <w:pPr>
        <w:spacing w:after="0" w:line="173"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As of June 30, 2023, we had $196.5 million in borrowings outstanding. The Initial Term Loan bears interest at an interest rate equal to LIBOR (subject to a 1.00% floor) plus 6.50%. Based on the $196.5 million of principal outstanding as of June 30, 2023, an immediate 10% change in the LIBOR would not have a material impact on our debt-related obligations, financial position or results of operations.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Foreign Currency Fluctuation Risk</w:t>
      </w:r>
    </w:p>
    <w:p>
      <w:pPr>
        <w:spacing w:after="0" w:line="22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have contracted with and may continue to contract with foreign vendors that are located in Europe. Our operations may be subject to fluctuations in foreign currency exchange rates in the future.</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Inflation Fluctuation Risk</w:t>
      </w:r>
    </w:p>
    <w:p>
      <w:pPr>
        <w:spacing w:after="0" w:line="22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for each of the three and six months ended June 30, 2023 and 2022.</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Our management, including our principal executive officer and our principal financial officer, has evaluated the effectiveness of our disclosure controls and procedures, as defined in Rules 13a-15(e) and 15d-15(e) under the Exchange Act, as of June 30, 2023. Based on that evaluation, our principal executive officer and principal financial officer concluded that, as of June 30, 2023, our disclosure controls and procedures were effective to provide reasonable assurance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2023 that have materially affected, or are reasonably likely to materially affect, our internal control over financial reporting.</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r>
        <w:rPr>
          <w:rFonts w:ascii="Arial" w:cs="Arial" w:eastAsia="Arial" w:hAnsi="Arial"/>
          <w:sz w:val="18"/>
          <w:szCs w:val="18"/>
          <w:b w:val="1"/>
          <w:bCs w:val="1"/>
          <w:i w:val="1"/>
          <w:iCs w:val="1"/>
          <w:color w:val="auto"/>
        </w:rPr>
        <w:t>.</w:t>
      </w:r>
    </w:p>
    <w:p>
      <w:pPr>
        <w:spacing w:after="0" w:line="222"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addition to the other information included in this report, you should carefully consider the discussion of risk factors affecting the Company as set forth in Part I, Item 1A "Risk Factors” included in our Annual Report on Form 10-K for the year ended December 31, 2022, which could materially affect our business, financial condition or future results. The risks described in these reports are not the only risks facing the Company. Additional risks and uncertainties not currently known to us or that we currently deem to be immaterial may also materially adversely affect our business, financial condition, and operating results.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r>
        <w:rPr>
          <w:rFonts w:ascii="Arial" w:cs="Arial" w:eastAsia="Arial" w:hAnsi="Arial"/>
          <w:sz w:val="18"/>
          <w:szCs w:val="18"/>
          <w:b w:val="1"/>
          <w:bCs w:val="1"/>
          <w:i w:val="1"/>
          <w:iCs w:val="1"/>
          <w:color w:val="auto"/>
        </w:rPr>
        <w:t>.</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000" w:type="dxa"/>
            <w:vAlign w:val="bottom"/>
          </w:tcPr>
          <w:p>
            <w:pPr>
              <w:jc w:val="right"/>
              <w:ind w:right="173"/>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55"/>
        </w:trPr>
        <w:tc>
          <w:tcPr>
            <w:tcW w:w="100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0" w:type="dxa"/>
            <w:vAlign w:val="bottom"/>
            <w:gridSpan w:val="16"/>
          </w:tcPr>
          <w:p>
            <w:pPr>
              <w:ind w:left="660"/>
              <w:spacing w:after="0" w:line="155" w:lineRule="exact"/>
              <w:rPr>
                <w:sz w:val="20"/>
                <w:szCs w:val="20"/>
                <w:color w:val="auto"/>
              </w:rPr>
            </w:pPr>
            <w:r>
              <w:rPr>
                <w:rFonts w:ascii="Arial" w:cs="Arial" w:eastAsia="Arial" w:hAnsi="Arial"/>
                <w:sz w:val="14"/>
                <w:szCs w:val="14"/>
                <w:b w:val="1"/>
                <w:bCs w:val="1"/>
                <w:color w:val="auto"/>
              </w:rPr>
              <w:t>Exhibit Description</w:t>
            </w:r>
          </w:p>
        </w:tc>
        <w:tc>
          <w:tcPr>
            <w:tcW w:w="560" w:type="dxa"/>
            <w:vAlign w:val="bottom"/>
          </w:tcPr>
          <w:p>
            <w:pPr>
              <w:jc w:val="center"/>
              <w:ind w:left="75"/>
              <w:spacing w:after="0" w:line="155" w:lineRule="exact"/>
              <w:rPr>
                <w:sz w:val="20"/>
                <w:szCs w:val="20"/>
                <w:color w:val="auto"/>
              </w:rPr>
            </w:pPr>
            <w:r>
              <w:rPr>
                <w:rFonts w:ascii="Arial" w:cs="Arial" w:eastAsia="Arial" w:hAnsi="Arial"/>
                <w:sz w:val="14"/>
                <w:szCs w:val="14"/>
                <w:b w:val="1"/>
                <w:bCs w:val="1"/>
                <w:color w:val="auto"/>
              </w:rPr>
              <w:t>Form</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Date</w:t>
            </w:r>
          </w:p>
        </w:tc>
        <w:tc>
          <w:tcPr>
            <w:tcW w:w="82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1000" w:type="dxa"/>
            <w:vAlign w:val="bottom"/>
            <w:tcBorders>
              <w:top w:val="single" w:sz="8" w:color="auto"/>
            </w:tcBorders>
          </w:tcPr>
          <w:p>
            <w:pPr>
              <w:jc w:val="right"/>
              <w:ind w:right="353"/>
              <w:spacing w:after="0" w:line="169"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240" w:type="dxa"/>
            <w:vAlign w:val="bottom"/>
            <w:tcBorders>
              <w:top w:val="single" w:sz="8" w:color="auto"/>
              <w:bottom w:val="single" w:sz="8" w:color="0000EE"/>
            </w:tcBorders>
            <w:gridSpan w:val="12"/>
          </w:tcPr>
          <w:p>
            <w:pPr>
              <w:spacing w:after="0" w:line="169" w:lineRule="exact"/>
              <w:rPr>
                <w:rFonts w:ascii="Arial" w:cs="Arial" w:eastAsia="Arial" w:hAnsi="Arial"/>
                <w:sz w:val="18"/>
                <w:szCs w:val="18"/>
                <w:color w:val="0000EE"/>
                <w:w w:val="99"/>
              </w:rPr>
            </w:pPr>
            <w:hyperlink r:id="rId46">
              <w:r>
                <w:rPr>
                  <w:rFonts w:ascii="Arial" w:cs="Arial" w:eastAsia="Arial" w:hAnsi="Arial"/>
                  <w:sz w:val="18"/>
                  <w:szCs w:val="18"/>
                  <w:color w:val="0000EE"/>
                  <w:w w:val="99"/>
                </w:rPr>
                <w:t>Amended and Restated Certificate of Incorporation of</w:t>
              </w:r>
            </w:hyperlink>
          </w:p>
        </w:tc>
        <w:tc>
          <w:tcPr>
            <w:tcW w:w="360" w:type="dxa"/>
            <w:vAlign w:val="bottom"/>
            <w:tcBorders>
              <w:top w:val="single" w:sz="8" w:color="auto"/>
            </w:tcBorders>
            <w:gridSpan w:val="4"/>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top w:val="single" w:sz="8" w:color="auto"/>
            </w:tcBorders>
          </w:tcPr>
          <w:p>
            <w:pPr>
              <w:jc w:val="center"/>
              <w:ind w:left="75"/>
              <w:spacing w:after="0" w:line="169" w:lineRule="exact"/>
              <w:rPr>
                <w:sz w:val="20"/>
                <w:szCs w:val="20"/>
                <w:color w:val="auto"/>
              </w:rPr>
            </w:pPr>
            <w:r>
              <w:rPr>
                <w:rFonts w:ascii="Arial" w:cs="Arial" w:eastAsia="Arial" w:hAnsi="Arial"/>
                <w:sz w:val="18"/>
                <w:szCs w:val="18"/>
                <w:color w:val="auto"/>
                <w:w w:val="99"/>
              </w:rPr>
              <w:t>8-K</w:t>
            </w:r>
          </w:p>
        </w:tc>
        <w:tc>
          <w:tcPr>
            <w:tcW w:w="1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August 21,</w:t>
            </w:r>
          </w:p>
        </w:tc>
        <w:tc>
          <w:tcPr>
            <w:tcW w:w="820" w:type="dxa"/>
            <w:vAlign w:val="bottom"/>
          </w:tcPr>
          <w:p>
            <w:pPr>
              <w:jc w:val="center"/>
              <w:ind w:left="75"/>
              <w:spacing w:after="0" w:line="169"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0" w:type="dxa"/>
            <w:vAlign w:val="bottom"/>
            <w:gridSpan w:val="18"/>
          </w:tcPr>
          <w:p>
            <w:pPr>
              <w:spacing w:after="0" w:line="169" w:lineRule="exact"/>
              <w:rPr>
                <w:rFonts w:ascii="Arial" w:cs="Arial" w:eastAsia="Arial" w:hAnsi="Arial"/>
                <w:sz w:val="18"/>
                <w:szCs w:val="18"/>
                <w:color w:val="0000EE"/>
              </w:rPr>
            </w:pPr>
            <w:hyperlink r:id="rId46">
              <w:r>
                <w:rPr>
                  <w:rFonts w:ascii="Arial" w:cs="Arial" w:eastAsia="Arial" w:hAnsi="Arial"/>
                  <w:sz w:val="18"/>
                  <w:szCs w:val="18"/>
                  <w:color w:val="0000EE"/>
                </w:rPr>
                <w:t>Harmony Biosciences Holdings, Inc.</w:t>
              </w:r>
            </w:hyperlink>
          </w:p>
        </w:tc>
        <w:tc>
          <w:tcPr>
            <w:tcW w:w="560" w:type="dxa"/>
            <w:vAlign w:val="bottom"/>
          </w:tcPr>
          <w:p>
            <w:pPr>
              <w:spacing w:after="0"/>
              <w:rPr>
                <w:sz w:val="15"/>
                <w:szCs w:val="15"/>
                <w:color w:val="auto"/>
              </w:rPr>
            </w:pPr>
          </w:p>
        </w:tc>
        <w:tc>
          <w:tcPr>
            <w:tcW w:w="1580" w:type="dxa"/>
            <w:vAlign w:val="bottom"/>
            <w:gridSpan w:val="3"/>
          </w:tcPr>
          <w:p>
            <w:pPr>
              <w:jc w:val="center"/>
              <w:ind w:left="256"/>
              <w:spacing w:after="0" w:line="169" w:lineRule="exact"/>
              <w:rPr>
                <w:sz w:val="20"/>
                <w:szCs w:val="20"/>
                <w:color w:val="auto"/>
              </w:rPr>
            </w:pPr>
            <w:r>
              <w:rPr>
                <w:rFonts w:ascii="Arial" w:cs="Arial" w:eastAsia="Arial" w:hAnsi="Arial"/>
                <w:sz w:val="18"/>
                <w:szCs w:val="18"/>
                <w:color w:val="auto"/>
                <w:w w:val="99"/>
              </w:rPr>
              <w:t>2020</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right"/>
              <w:ind w:right="353"/>
              <w:spacing w:after="0" w:line="196"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28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Amended and Restated Bylaws.</w:t>
              </w:r>
            </w:hyperlink>
          </w:p>
        </w:tc>
        <w:tc>
          <w:tcPr>
            <w:tcW w:w="1920" w:type="dxa"/>
            <w:vAlign w:val="bottom"/>
            <w:gridSpan w:val="13"/>
          </w:tcPr>
          <w:p>
            <w:pPr>
              <w:spacing w:after="0"/>
              <w:rPr>
                <w:sz w:val="17"/>
                <w:szCs w:val="17"/>
                <w:color w:val="auto"/>
              </w:rPr>
            </w:pPr>
          </w:p>
        </w:tc>
        <w:tc>
          <w:tcPr>
            <w:tcW w:w="560" w:type="dxa"/>
            <w:vAlign w:val="bottom"/>
          </w:tcPr>
          <w:p>
            <w:pPr>
              <w:jc w:val="center"/>
              <w:ind w:left="75"/>
              <w:spacing w:after="0" w:line="196" w:lineRule="exact"/>
              <w:rPr>
                <w:sz w:val="20"/>
                <w:szCs w:val="20"/>
                <w:color w:val="auto"/>
              </w:rPr>
            </w:pPr>
            <w:r>
              <w:rPr>
                <w:rFonts w:ascii="Arial" w:cs="Arial" w:eastAsia="Arial" w:hAnsi="Arial"/>
                <w:sz w:val="18"/>
                <w:szCs w:val="18"/>
                <w:color w:val="auto"/>
                <w:w w:val="99"/>
              </w:rPr>
              <w:t>8-K</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9"/>
              </w:rPr>
              <w:t>August 21,</w:t>
            </w:r>
          </w:p>
        </w:tc>
        <w:tc>
          <w:tcPr>
            <w:tcW w:w="820" w:type="dxa"/>
            <w:vAlign w:val="bottom"/>
          </w:tcPr>
          <w:p>
            <w:pPr>
              <w:jc w:val="center"/>
              <w:ind w:left="75"/>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3"/>
          </w:tcPr>
          <w:p>
            <w:pPr>
              <w:jc w:val="center"/>
              <w:ind w:left="256"/>
              <w:spacing w:after="0"/>
              <w:rPr>
                <w:sz w:val="20"/>
                <w:szCs w:val="20"/>
                <w:color w:val="auto"/>
              </w:rPr>
            </w:pPr>
            <w:r>
              <w:rPr>
                <w:rFonts w:ascii="Arial" w:cs="Arial" w:eastAsia="Arial" w:hAnsi="Arial"/>
                <w:sz w:val="18"/>
                <w:szCs w:val="18"/>
                <w:color w:val="auto"/>
                <w:w w:val="99"/>
              </w:rPr>
              <w:t>2020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000" w:type="dxa"/>
            <w:vAlign w:val="bottom"/>
          </w:tcPr>
          <w:p>
            <w:pPr>
              <w:jc w:val="right"/>
              <w:ind w:right="353"/>
              <w:spacing w:after="0" w:line="189"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6"/>
                <w:szCs w:val="16"/>
                <w:color w:val="auto"/>
              </w:rPr>
            </w:pPr>
          </w:p>
        </w:tc>
        <w:tc>
          <w:tcPr>
            <w:tcW w:w="4460" w:type="dxa"/>
            <w:vAlign w:val="bottom"/>
            <w:tcBorders>
              <w:bottom w:val="single" w:sz="8" w:color="0000EE"/>
            </w:tcBorders>
            <w:gridSpan w:val="14"/>
          </w:tcPr>
          <w:p>
            <w:pPr>
              <w:spacing w:after="0" w:line="189" w:lineRule="exact"/>
              <w:rPr>
                <w:rFonts w:ascii="Arial" w:cs="Arial" w:eastAsia="Arial" w:hAnsi="Arial"/>
                <w:sz w:val="18"/>
                <w:szCs w:val="18"/>
                <w:color w:val="0000EE"/>
                <w:w w:val="99"/>
              </w:rPr>
            </w:pPr>
            <w:hyperlink r:id="rId48">
              <w:r>
                <w:rPr>
                  <w:rFonts w:ascii="Arial" w:cs="Arial" w:eastAsia="Arial" w:hAnsi="Arial"/>
                  <w:sz w:val="18"/>
                  <w:szCs w:val="18"/>
                  <w:color w:val="0000EE"/>
                  <w:w w:val="99"/>
                </w:rPr>
                <w:t>Executive Employment Agreement dated April 24, 2023,</w:t>
              </w:r>
            </w:hyperlink>
          </w:p>
        </w:tc>
        <w:tc>
          <w:tcPr>
            <w:tcW w:w="340" w:type="dxa"/>
            <w:vAlign w:val="bottom"/>
            <w:gridSpan w:val="4"/>
          </w:tcPr>
          <w:p>
            <w:pPr>
              <w:spacing w:after="0"/>
              <w:rPr>
                <w:sz w:val="16"/>
                <w:szCs w:val="16"/>
                <w:color w:val="auto"/>
              </w:rPr>
            </w:pPr>
          </w:p>
        </w:tc>
        <w:tc>
          <w:tcPr>
            <w:tcW w:w="560" w:type="dxa"/>
            <w:vAlign w:val="bottom"/>
          </w:tcPr>
          <w:p>
            <w:pPr>
              <w:jc w:val="center"/>
              <w:ind w:left="75"/>
              <w:spacing w:after="0" w:line="189" w:lineRule="exact"/>
              <w:rPr>
                <w:sz w:val="20"/>
                <w:szCs w:val="20"/>
                <w:color w:val="auto"/>
              </w:rPr>
            </w:pPr>
            <w:r>
              <w:rPr>
                <w:rFonts w:ascii="Arial" w:cs="Arial" w:eastAsia="Arial" w:hAnsi="Arial"/>
                <w:sz w:val="18"/>
                <w:szCs w:val="18"/>
                <w:color w:val="auto"/>
                <w:w w:val="99"/>
              </w:rPr>
              <w:t>8-K</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spacing w:after="0" w:line="189" w:lineRule="exact"/>
              <w:rPr>
                <w:sz w:val="20"/>
                <w:szCs w:val="20"/>
                <w:color w:val="auto"/>
              </w:rPr>
            </w:pPr>
            <w:r>
              <w:rPr>
                <w:rFonts w:ascii="Arial" w:cs="Arial" w:eastAsia="Arial" w:hAnsi="Arial"/>
                <w:sz w:val="18"/>
                <w:szCs w:val="18"/>
                <w:color w:val="auto"/>
              </w:rPr>
              <w:t>April 24, 2023</w:t>
            </w:r>
          </w:p>
        </w:tc>
        <w:tc>
          <w:tcPr>
            <w:tcW w:w="820" w:type="dxa"/>
            <w:vAlign w:val="bottom"/>
          </w:tcPr>
          <w:p>
            <w:pPr>
              <w:jc w:val="center"/>
              <w:ind w:left="75"/>
              <w:spacing w:after="0" w:line="189" w:lineRule="exact"/>
              <w:rPr>
                <w:sz w:val="20"/>
                <w:szCs w:val="20"/>
                <w:color w:val="auto"/>
              </w:rPr>
            </w:pPr>
            <w:r>
              <w:rPr>
                <w:rFonts w:ascii="Arial" w:cs="Arial" w:eastAsia="Arial" w:hAnsi="Arial"/>
                <w:sz w:val="18"/>
                <w:szCs w:val="18"/>
                <w:color w:val="auto"/>
                <w:w w:val="96"/>
              </w:rPr>
              <w:t>10.1</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0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48">
              <w:r>
                <w:rPr>
                  <w:rFonts w:ascii="Arial" w:cs="Arial" w:eastAsia="Arial" w:hAnsi="Arial"/>
                  <w:sz w:val="18"/>
                  <w:szCs w:val="18"/>
                  <w:color w:val="0000EE"/>
                  <w:w w:val="99"/>
                </w:rPr>
                <w:t>between Harmony Biosciences, LLC and Jeffrey M.</w:t>
              </w:r>
            </w:hyperlink>
          </w:p>
        </w:tc>
        <w:tc>
          <w:tcPr>
            <w:tcW w:w="700" w:type="dxa"/>
            <w:vAlign w:val="bottom"/>
            <w:gridSpan w:val="8"/>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vMerge w:val="restart"/>
          </w:tcPr>
          <w:p>
            <w:pPr>
              <w:jc w:val="right"/>
              <w:ind w:right="293"/>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5"/>
                <w:szCs w:val="15"/>
                <w:color w:val="auto"/>
              </w:rPr>
            </w:pPr>
          </w:p>
        </w:tc>
        <w:tc>
          <w:tcPr>
            <w:tcW w:w="4800" w:type="dxa"/>
            <w:vAlign w:val="bottom"/>
            <w:gridSpan w:val="18"/>
          </w:tcPr>
          <w:p>
            <w:pPr>
              <w:spacing w:after="0" w:line="182" w:lineRule="exact"/>
              <w:rPr>
                <w:rFonts w:ascii="Arial" w:cs="Arial" w:eastAsia="Arial" w:hAnsi="Arial"/>
                <w:sz w:val="18"/>
                <w:szCs w:val="18"/>
                <w:color w:val="0000EE"/>
              </w:rPr>
            </w:pPr>
            <w:hyperlink r:id="rId48">
              <w:r>
                <w:rPr>
                  <w:rFonts w:ascii="Arial" w:cs="Arial" w:eastAsia="Arial" w:hAnsi="Arial"/>
                  <w:sz w:val="18"/>
                  <w:szCs w:val="18"/>
                  <w:color w:val="0000EE"/>
                </w:rPr>
                <w:t>Dayno, M.D.</w:t>
              </w:r>
            </w:hyperlink>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800" w:type="dxa"/>
            <w:vAlign w:val="bottom"/>
            <w:gridSpan w:val="18"/>
          </w:tcPr>
          <w:p>
            <w:pPr>
              <w:spacing w:after="0" w:line="182" w:lineRule="exact"/>
              <w:rPr>
                <w:sz w:val="20"/>
                <w:szCs w:val="20"/>
                <w:color w:val="auto"/>
              </w:rPr>
            </w:pPr>
            <w:r>
              <w:rPr>
                <w:rFonts w:ascii="Arial" w:cs="Arial" w:eastAsia="Arial" w:hAnsi="Arial"/>
                <w:sz w:val="18"/>
                <w:szCs w:val="18"/>
                <w:color w:val="0000EE"/>
              </w:rPr>
              <w:t>Certification of Chief Executive Officer pursuant to</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8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Rules 13a-14(a) and 15d-14(a) of the Securities</w:t>
            </w:r>
          </w:p>
        </w:tc>
        <w:tc>
          <w:tcPr>
            <w:tcW w:w="820" w:type="dxa"/>
            <w:vAlign w:val="bottom"/>
            <w:gridSpan w:val="10"/>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0" w:type="dxa"/>
            <w:vAlign w:val="bottom"/>
            <w:gridSpan w:val="18"/>
          </w:tcPr>
          <w:p>
            <w:pPr>
              <w:spacing w:after="0" w:line="196" w:lineRule="exact"/>
              <w:rPr>
                <w:sz w:val="20"/>
                <w:szCs w:val="20"/>
                <w:color w:val="auto"/>
              </w:rPr>
            </w:pPr>
            <w:r>
              <w:rPr>
                <w:rFonts w:ascii="Arial" w:cs="Arial" w:eastAsia="Arial" w:hAnsi="Arial"/>
                <w:sz w:val="18"/>
                <w:szCs w:val="18"/>
                <w:color w:val="0000EE"/>
              </w:rPr>
              <w:t>Exchange Act of 1934, as amended, as adopted pursuant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0" w:type="dxa"/>
            <w:vAlign w:val="bottom"/>
            <w:tcBorders>
              <w:top w:val="single" w:sz="8" w:color="0000EE"/>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to Section 302 of the Sarbanes-Oxley Act of 2002.</w:t>
            </w:r>
          </w:p>
        </w:tc>
        <w:tc>
          <w:tcPr>
            <w:tcW w:w="580" w:type="dxa"/>
            <w:vAlign w:val="bottom"/>
            <w:tcBorders>
              <w:top w:val="single" w:sz="8" w:color="0000EE"/>
            </w:tcBorders>
            <w:gridSpan w:val="7"/>
          </w:tcPr>
          <w:p>
            <w:pPr>
              <w:spacing w:after="0"/>
              <w:rPr>
                <w:sz w:val="15"/>
                <w:szCs w:val="15"/>
                <w:color w:val="auto"/>
              </w:rPr>
            </w:pPr>
          </w:p>
        </w:tc>
        <w:tc>
          <w:tcPr>
            <w:tcW w:w="22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right"/>
              <w:ind w:right="293"/>
              <w:spacing w:after="0" w:line="196" w:lineRule="exact"/>
              <w:rPr>
                <w:sz w:val="20"/>
                <w:szCs w:val="20"/>
                <w:color w:val="auto"/>
              </w:rPr>
            </w:pPr>
            <w:r>
              <w:rPr>
                <w:rFonts w:ascii="Arial" w:cs="Arial" w:eastAsia="Arial" w:hAnsi="Arial"/>
                <w:sz w:val="18"/>
                <w:szCs w:val="18"/>
                <w:color w:val="auto"/>
              </w:rPr>
              <w:t>31.2*</w:t>
            </w:r>
          </w:p>
        </w:tc>
        <w:tc>
          <w:tcPr>
            <w:tcW w:w="160" w:type="dxa"/>
            <w:vAlign w:val="bottom"/>
          </w:tcPr>
          <w:p>
            <w:pPr>
              <w:spacing w:after="0"/>
              <w:rPr>
                <w:sz w:val="17"/>
                <w:szCs w:val="17"/>
                <w:color w:val="auto"/>
              </w:rPr>
            </w:pPr>
          </w:p>
        </w:tc>
        <w:tc>
          <w:tcPr>
            <w:tcW w:w="4800" w:type="dxa"/>
            <w:vAlign w:val="bottom"/>
            <w:gridSpan w:val="18"/>
          </w:tcPr>
          <w:p>
            <w:pPr>
              <w:spacing w:after="0" w:line="196" w:lineRule="exact"/>
              <w:rPr>
                <w:sz w:val="20"/>
                <w:szCs w:val="20"/>
                <w:color w:val="auto"/>
              </w:rPr>
            </w:pPr>
            <w:r>
              <w:rPr>
                <w:rFonts w:ascii="Arial" w:cs="Arial" w:eastAsia="Arial" w:hAnsi="Arial"/>
                <w:sz w:val="18"/>
                <w:szCs w:val="18"/>
                <w:color w:val="0000EE"/>
              </w:rPr>
              <w:t>Certification of Chief Financial Officer pursuant to</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2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Rules 13a-14(a) and 15d-14(a) of the Securities</w:t>
            </w:r>
          </w:p>
        </w:tc>
        <w:tc>
          <w:tcPr>
            <w:tcW w:w="880" w:type="dxa"/>
            <w:vAlign w:val="bottom"/>
            <w:gridSpan w:val="11"/>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0" w:type="dxa"/>
            <w:vAlign w:val="bottom"/>
            <w:gridSpan w:val="18"/>
          </w:tcPr>
          <w:p>
            <w:pPr>
              <w:spacing w:after="0" w:line="196" w:lineRule="exact"/>
              <w:rPr>
                <w:sz w:val="20"/>
                <w:szCs w:val="20"/>
                <w:color w:val="auto"/>
              </w:rPr>
            </w:pPr>
            <w:r>
              <w:rPr>
                <w:rFonts w:ascii="Arial" w:cs="Arial" w:eastAsia="Arial" w:hAnsi="Arial"/>
                <w:sz w:val="18"/>
                <w:szCs w:val="18"/>
                <w:color w:val="0000EE"/>
              </w:rPr>
              <w:t>Exchange Act of 1934, as amended, as adopted pursuant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0" w:type="dxa"/>
            <w:vAlign w:val="bottom"/>
            <w:tcBorders>
              <w:top w:val="single" w:sz="8" w:color="0000EE"/>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to Section 302 of the Sarbanes-Oxley Act of 2002.</w:t>
            </w:r>
          </w:p>
        </w:tc>
        <w:tc>
          <w:tcPr>
            <w:tcW w:w="580" w:type="dxa"/>
            <w:vAlign w:val="bottom"/>
            <w:tcBorders>
              <w:top w:val="single" w:sz="8" w:color="0000EE"/>
            </w:tcBorders>
            <w:gridSpan w:val="7"/>
          </w:tcPr>
          <w:p>
            <w:pPr>
              <w:spacing w:after="0"/>
              <w:rPr>
                <w:sz w:val="15"/>
                <w:szCs w:val="15"/>
                <w:color w:val="auto"/>
              </w:rPr>
            </w:pPr>
          </w:p>
        </w:tc>
        <w:tc>
          <w:tcPr>
            <w:tcW w:w="22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right"/>
              <w:ind w:right="213"/>
              <w:spacing w:after="0" w:line="196" w:lineRule="exact"/>
              <w:rPr>
                <w:sz w:val="20"/>
                <w:szCs w:val="20"/>
                <w:color w:val="auto"/>
              </w:rPr>
            </w:pPr>
            <w:r>
              <w:rPr>
                <w:rFonts w:ascii="Arial" w:cs="Arial" w:eastAsia="Arial" w:hAnsi="Arial"/>
                <w:sz w:val="18"/>
                <w:szCs w:val="18"/>
                <w:color w:val="auto"/>
              </w:rPr>
              <w:t>32.1**</w:t>
            </w:r>
          </w:p>
        </w:tc>
        <w:tc>
          <w:tcPr>
            <w:tcW w:w="160" w:type="dxa"/>
            <w:vAlign w:val="bottom"/>
          </w:tcPr>
          <w:p>
            <w:pPr>
              <w:spacing w:after="0"/>
              <w:rPr>
                <w:sz w:val="17"/>
                <w:szCs w:val="17"/>
                <w:color w:val="auto"/>
              </w:rPr>
            </w:pPr>
          </w:p>
        </w:tc>
        <w:tc>
          <w:tcPr>
            <w:tcW w:w="424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9"/>
              </w:rPr>
              <w:t>Certification of Chief Executive Officer pursuant to 18</w:t>
            </w:r>
          </w:p>
        </w:tc>
        <w:tc>
          <w:tcPr>
            <w:tcW w:w="56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0" w:type="dxa"/>
            <w:vAlign w:val="bottom"/>
            <w:gridSpan w:val="18"/>
          </w:tcPr>
          <w:p>
            <w:pPr>
              <w:spacing w:after="0" w:line="182" w:lineRule="exact"/>
              <w:rPr>
                <w:sz w:val="20"/>
                <w:szCs w:val="20"/>
                <w:color w:val="auto"/>
              </w:rPr>
            </w:pPr>
            <w:r>
              <w:rPr>
                <w:rFonts w:ascii="Arial" w:cs="Arial" w:eastAsia="Arial" w:hAnsi="Arial"/>
                <w:sz w:val="18"/>
                <w:szCs w:val="18"/>
                <w:color w:val="0000EE"/>
              </w:rPr>
              <w:t>U.S.C. Section 1350, as adopted pursuant to Section 906</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vMerge w:val="restart"/>
          </w:tcPr>
          <w:p>
            <w:pPr>
              <w:jc w:val="right"/>
              <w:ind w:right="213"/>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9"/>
              </w:rPr>
              <w:t>of the Sarbanes-Oxley Act of 2002.</w:t>
            </w:r>
          </w:p>
        </w:tc>
        <w:tc>
          <w:tcPr>
            <w:tcW w:w="1760" w:type="dxa"/>
            <w:vAlign w:val="bottom"/>
            <w:tcBorders>
              <w:top w:val="single" w:sz="8" w:color="0000EE"/>
            </w:tcBorders>
            <w:gridSpan w:val="11"/>
          </w:tcPr>
          <w:p>
            <w:pPr>
              <w:spacing w:after="0"/>
              <w:rPr>
                <w:sz w:val="17"/>
                <w:szCs w:val="17"/>
                <w:color w:val="auto"/>
              </w:rPr>
            </w:pPr>
          </w:p>
        </w:tc>
        <w:tc>
          <w:tcPr>
            <w:tcW w:w="24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180" w:type="dxa"/>
            <w:vAlign w:val="bottom"/>
            <w:tcBorders>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Certification of Chief Financial Officer pursuant to 18</w:t>
            </w:r>
          </w:p>
        </w:tc>
        <w:tc>
          <w:tcPr>
            <w:tcW w:w="620" w:type="dxa"/>
            <w:vAlign w:val="bottom"/>
            <w:gridSpan w:val="7"/>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0" w:type="dxa"/>
            <w:vAlign w:val="bottom"/>
            <w:gridSpan w:val="18"/>
          </w:tcPr>
          <w:p>
            <w:pPr>
              <w:spacing w:after="0" w:line="182" w:lineRule="exact"/>
              <w:rPr>
                <w:sz w:val="20"/>
                <w:szCs w:val="20"/>
                <w:color w:val="auto"/>
              </w:rPr>
            </w:pPr>
            <w:r>
              <w:rPr>
                <w:rFonts w:ascii="Arial" w:cs="Arial" w:eastAsia="Arial" w:hAnsi="Arial"/>
                <w:sz w:val="18"/>
                <w:szCs w:val="18"/>
                <w:color w:val="0000EE"/>
              </w:rPr>
              <w:t>U.S.C. Section 1350, as adopted pursuant to Section 906</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vMerge w:val="restart"/>
          </w:tcPr>
          <w:p>
            <w:pPr>
              <w:jc w:val="right"/>
              <w:ind w:right="433"/>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7"/>
                <w:szCs w:val="17"/>
                <w:color w:val="auto"/>
              </w:rPr>
            </w:pPr>
          </w:p>
        </w:tc>
        <w:tc>
          <w:tcPr>
            <w:tcW w:w="4560" w:type="dxa"/>
            <w:vAlign w:val="bottom"/>
            <w:tcBorders>
              <w:top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of the Sarbanes-Oxley Act of 2002.</w:t>
            </w:r>
          </w:p>
        </w:tc>
        <w:tc>
          <w:tcPr>
            <w:tcW w:w="24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The following financial statements</w:t>
            </w:r>
          </w:p>
        </w:tc>
        <w:tc>
          <w:tcPr>
            <w:tcW w:w="2000" w:type="dxa"/>
            <w:vAlign w:val="bottom"/>
            <w:gridSpan w:val="14"/>
          </w:tcPr>
          <w:p>
            <w:pPr>
              <w:spacing w:after="0"/>
              <w:rPr>
                <w:sz w:val="20"/>
                <w:szCs w:val="20"/>
                <w:color w:val="auto"/>
              </w:rPr>
            </w:pPr>
            <w:r>
              <w:rPr>
                <w:rFonts w:ascii="Arial" w:cs="Arial" w:eastAsia="Arial" w:hAnsi="Arial"/>
                <w:sz w:val="18"/>
                <w:szCs w:val="18"/>
                <w:color w:val="auto"/>
              </w:rPr>
              <w:t>from the Company’s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0" w:type="dxa"/>
            <w:vAlign w:val="bottom"/>
            <w:gridSpan w:val="18"/>
          </w:tcPr>
          <w:p>
            <w:pPr>
              <w:spacing w:after="0"/>
              <w:rPr>
                <w:sz w:val="20"/>
                <w:szCs w:val="20"/>
                <w:color w:val="auto"/>
              </w:rPr>
            </w:pPr>
            <w:r>
              <w:rPr>
                <w:rFonts w:ascii="Arial" w:cs="Arial" w:eastAsia="Arial" w:hAnsi="Arial"/>
                <w:sz w:val="18"/>
                <w:szCs w:val="18"/>
                <w:color w:val="auto"/>
              </w:rPr>
              <w:t>Quarterly Report on Form 10-Q for the fiscal quarter</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0" w:type="dxa"/>
            <w:vAlign w:val="bottom"/>
            <w:gridSpan w:val="18"/>
          </w:tcPr>
          <w:p>
            <w:pPr>
              <w:spacing w:after="0" w:line="202" w:lineRule="exact"/>
              <w:rPr>
                <w:sz w:val="20"/>
                <w:szCs w:val="20"/>
                <w:color w:val="auto"/>
              </w:rPr>
            </w:pPr>
            <w:r>
              <w:rPr>
                <w:rFonts w:ascii="Arial" w:cs="Arial" w:eastAsia="Arial" w:hAnsi="Arial"/>
                <w:sz w:val="18"/>
                <w:szCs w:val="18"/>
                <w:color w:val="auto"/>
              </w:rPr>
              <w:t>ended June 30, 2023 formatted in Inline XBRL:</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0" w:type="dxa"/>
            <w:vAlign w:val="bottom"/>
            <w:gridSpan w:val="18"/>
          </w:tcPr>
          <w:p>
            <w:pPr>
              <w:spacing w:after="0"/>
              <w:rPr>
                <w:sz w:val="20"/>
                <w:szCs w:val="20"/>
                <w:color w:val="auto"/>
              </w:rPr>
            </w:pPr>
            <w:r>
              <w:rPr>
                <w:rFonts w:ascii="Arial" w:cs="Arial" w:eastAsia="Arial" w:hAnsi="Arial"/>
                <w:sz w:val="18"/>
                <w:szCs w:val="18"/>
                <w:color w:val="auto"/>
              </w:rPr>
              <w:t>(i) Balance Sheets, (ii) Statements of Operations,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0" w:type="dxa"/>
            <w:vAlign w:val="bottom"/>
            <w:gridSpan w:val="18"/>
          </w:tcPr>
          <w:p>
            <w:pPr>
              <w:spacing w:after="0"/>
              <w:rPr>
                <w:sz w:val="20"/>
                <w:szCs w:val="20"/>
                <w:color w:val="auto"/>
              </w:rPr>
            </w:pPr>
            <w:r>
              <w:rPr>
                <w:rFonts w:ascii="Arial" w:cs="Arial" w:eastAsia="Arial" w:hAnsi="Arial"/>
                <w:sz w:val="18"/>
                <w:szCs w:val="18"/>
                <w:color w:val="auto"/>
              </w:rPr>
              <w:t>(iii) Statements of Stockholders’ Equity and (vi) Notes to</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0" w:type="dxa"/>
            <w:vAlign w:val="bottom"/>
            <w:gridSpan w:val="18"/>
          </w:tcPr>
          <w:p>
            <w:pPr>
              <w:spacing w:after="0" w:line="202" w:lineRule="exact"/>
              <w:rPr>
                <w:sz w:val="20"/>
                <w:szCs w:val="20"/>
                <w:color w:val="auto"/>
              </w:rPr>
            </w:pPr>
            <w:r>
              <w:rPr>
                <w:rFonts w:ascii="Arial" w:cs="Arial" w:eastAsia="Arial" w:hAnsi="Arial"/>
                <w:sz w:val="18"/>
                <w:szCs w:val="18"/>
                <w:color w:val="auto"/>
              </w:rPr>
              <w:t>Financial Statements, tagged as blocks of text and</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0" w:type="dxa"/>
            <w:vAlign w:val="bottom"/>
            <w:gridSpan w:val="18"/>
          </w:tcPr>
          <w:p>
            <w:pPr>
              <w:spacing w:after="0" w:line="202" w:lineRule="exact"/>
              <w:rPr>
                <w:sz w:val="20"/>
                <w:szCs w:val="20"/>
                <w:color w:val="auto"/>
              </w:rPr>
            </w:pPr>
            <w:r>
              <w:rPr>
                <w:rFonts w:ascii="Arial" w:cs="Arial" w:eastAsia="Arial" w:hAnsi="Arial"/>
                <w:sz w:val="18"/>
                <w:szCs w:val="18"/>
                <w:color w:val="auto"/>
              </w:rPr>
              <w:t>including detailed tags.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right"/>
              <w:ind w:right="433"/>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4800" w:type="dxa"/>
            <w:vAlign w:val="bottom"/>
            <w:gridSpan w:val="18"/>
          </w:tcPr>
          <w:p>
            <w:pPr>
              <w:spacing w:after="0"/>
              <w:rPr>
                <w:sz w:val="20"/>
                <w:szCs w:val="20"/>
                <w:color w:val="auto"/>
              </w:rPr>
            </w:pPr>
            <w:r>
              <w:rPr>
                <w:rFonts w:ascii="Arial" w:cs="Arial" w:eastAsia="Arial" w:hAnsi="Arial"/>
                <w:sz w:val="18"/>
                <w:szCs w:val="18"/>
                <w:color w:val="auto"/>
              </w:rPr>
              <w:t>Cover Page Interactive Date File (formatted as Inline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0" w:type="dxa"/>
            <w:vAlign w:val="bottom"/>
            <w:gridSpan w:val="18"/>
          </w:tcPr>
          <w:p>
            <w:pPr>
              <w:spacing w:after="0"/>
              <w:rPr>
                <w:sz w:val="20"/>
                <w:szCs w:val="20"/>
                <w:color w:val="auto"/>
              </w:rPr>
            </w:pPr>
            <w:r>
              <w:rPr>
                <w:rFonts w:ascii="Arial" w:cs="Arial" w:eastAsia="Arial" w:hAnsi="Arial"/>
                <w:sz w:val="18"/>
                <w:szCs w:val="18"/>
                <w:color w:val="auto"/>
              </w:rPr>
              <w:t>XBRL and contained in Exhibit 101)</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196850</wp:posOffset>
            </wp:positionV>
            <wp:extent cx="14147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386" w:lineRule="exact"/>
        <w:rPr>
          <w:sz w:val="20"/>
          <w:szCs w:val="20"/>
          <w:color w:val="auto"/>
        </w:rPr>
      </w:pPr>
    </w:p>
    <w:p>
      <w:pPr>
        <w:ind w:left="380" w:hanging="330"/>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2" w:lineRule="exact"/>
        <w:rPr>
          <w:sz w:val="20"/>
          <w:szCs w:val="20"/>
          <w:color w:val="auto"/>
        </w:rPr>
      </w:pPr>
    </w:p>
    <w:p>
      <w:pPr>
        <w:ind w:left="380" w:right="139" w:hanging="330"/>
        <w:spacing w:after="0" w:line="241"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 This certification is deemed furnished, and not filed, with the Securities and Exchange Commission and is not to be incorporated by reference into any filing of Harmony Biosciences Holdings,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9" w:lineRule="exact"/>
        <w:rPr>
          <w:sz w:val="20"/>
          <w:szCs w:val="20"/>
          <w:color w:val="auto"/>
        </w:rPr>
      </w:pPr>
    </w:p>
    <w:p>
      <w:pPr>
        <w:ind w:left="380" w:right="119" w:hanging="330"/>
        <w:spacing w:after="0" w:line="260"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portions of this document that constitute confidential information have been redacted in accordance with Regulation S-K, Item 601(b)(10).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ind w:left="60" w:right="359" w:firstLine="648"/>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HARMONY BIOSCIENCES HOLDINGS, INC.</w:t>
      </w:r>
    </w:p>
    <w:p>
      <w:pPr>
        <w:spacing w:after="0" w:line="204" w:lineRule="exact"/>
        <w:rPr>
          <w:sz w:val="20"/>
          <w:szCs w:val="20"/>
          <w:color w:val="auto"/>
        </w:rPr>
      </w:pPr>
    </w:p>
    <w:tbl>
      <w:tblPr>
        <w:tblLayout w:type="fixed"/>
        <w:tblInd w:w="4500" w:type="dxa"/>
        <w:tblCellMar>
          <w:top w:w="0" w:type="dxa"/>
          <w:left w:w="0" w:type="dxa"/>
          <w:bottom w:w="0" w:type="dxa"/>
          <w:right w:w="0" w:type="dxa"/>
        </w:tblCellMar>
      </w:tblP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M. Dayno</w:t>
            </w:r>
          </w:p>
        </w:tc>
      </w:tr>
      <w:tr>
        <w:trPr>
          <w:trHeight w:val="190"/>
        </w:trPr>
        <w:tc>
          <w:tcPr>
            <w:tcW w:w="660" w:type="dxa"/>
            <w:vAlign w:val="bottom"/>
          </w:tcPr>
          <w:p>
            <w:pPr>
              <w:spacing w:after="0" w:line="189"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9" w:lineRule="exact"/>
              <w:rPr>
                <w:sz w:val="20"/>
                <w:szCs w:val="20"/>
                <w:color w:val="auto"/>
              </w:rPr>
            </w:pPr>
            <w:r>
              <w:rPr>
                <w:rFonts w:ascii="Arial" w:cs="Arial" w:eastAsia="Arial" w:hAnsi="Arial"/>
                <w:sz w:val="18"/>
                <w:szCs w:val="18"/>
                <w:color w:val="auto"/>
              </w:rPr>
              <w:t>Jeffrey M. Dayno</w:t>
            </w:r>
          </w:p>
        </w:tc>
      </w:tr>
      <w:tr>
        <w:trPr>
          <w:trHeight w:val="203"/>
        </w:trPr>
        <w:tc>
          <w:tcPr>
            <w:tcW w:w="66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66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r>
      <w:tr>
        <w:trPr>
          <w:trHeight w:val="229"/>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August 1, 2023</w:t>
            </w:r>
          </w:p>
        </w:tc>
      </w:tr>
      <w:tr>
        <w:trPr>
          <w:trHeight w:val="38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Sandip Kapadia</w:t>
            </w:r>
          </w:p>
        </w:tc>
      </w:tr>
      <w:tr>
        <w:trPr>
          <w:trHeight w:val="190"/>
        </w:trPr>
        <w:tc>
          <w:tcPr>
            <w:tcW w:w="660" w:type="dxa"/>
            <w:vAlign w:val="bottom"/>
          </w:tcPr>
          <w:p>
            <w:pPr>
              <w:spacing w:after="0" w:line="189"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9" w:lineRule="exact"/>
              <w:rPr>
                <w:sz w:val="20"/>
                <w:szCs w:val="20"/>
                <w:color w:val="auto"/>
              </w:rPr>
            </w:pPr>
            <w:r>
              <w:rPr>
                <w:rFonts w:ascii="Arial" w:cs="Arial" w:eastAsia="Arial" w:hAnsi="Arial"/>
                <w:sz w:val="18"/>
                <w:szCs w:val="18"/>
                <w:color w:val="auto"/>
              </w:rPr>
              <w:t>Sandip Kapadia</w:t>
            </w:r>
          </w:p>
        </w:tc>
      </w:tr>
      <w:tr>
        <w:trPr>
          <w:trHeight w:val="203"/>
        </w:trPr>
        <w:tc>
          <w:tcPr>
            <w:tcW w:w="66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Chief Financial Officer (principal financial</w:t>
            </w:r>
          </w:p>
        </w:tc>
      </w:tr>
      <w:tr>
        <w:trPr>
          <w:trHeight w:val="203"/>
        </w:trPr>
        <w:tc>
          <w:tcPr>
            <w:tcW w:w="66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officer)</w:t>
            </w:r>
          </w:p>
        </w:tc>
      </w:tr>
      <w:tr>
        <w:trPr>
          <w:trHeight w:val="229"/>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August 1,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89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M. Dayno, certify that:</w:t>
      </w:r>
    </w:p>
    <w:p>
      <w:pPr>
        <w:spacing w:after="0" w:line="225" w:lineRule="exact"/>
        <w:rPr>
          <w:sz w:val="20"/>
          <w:szCs w:val="20"/>
          <w:color w:val="auto"/>
        </w:rPr>
      </w:pPr>
    </w:p>
    <w:p>
      <w:pPr>
        <w:ind w:left="720" w:hanging="3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Harmony Biosciences Holdings, Inc.;</w:t>
      </w:r>
    </w:p>
    <w:p>
      <w:pPr>
        <w:spacing w:after="0" w:line="225" w:lineRule="exact"/>
        <w:rPr>
          <w:rFonts w:ascii="Arial" w:cs="Arial" w:eastAsia="Arial" w:hAnsi="Arial"/>
          <w:sz w:val="18"/>
          <w:szCs w:val="18"/>
          <w:color w:val="auto"/>
        </w:rPr>
      </w:pPr>
    </w:p>
    <w:p>
      <w:pPr>
        <w:jc w:val="both"/>
        <w:ind w:left="720" w:hanging="356"/>
        <w:spacing w:after="0" w:line="263"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20" w:right="240" w:hanging="356"/>
        <w:spacing w:after="0" w:line="263"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720" w:hanging="356"/>
        <w:spacing w:after="0" w:line="263"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440" w:hanging="366"/>
        <w:spacing w:after="0" w:line="259" w:lineRule="auto"/>
        <w:tabs>
          <w:tab w:leader="none" w:pos="14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440" w:hanging="366"/>
        <w:spacing w:after="0" w:line="259" w:lineRule="auto"/>
        <w:tabs>
          <w:tab w:leader="none" w:pos="14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440" w:hanging="366"/>
        <w:spacing w:after="0" w:line="263" w:lineRule="auto"/>
        <w:tabs>
          <w:tab w:leader="none" w:pos="14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440" w:hanging="366"/>
        <w:spacing w:after="0" w:line="259" w:lineRule="auto"/>
        <w:tabs>
          <w:tab w:leader="none" w:pos="14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720" w:right="320" w:hanging="356"/>
        <w:spacing w:after="0" w:line="263"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440" w:right="320" w:hanging="366"/>
        <w:spacing w:after="0" w:line="263" w:lineRule="auto"/>
        <w:tabs>
          <w:tab w:leader="none" w:pos="14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440" w:right="140" w:hanging="366"/>
        <w:spacing w:after="0" w:line="277" w:lineRule="auto"/>
        <w:tabs>
          <w:tab w:leader="none" w:pos="14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60"/>
        <w:spacing w:after="0"/>
        <w:tabs>
          <w:tab w:leader="none" w:pos="4940" w:val="left"/>
          <w:tab w:leader="none" w:pos="552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40640</wp:posOffset>
            </wp:positionV>
            <wp:extent cx="25463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546350" cy="8890"/>
                    </a:xfrm>
                    <a:prstGeom prst="rect">
                      <a:avLst/>
                    </a:prstGeom>
                    <a:noFill/>
                  </pic:spPr>
                </pic:pic>
              </a:graphicData>
            </a:graphic>
          </wp:anchor>
        </w:drawing>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Jeffrey M. Dayno</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President, Chief Executive Officer and Director</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ind w:left="902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Sandip Kapadia, certify that:</w:t>
      </w:r>
    </w:p>
    <w:p>
      <w:pPr>
        <w:spacing w:after="0" w:line="225" w:lineRule="exact"/>
        <w:rPr>
          <w:sz w:val="20"/>
          <w:szCs w:val="20"/>
          <w:color w:val="auto"/>
        </w:rPr>
      </w:pPr>
    </w:p>
    <w:p>
      <w:pPr>
        <w:ind w:left="760" w:hanging="356"/>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Harmony Biosciences Holdings, Inc.;</w:t>
      </w:r>
    </w:p>
    <w:p>
      <w:pPr>
        <w:spacing w:after="0" w:line="225" w:lineRule="exact"/>
        <w:rPr>
          <w:rFonts w:ascii="Arial" w:cs="Arial" w:eastAsia="Arial" w:hAnsi="Arial"/>
          <w:sz w:val="18"/>
          <w:szCs w:val="18"/>
          <w:color w:val="auto"/>
        </w:rPr>
      </w:pPr>
    </w:p>
    <w:p>
      <w:pPr>
        <w:jc w:val="both"/>
        <w:ind w:left="760" w:right="60" w:hanging="356"/>
        <w:spacing w:after="0" w:line="263"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300" w:hanging="356"/>
        <w:spacing w:after="0" w:line="263"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760" w:right="60" w:hanging="356"/>
        <w:spacing w:after="0" w:line="263"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480" w:right="60" w:hanging="366"/>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480" w:right="60" w:hanging="366"/>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480" w:right="60" w:hanging="366"/>
        <w:spacing w:after="0" w:line="263"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480" w:right="60" w:hanging="366"/>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760" w:right="380" w:hanging="356"/>
        <w:spacing w:after="0" w:line="263"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480" w:right="380" w:hanging="366"/>
        <w:spacing w:after="0" w:line="263"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480" w:right="200" w:hanging="366"/>
        <w:spacing w:after="0" w:line="277"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Date: August 1, 2023</w:t>
            </w:r>
          </w:p>
        </w:tc>
        <w:tc>
          <w:tcPr>
            <w:tcW w:w="6740" w:type="dxa"/>
            <w:vAlign w:val="bottom"/>
            <w:gridSpan w:val="2"/>
          </w:tcPr>
          <w:p>
            <w:pPr>
              <w:ind w:left="1680"/>
              <w:spacing w:after="0"/>
              <w:rPr>
                <w:sz w:val="20"/>
                <w:szCs w:val="20"/>
                <w:color w:val="auto"/>
              </w:rPr>
            </w:pPr>
            <w:r>
              <w:rPr>
                <w:rFonts w:ascii="Arial" w:cs="Arial" w:eastAsia="Arial" w:hAnsi="Arial"/>
                <w:sz w:val="18"/>
                <w:szCs w:val="18"/>
                <w:color w:val="auto"/>
              </w:rPr>
              <w:t>By:  /s/ Sandip Kapadia</w:t>
            </w:r>
          </w:p>
        </w:tc>
        <w:tc>
          <w:tcPr>
            <w:tcW w:w="60" w:type="dxa"/>
            <w:vAlign w:val="bottom"/>
          </w:tcPr>
          <w:p>
            <w:pPr>
              <w:spacing w:after="0"/>
              <w:rPr>
                <w:sz w:val="20"/>
                <w:szCs w:val="20"/>
                <w:color w:val="auto"/>
              </w:rPr>
            </w:pPr>
          </w:p>
        </w:tc>
      </w:tr>
      <w:tr>
        <w:trPr>
          <w:trHeight w:val="222"/>
        </w:trPr>
        <w:tc>
          <w:tcPr>
            <w:tcW w:w="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Sandip Kapadia</w:t>
            </w:r>
          </w:p>
        </w:tc>
        <w:tc>
          <w:tcPr>
            <w:tcW w:w="60" w:type="dxa"/>
            <w:vAlign w:val="bottom"/>
            <w:tcBorders>
              <w:top w:val="single" w:sz="8" w:color="auto"/>
            </w:tcBorders>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6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7"/>
              </w:rPr>
              <w:t>(Principal Financial Officer and Principal Accounting Officer)</w:t>
            </w:r>
          </w:p>
        </w:tc>
        <w:tc>
          <w:tcPr>
            <w:tcW w:w="60" w:type="dxa"/>
            <w:vAlign w:val="bottom"/>
          </w:tcPr>
          <w:p>
            <w:pPr>
              <w:spacing w:after="0"/>
              <w:rPr>
                <w:sz w:val="20"/>
                <w:szCs w:val="20"/>
                <w:color w:val="auto"/>
              </w:rPr>
            </w:pPr>
          </w:p>
        </w:tc>
      </w:tr>
      <w:tr>
        <w:trPr>
          <w:trHeight w:val="776"/>
        </w:trPr>
        <w:tc>
          <w:tcPr>
            <w:tcW w:w="4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020"/>
          </w:cols>
          <w:pgMar w:left="940" w:top="661" w:right="9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6"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quarter ended June 30, 2023, as filed with the Securities and Exchange Commission on the date hereof (the “Report”), I certify, pursuant to 18 U.S.C. Section 1350, as adopted pursuant to Section 906 of the Sarbanes-Oxley Act of 2002, that to such officer’s knowledge:</w:t>
      </w:r>
    </w:p>
    <w:p>
      <w:pPr>
        <w:spacing w:after="0" w:line="174" w:lineRule="exact"/>
        <w:rPr>
          <w:sz w:val="20"/>
          <w:szCs w:val="20"/>
          <w:color w:val="auto"/>
        </w:rPr>
      </w:pPr>
    </w:p>
    <w:p>
      <w:pPr>
        <w:ind w:left="660" w:right="40" w:hanging="328"/>
        <w:spacing w:after="0" w:line="26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9" w:lineRule="exact"/>
        <w:rPr>
          <w:rFonts w:ascii="Arial" w:cs="Arial" w:eastAsia="Arial" w:hAnsi="Arial"/>
          <w:sz w:val="18"/>
          <w:szCs w:val="18"/>
          <w:color w:val="auto"/>
        </w:rPr>
      </w:pPr>
    </w:p>
    <w:p>
      <w:pPr>
        <w:ind w:left="660" w:right="80" w:hanging="328"/>
        <w:spacing w:after="0" w:line="26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6" w:lineRule="exact"/>
        <w:rPr>
          <w:sz w:val="20"/>
          <w:szCs w:val="20"/>
          <w:color w:val="auto"/>
        </w:rPr>
      </w:pPr>
    </w:p>
    <w:p>
      <w:pPr>
        <w:ind w:left="60"/>
        <w:spacing w:after="0"/>
        <w:tabs>
          <w:tab w:leader="none" w:pos="426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8"/>
          <w:szCs w:val="18"/>
          <w:color w:val="auto"/>
        </w:rPr>
        <w:t>By: /s/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31115</wp:posOffset>
            </wp:positionV>
            <wp:extent cx="25374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Jeffrey M. Dayno</w:t>
      </w:r>
    </w:p>
    <w:p>
      <w:pPr>
        <w:spacing w:after="0" w:line="3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President, Chief Executive Officer and Director</w:t>
      </w:r>
    </w:p>
    <w:p>
      <w:pPr>
        <w:spacing w:after="0" w:line="2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9"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78"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6" w:lineRule="exact"/>
        <w:rPr>
          <w:sz w:val="20"/>
          <w:szCs w:val="20"/>
          <w:color w:val="auto"/>
        </w:rPr>
      </w:pPr>
    </w:p>
    <w:p>
      <w:pPr>
        <w:ind w:right="520" w:firstLine="355"/>
        <w:spacing w:after="0" w:line="243"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period ended June 30, 2023 as filed with the Securities and Exchange Commission on the date hereof (the “Report”), I certify, pursuant to 18 U.S.C. Section 1350, as adopted pursuant to Section 906 of the Sarbanes-Oxley Act of 2002, that to such officer’s knowledge:</w:t>
      </w:r>
    </w:p>
    <w:p>
      <w:pPr>
        <w:spacing w:after="0" w:line="174" w:lineRule="exact"/>
        <w:rPr>
          <w:sz w:val="20"/>
          <w:szCs w:val="20"/>
          <w:color w:val="auto"/>
        </w:rPr>
      </w:pPr>
    </w:p>
    <w:p>
      <w:pPr>
        <w:ind w:left="720" w:right="220" w:hanging="356"/>
        <w:spacing w:after="0" w:line="26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9" w:lineRule="exact"/>
        <w:rPr>
          <w:rFonts w:ascii="Arial" w:cs="Arial" w:eastAsia="Arial" w:hAnsi="Arial"/>
          <w:sz w:val="18"/>
          <w:szCs w:val="18"/>
          <w:color w:val="auto"/>
        </w:rPr>
      </w:pPr>
    </w:p>
    <w:p>
      <w:pPr>
        <w:ind w:left="720" w:right="20" w:hanging="356"/>
        <w:spacing w:after="0" w:line="26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7" w:lineRule="exact"/>
        <w:rPr>
          <w:sz w:val="20"/>
          <w:szCs w:val="20"/>
          <w:color w:val="auto"/>
        </w:rPr>
      </w:pPr>
    </w:p>
    <w:p>
      <w:pPr>
        <w:ind w:left="60"/>
        <w:spacing w:after="0"/>
        <w:tabs>
          <w:tab w:leader="none" w:pos="446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9"/>
          <w:szCs w:val="19"/>
          <w:color w:val="auto"/>
          <w:vertAlign w:val="superscript"/>
        </w:rPr>
        <w:t xml:space="preserve">By: </w:t>
      </w:r>
      <w:r>
        <w:rPr>
          <w:rFonts w:ascii="Arial" w:cs="Arial" w:eastAsia="Arial" w:hAnsi="Arial"/>
          <w:sz w:val="19"/>
          <w:szCs w:val="19"/>
          <w:color w:val="auto"/>
        </w:rPr>
        <w:t>/s/ Sandip Kapadia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92075</wp:posOffset>
            </wp:positionV>
            <wp:extent cx="29743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0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Sandip Kapadia</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Financial Officer and Principal Accounting</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Officer)</w:t>
      </w:r>
    </w:p>
    <w:p>
      <w:pPr>
        <w:spacing w:after="0" w:line="239" w:lineRule="exact"/>
        <w:rPr>
          <w:sz w:val="20"/>
          <w:szCs w:val="20"/>
          <w:color w:val="auto"/>
        </w:rPr>
      </w:pPr>
    </w:p>
    <w:p>
      <w:pPr>
        <w:ind w:right="940"/>
        <w:spacing w:after="0" w:line="260"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59"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65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13"/>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46" Type="http://schemas.openxmlformats.org/officeDocument/2006/relationships/hyperlink" Target="https://www.sec.gov/Archives/edgar/data/0001802665/000119312520226978/d97999dex31.htm" TargetMode="External"/><Relationship Id="rId47" Type="http://schemas.openxmlformats.org/officeDocument/2006/relationships/hyperlink" Target="https://www.sec.gov/Archives/edgar/data/0001802665/000119312520226978/d97999dex32.htm" TargetMode="External"/><Relationship Id="rId48" Type="http://schemas.openxmlformats.org/officeDocument/2006/relationships/hyperlink" Target="https://www.sec.gov/Archives/edgar/data/1802665/000155837023006475/hrmy-20230424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2023-08-01T07:10:04Z</dcterms:created>
  <dcterms:modified xsi:type="dcterms:W3CDTF">2023-08-01T07:10:04Z</dcterms:modified>
</cp:coreProperties>
</file>