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jc w:val="center"/>
        <w:ind w:right="-9"/>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53340</wp:posOffset>
            </wp:positionV>
            <wp:extent cx="13030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35"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66040</wp:posOffset>
            </wp:positionV>
            <wp:extent cx="13030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79" w:lineRule="exact"/>
        <w:rPr>
          <w:sz w:val="24"/>
          <w:szCs w:val="24"/>
          <w:color w:val="auto"/>
        </w:rPr>
      </w:pPr>
    </w:p>
    <w:p>
      <w:pPr>
        <w:ind w:left="10"/>
        <w:spacing w:after="0"/>
        <w:rPr>
          <w:sz w:val="20"/>
          <w:szCs w:val="20"/>
          <w:color w:val="auto"/>
        </w:rPr>
      </w:pPr>
      <w:r>
        <w:rPr>
          <w:rFonts w:ascii="Arial" w:cs="Arial" w:eastAsia="Arial" w:hAnsi="Arial"/>
          <w:sz w:val="11"/>
          <w:szCs w:val="11"/>
          <w:color w:val="auto"/>
        </w:rPr>
        <w:t>(Mark One)</w:t>
      </w:r>
    </w:p>
    <w:p>
      <w:pPr>
        <w:spacing w:after="0" w:line="10" w:lineRule="exact"/>
        <w:rPr>
          <w:sz w:val="24"/>
          <w:szCs w:val="24"/>
          <w:color w:val="auto"/>
        </w:rPr>
      </w:pPr>
    </w:p>
    <w:p>
      <w:pPr>
        <w:ind w:left="3670" w:right="2120" w:hanging="3670"/>
        <w:spacing w:after="0" w:line="289" w:lineRule="auto"/>
        <w:tabs>
          <w:tab w:leader="none" w:pos="64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AND EXCHANGE ACT OF 1934 </w:t>
      </w:r>
      <w:r>
        <w:rPr>
          <w:rFonts w:ascii="Arial" w:cs="Arial" w:eastAsia="Arial" w:hAnsi="Arial"/>
          <w:sz w:val="14"/>
          <w:szCs w:val="14"/>
          <w:color w:val="auto"/>
        </w:rPr>
        <w:t>For the fiscal year ended December 31, 2024</w:t>
      </w:r>
    </w:p>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OR</w:t>
      </w:r>
    </w:p>
    <w:p>
      <w:pPr>
        <w:spacing w:after="0" w:line="69" w:lineRule="exact"/>
        <w:rPr>
          <w:sz w:val="24"/>
          <w:szCs w:val="24"/>
          <w:color w:val="auto"/>
        </w:rPr>
      </w:pPr>
    </w:p>
    <w:p>
      <w:pPr>
        <w:ind w:left="650" w:hanging="650"/>
        <w:spacing w:after="0"/>
        <w:tabs>
          <w:tab w:leader="none" w:pos="65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0230"/>
          </w:cols>
          <w:pgMar w:left="830" w:top="661" w:right="839" w:bottom="1440" w:gutter="0" w:footer="0" w:header="0"/>
        </w:sectPr>
      </w:pPr>
    </w:p>
    <w:p>
      <w:pPr>
        <w:spacing w:after="0" w:line="44" w:lineRule="exact"/>
        <w:rPr>
          <w:sz w:val="24"/>
          <w:szCs w:val="24"/>
          <w:color w:val="auto"/>
        </w:rPr>
      </w:pPr>
    </w:p>
    <w:p>
      <w:pPr>
        <w:ind w:left="3730"/>
        <w:spacing w:after="0"/>
        <w:tabs>
          <w:tab w:leader="none" w:pos="635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rPr>
        <w:t>to</w:t>
      </w:r>
    </w:p>
    <w:p>
      <w:pPr>
        <w:sectPr>
          <w:pgSz w:w="11900" w:h="16838" w:orient="portrait"/>
          <w:cols w:equalWidth="0" w:num="1">
            <w:col w:w="10230"/>
          </w:cols>
          <w:pgMar w:left="830" w:top="661" w:right="839" w:bottom="1440" w:gutter="0" w:footer="0" w:header="0"/>
          <w:type w:val="continuous"/>
        </w:sectPr>
      </w:pPr>
    </w:p>
    <w:p>
      <w:pPr>
        <w:spacing w:after="0" w:line="53"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Commission File Number: 001-39450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66675</wp:posOffset>
            </wp:positionV>
            <wp:extent cx="130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p>
      <w:pPr>
        <w:spacing w:after="0" w:line="176"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57785</wp:posOffset>
            </wp:positionV>
            <wp:extent cx="1303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58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rPr>
              <w:t>Delaware</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tcPr>
          <w:p>
            <w:pPr>
              <w:jc w:val="right"/>
              <w:ind w:right="2108"/>
              <w:spacing w:after="0"/>
              <w:rPr>
                <w:sz w:val="20"/>
                <w:szCs w:val="20"/>
                <w:color w:val="auto"/>
              </w:rPr>
            </w:pPr>
            <w:r>
              <w:rPr>
                <w:rFonts w:ascii="Arial" w:cs="Arial" w:eastAsia="Arial" w:hAnsi="Arial"/>
                <w:sz w:val="14"/>
                <w:szCs w:val="14"/>
                <w:b w:val="1"/>
                <w:bCs w:val="1"/>
                <w:color w:val="auto"/>
              </w:rPr>
              <w:t>82-2279923</w:t>
            </w:r>
          </w:p>
        </w:tc>
      </w:tr>
      <w:tr>
        <w:trPr>
          <w:trHeight w:val="190"/>
        </w:trPr>
        <w:tc>
          <w:tcPr>
            <w:tcW w:w="4580" w:type="dxa"/>
            <w:vAlign w:val="bottom"/>
            <w:gridSpan w:val="3"/>
          </w:tcPr>
          <w:p>
            <w:pPr>
              <w:jc w:val="center"/>
              <w:ind w:left="468"/>
              <w:spacing w:after="0"/>
              <w:rPr>
                <w:sz w:val="20"/>
                <w:szCs w:val="20"/>
                <w:color w:val="auto"/>
              </w:rPr>
            </w:pPr>
            <w:r>
              <w:rPr>
                <w:rFonts w:ascii="Arial" w:cs="Arial" w:eastAsia="Arial" w:hAnsi="Arial"/>
                <w:sz w:val="14"/>
                <w:szCs w:val="14"/>
                <w:color w:val="auto"/>
              </w:rPr>
              <w:t>(State or other jurisdiction of</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tcPr>
          <w:p>
            <w:pPr>
              <w:jc w:val="center"/>
              <w:ind w:right="1748"/>
              <w:spacing w:after="0"/>
              <w:rPr>
                <w:sz w:val="20"/>
                <w:szCs w:val="20"/>
                <w:color w:val="auto"/>
              </w:rPr>
            </w:pPr>
            <w:r>
              <w:rPr>
                <w:rFonts w:ascii="Arial" w:cs="Arial" w:eastAsia="Arial" w:hAnsi="Arial"/>
                <w:sz w:val="14"/>
                <w:szCs w:val="14"/>
                <w:color w:val="auto"/>
              </w:rPr>
              <w:t>(I.R.S. Employer</w:t>
            </w:r>
          </w:p>
        </w:tc>
      </w:tr>
      <w:tr>
        <w:trPr>
          <w:trHeight w:val="203"/>
        </w:trPr>
        <w:tc>
          <w:tcPr>
            <w:tcW w:w="4580" w:type="dxa"/>
            <w:vAlign w:val="bottom"/>
            <w:gridSpan w:val="3"/>
          </w:tcPr>
          <w:p>
            <w:pPr>
              <w:jc w:val="center"/>
              <w:ind w:left="448"/>
              <w:spacing w:after="0"/>
              <w:rPr>
                <w:sz w:val="20"/>
                <w:szCs w:val="20"/>
                <w:color w:val="auto"/>
              </w:rPr>
            </w:pPr>
            <w:r>
              <w:rPr>
                <w:rFonts w:ascii="Arial" w:cs="Arial" w:eastAsia="Arial" w:hAnsi="Arial"/>
                <w:sz w:val="14"/>
                <w:szCs w:val="14"/>
                <w:color w:val="auto"/>
              </w:rPr>
              <w:t>incorporation or organization)</w:t>
            </w: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jc w:val="center"/>
              <w:ind w:right="1768"/>
              <w:spacing w:after="0"/>
              <w:rPr>
                <w:sz w:val="20"/>
                <w:szCs w:val="20"/>
                <w:color w:val="auto"/>
              </w:rPr>
            </w:pPr>
            <w:r>
              <w:rPr>
                <w:rFonts w:ascii="Arial" w:cs="Arial" w:eastAsia="Arial" w:hAnsi="Arial"/>
                <w:sz w:val="14"/>
                <w:szCs w:val="14"/>
                <w:color w:val="auto"/>
              </w:rPr>
              <w:t>Identification No.)</w:t>
            </w:r>
          </w:p>
        </w:tc>
      </w:tr>
      <w:tr>
        <w:trPr>
          <w:trHeight w:val="262"/>
        </w:trPr>
        <w:tc>
          <w:tcPr>
            <w:tcW w:w="45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80" w:type="dxa"/>
            <w:vAlign w:val="bottom"/>
          </w:tcPr>
          <w:p>
            <w:pPr>
              <w:jc w:val="right"/>
              <w:ind w:right="2288"/>
              <w:spacing w:after="0"/>
              <w:rPr>
                <w:sz w:val="20"/>
                <w:szCs w:val="20"/>
                <w:color w:val="auto"/>
              </w:rPr>
            </w:pPr>
            <w:r>
              <w:rPr>
                <w:rFonts w:ascii="Arial" w:cs="Arial" w:eastAsia="Arial" w:hAnsi="Arial"/>
                <w:sz w:val="14"/>
                <w:szCs w:val="14"/>
                <w:b w:val="1"/>
                <w:bCs w:val="1"/>
                <w:color w:val="auto"/>
              </w:rPr>
              <w:t>19462</w:t>
            </w:r>
          </w:p>
        </w:tc>
      </w:tr>
      <w:tr>
        <w:trPr>
          <w:trHeight w:val="210"/>
        </w:trPr>
        <w:tc>
          <w:tcPr>
            <w:tcW w:w="4580" w:type="dxa"/>
            <w:vAlign w:val="bottom"/>
            <w:gridSpan w:val="3"/>
          </w:tcPr>
          <w:p>
            <w:pPr>
              <w:jc w:val="center"/>
              <w:ind w:left="448"/>
              <w:spacing w:after="0"/>
              <w:rPr>
                <w:sz w:val="20"/>
                <w:szCs w:val="20"/>
                <w:color w:val="auto"/>
              </w:rPr>
            </w:pPr>
            <w:r>
              <w:rPr>
                <w:rFonts w:ascii="Arial" w:cs="Arial" w:eastAsia="Arial" w:hAnsi="Arial"/>
                <w:sz w:val="14"/>
                <w:szCs w:val="14"/>
                <w:color w:val="auto"/>
              </w:rPr>
              <w:t>(Address of principal executive offices)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jc w:val="center"/>
              <w:ind w:right="1768"/>
              <w:spacing w:after="0"/>
              <w:rPr>
                <w:sz w:val="20"/>
                <w:szCs w:val="20"/>
                <w:color w:val="auto"/>
              </w:rPr>
            </w:pPr>
            <w:r>
              <w:rPr>
                <w:rFonts w:ascii="Arial" w:cs="Arial" w:eastAsia="Arial" w:hAnsi="Arial"/>
                <w:sz w:val="14"/>
                <w:szCs w:val="14"/>
                <w:color w:val="auto"/>
              </w:rPr>
              <w:t>(Zip Code)</w:t>
            </w:r>
          </w:p>
        </w:tc>
      </w:tr>
      <w:tr>
        <w:trPr>
          <w:trHeight w:val="276"/>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60" w:type="dxa"/>
            <w:vAlign w:val="bottom"/>
          </w:tcPr>
          <w:p>
            <w:pPr>
              <w:jc w:val="center"/>
              <w:ind w:right="1028"/>
              <w:spacing w:after="0"/>
              <w:rPr>
                <w:sz w:val="20"/>
                <w:szCs w:val="20"/>
                <w:color w:val="auto"/>
              </w:rPr>
            </w:pPr>
            <w:r>
              <w:rPr>
                <w:rFonts w:ascii="Arial" w:cs="Arial" w:eastAsia="Arial" w:hAnsi="Arial"/>
                <w:sz w:val="14"/>
                <w:szCs w:val="14"/>
                <w:b w:val="1"/>
                <w:bCs w:val="1"/>
                <w:color w:val="auto"/>
              </w:rPr>
              <w:t>(484) 539-9800</w:t>
            </w: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260" w:type="dxa"/>
            <w:vAlign w:val="bottom"/>
          </w:tcPr>
          <w:p>
            <w:pPr>
              <w:spacing w:after="0"/>
              <w:rPr>
                <w:sz w:val="20"/>
                <w:szCs w:val="20"/>
                <w:color w:val="auto"/>
              </w:rPr>
            </w:pPr>
          </w:p>
        </w:tc>
        <w:tc>
          <w:tcPr>
            <w:tcW w:w="3680" w:type="dxa"/>
            <w:vAlign w:val="bottom"/>
            <w:gridSpan w:val="4"/>
          </w:tcPr>
          <w:p>
            <w:pPr>
              <w:jc w:val="center"/>
              <w:spacing w:after="0"/>
              <w:rPr>
                <w:sz w:val="20"/>
                <w:szCs w:val="20"/>
                <w:color w:val="auto"/>
              </w:rPr>
            </w:pPr>
            <w:r>
              <w:rPr>
                <w:rFonts w:ascii="Arial" w:cs="Arial" w:eastAsia="Arial" w:hAnsi="Arial"/>
                <w:sz w:val="14"/>
                <w:szCs w:val="14"/>
                <w:color w:val="auto"/>
              </w:rPr>
              <w:t>(Registrant’s telephone number, including area code)</w:t>
            </w:r>
          </w:p>
        </w:tc>
        <w:tc>
          <w:tcPr>
            <w:tcW w:w="3280" w:type="dxa"/>
            <w:vAlign w:val="bottom"/>
          </w:tcPr>
          <w:p>
            <w:pPr>
              <w:spacing w:after="0"/>
              <w:rPr>
                <w:sz w:val="20"/>
                <w:szCs w:val="20"/>
                <w:color w:val="auto"/>
              </w:rPr>
            </w:pPr>
          </w:p>
        </w:tc>
      </w:tr>
      <w:tr>
        <w:trPr>
          <w:trHeight w:val="243"/>
        </w:trPr>
        <w:tc>
          <w:tcPr>
            <w:tcW w:w="3260" w:type="dxa"/>
            <w:vAlign w:val="bottom"/>
          </w:tcPr>
          <w:p>
            <w:pPr>
              <w:spacing w:after="0"/>
              <w:rPr>
                <w:sz w:val="21"/>
                <w:szCs w:val="21"/>
                <w:color w:val="auto"/>
              </w:rPr>
            </w:pPr>
          </w:p>
        </w:tc>
        <w:tc>
          <w:tcPr>
            <w:tcW w:w="3680" w:type="dxa"/>
            <w:vAlign w:val="bottom"/>
            <w:gridSpan w:val="4"/>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3280" w:type="dxa"/>
            <w:vAlign w:val="bottom"/>
          </w:tcPr>
          <w:p>
            <w:pPr>
              <w:spacing w:after="0"/>
              <w:rPr>
                <w:sz w:val="21"/>
                <w:szCs w:val="21"/>
                <w:color w:val="auto"/>
              </w:rPr>
            </w:pPr>
          </w:p>
        </w:tc>
      </w:tr>
      <w:tr>
        <w:trPr>
          <w:trHeight w:val="276"/>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Trading</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8"/>
        </w:trPr>
        <w:tc>
          <w:tcPr>
            <w:tcW w:w="458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Title of each class</w:t>
            </w:r>
          </w:p>
        </w:tc>
        <w:tc>
          <w:tcPr>
            <w:tcW w:w="236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rPr>
              <w:t>Symbol(s)</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2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w:t>
            </w: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Borders>
              <w:top w:val="single" w:sz="8" w:color="auto"/>
            </w:tcBorders>
          </w:tcPr>
          <w:p>
            <w:pPr>
              <w:spacing w:after="0"/>
              <w:rPr>
                <w:sz w:val="12"/>
                <w:szCs w:val="12"/>
                <w:color w:val="auto"/>
              </w:rPr>
            </w:pPr>
          </w:p>
        </w:tc>
      </w:tr>
      <w:tr>
        <w:trPr>
          <w:trHeight w:val="190"/>
        </w:trPr>
        <w:tc>
          <w:tcPr>
            <w:tcW w:w="4580" w:type="dxa"/>
            <w:vAlign w:val="bottom"/>
            <w:gridSpan w:val="3"/>
          </w:tcPr>
          <w:p>
            <w:pPr>
              <w:jc w:val="center"/>
              <w:ind w:right="1340"/>
              <w:spacing w:after="0"/>
              <w:rPr>
                <w:sz w:val="20"/>
                <w:szCs w:val="20"/>
                <w:color w:val="auto"/>
              </w:rPr>
            </w:pPr>
            <w:r>
              <w:rPr>
                <w:rFonts w:ascii="Arial" w:cs="Arial" w:eastAsia="Arial" w:hAnsi="Arial"/>
                <w:sz w:val="14"/>
                <w:szCs w:val="14"/>
                <w:color w:val="auto"/>
              </w:rPr>
              <w:t>share</w:t>
            </w:r>
          </w:p>
        </w:tc>
        <w:tc>
          <w:tcPr>
            <w:tcW w:w="2360" w:type="dxa"/>
            <w:vAlign w:val="bottom"/>
            <w:gridSpan w:val="2"/>
          </w:tcPr>
          <w:p>
            <w:pPr>
              <w:jc w:val="center"/>
              <w:ind w:right="1340"/>
              <w:spacing w:after="0"/>
              <w:rPr>
                <w:sz w:val="20"/>
                <w:szCs w:val="20"/>
                <w:color w:val="auto"/>
              </w:rPr>
            </w:pPr>
            <w:r>
              <w:rPr>
                <w:rFonts w:ascii="Arial" w:cs="Arial" w:eastAsia="Arial" w:hAnsi="Arial"/>
                <w:sz w:val="14"/>
                <w:szCs w:val="14"/>
                <w:color w:val="auto"/>
              </w:rPr>
              <w:t>HRMY</w:t>
            </w:r>
          </w:p>
        </w:tc>
        <w:tc>
          <w:tcPr>
            <w:tcW w:w="32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2" w:lineRule="exact"/>
        <w:rPr>
          <w:sz w:val="24"/>
          <w:szCs w:val="24"/>
          <w:color w:val="auto"/>
        </w:rPr>
      </w:pPr>
    </w:p>
    <w:p>
      <w:pPr>
        <w:ind w:left="7830"/>
        <w:spacing w:after="0"/>
        <w:rPr>
          <w:sz w:val="20"/>
          <w:szCs w:val="20"/>
          <w:color w:val="auto"/>
        </w:rPr>
      </w:pPr>
      <w:r>
        <w:rPr>
          <w:rFonts w:ascii="Arial" w:cs="Arial" w:eastAsia="Arial" w:hAnsi="Arial"/>
          <w:sz w:val="14"/>
          <w:szCs w:val="14"/>
          <w:color w:val="auto"/>
        </w:rPr>
        <w:t>(Nasdaq Global Market)</w:t>
      </w:r>
    </w:p>
    <w:p>
      <w:pPr>
        <w:spacing w:after="0" w:line="195"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38" w:lineRule="exact"/>
        <w:rPr>
          <w:sz w:val="24"/>
          <w:szCs w:val="24"/>
          <w:color w:val="auto"/>
        </w:rPr>
      </w:pPr>
    </w:p>
    <w:p>
      <w:pPr>
        <w:ind w:left="10" w:right="2920"/>
        <w:spacing w:after="0" w:line="22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3" w:lineRule="exact"/>
        <w:rPr>
          <w:sz w:val="24"/>
          <w:szCs w:val="24"/>
          <w:color w:val="auto"/>
        </w:rPr>
      </w:pPr>
    </w:p>
    <w:p>
      <w:pPr>
        <w:ind w:left="1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9"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90" w:type="dxa"/>
        <w:tblCellMar>
          <w:top w:w="0" w:type="dxa"/>
          <w:left w:w="0" w:type="dxa"/>
          <w:bottom w:w="0" w:type="dxa"/>
          <w:right w:w="0" w:type="dxa"/>
        </w:tblCellMar>
      </w:tblPr>
      <w:tr>
        <w:trPr>
          <w:trHeight w:val="165"/>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86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3200" w:type="dxa"/>
            <w:vAlign w:val="bottom"/>
          </w:tcPr>
          <w:p>
            <w:pPr>
              <w:ind w:left="116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186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3200" w:type="dxa"/>
            <w:vAlign w:val="bottom"/>
          </w:tcPr>
          <w:p>
            <w:pPr>
              <w:ind w:left="116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0" w:type="dxa"/>
            <w:vAlign w:val="bottom"/>
          </w:tcPr>
          <w:p>
            <w:pPr>
              <w:ind w:left="116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9" w:lineRule="exact"/>
        <w:rPr>
          <w:sz w:val="24"/>
          <w:szCs w:val="24"/>
          <w:color w:val="auto"/>
        </w:rPr>
      </w:pPr>
    </w:p>
    <w:p>
      <w:pPr>
        <w:ind w:left="10" w:right="2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2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3"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16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 w:lineRule="exact"/>
        <w:rPr>
          <w:sz w:val="24"/>
          <w:szCs w:val="24"/>
          <w:color w:val="auto"/>
        </w:rPr>
      </w:pPr>
    </w:p>
    <w:p>
      <w:pPr>
        <w:ind w:left="1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98" w:lineRule="exact"/>
        <w:rPr>
          <w:sz w:val="24"/>
          <w:szCs w:val="24"/>
          <w:color w:val="auto"/>
        </w:rPr>
      </w:pPr>
    </w:p>
    <w:p>
      <w:pPr>
        <w:jc w:val="both"/>
        <w:ind w:left="10" w:right="360"/>
        <w:spacing w:after="0" w:line="283" w:lineRule="auto"/>
        <w:rPr>
          <w:sz w:val="20"/>
          <w:szCs w:val="20"/>
          <w:color w:val="auto"/>
        </w:rPr>
      </w:pPr>
      <w:r>
        <w:rPr>
          <w:rFonts w:ascii="Arial" w:cs="Arial" w:eastAsia="Arial" w:hAnsi="Arial"/>
          <w:sz w:val="12"/>
          <w:szCs w:val="12"/>
          <w:color w:val="auto"/>
        </w:rPr>
        <w:t>The aggregate market value of the voting and non-voting stock held by non-affiliates of the Registrant, as of June 28, 2024, the last business day of the registrant’s most recently completed second fiscal quarter, was $903.8 million. As of February 21, 2025, the registrant had 57,345,611 shares of common stock, $0.00001 par value per share, outstanding.</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4"/>
          <w:szCs w:val="24"/>
          <w:color w:val="auto"/>
        </w:rPr>
      </w:pPr>
    </w:p>
    <w:p>
      <w:pPr>
        <w:ind w:left="10" w:right="120" w:firstLine="648"/>
        <w:spacing w:after="0" w:line="274" w:lineRule="auto"/>
        <w:rPr>
          <w:sz w:val="20"/>
          <w:szCs w:val="20"/>
          <w:color w:val="auto"/>
        </w:rPr>
      </w:pPr>
      <w:r>
        <w:rPr>
          <w:rFonts w:ascii="Arial" w:cs="Arial" w:eastAsia="Arial" w:hAnsi="Arial"/>
          <w:sz w:val="14"/>
          <w:szCs w:val="14"/>
          <w:color w:val="auto"/>
        </w:rPr>
        <w:t>Portions of the registrant’s definitive proxy statement relating to its 2025 Annual Meeting of Stockholders to be filed with the Securities and Exchange Commission within 120 days after the end of the fiscal year ended December 31, 2024, are incorporated herein by reference in Part III where indicated</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450215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gridSpan w:val="37"/>
            <w:vMerge w:val="restart"/>
          </w:tcPr>
          <w:p>
            <w:pPr>
              <w:spacing w:after="0"/>
              <w:rPr>
                <w:sz w:val="20"/>
                <w:szCs w:val="20"/>
                <w:color w:val="auto"/>
              </w:rPr>
            </w:pPr>
            <w:r>
              <w:rPr>
                <w:rFonts w:ascii="Arial" w:cs="Arial" w:eastAsia="Arial" w:hAnsi="Arial"/>
                <w:sz w:val="18"/>
                <w:szCs w:val="18"/>
                <w:color w:val="0000EE"/>
              </w:rPr>
              <w:t>Part I</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9220" w:type="dxa"/>
            <w:vAlign w:val="bottom"/>
            <w:gridSpan w:val="37"/>
            <w:vMerge w:val="continue"/>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CAUTIONARY NOTE REGARDING FORWARD-LOOKING STATEMENTS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ITEM 1. BUSINESS.</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1A. RISK FACTORS.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1B. UNRESOLVED</w:t>
            </w:r>
          </w:p>
        </w:tc>
        <w:tc>
          <w:tcPr>
            <w:tcW w:w="6080" w:type="dxa"/>
            <w:vAlign w:val="bottom"/>
            <w:gridSpan w:val="25"/>
          </w:tcPr>
          <w:p>
            <w:pPr>
              <w:jc w:val="center"/>
              <w:ind w:right="4460"/>
              <w:spacing w:after="0" w:line="182" w:lineRule="exact"/>
              <w:rPr>
                <w:sz w:val="20"/>
                <w:szCs w:val="20"/>
                <w:color w:val="auto"/>
              </w:rPr>
            </w:pPr>
            <w:r>
              <w:rPr>
                <w:rFonts w:ascii="Arial" w:cs="Arial" w:eastAsia="Arial" w:hAnsi="Arial"/>
                <w:sz w:val="18"/>
                <w:szCs w:val="18"/>
                <w:color w:val="0000EE"/>
                <w:w w:val="94"/>
              </w:rPr>
              <w:t>STAFF COMMENTS.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1C. CYBERSECURITY</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2. PROPERTIES.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ITEM 3. LEGAL PROCEEDINGS.</w:t>
            </w:r>
          </w:p>
        </w:tc>
        <w:tc>
          <w:tcPr>
            <w:tcW w:w="5540" w:type="dxa"/>
            <w:vAlign w:val="bottom"/>
            <w:gridSpan w:val="21"/>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II</w:t>
            </w:r>
          </w:p>
        </w:tc>
        <w:tc>
          <w:tcPr>
            <w:tcW w:w="1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gridSpan w:val="2"/>
          </w:tcPr>
          <w:p>
            <w:pPr>
              <w:spacing w:after="0"/>
              <w:rPr>
                <w:sz w:val="15"/>
                <w:szCs w:val="15"/>
                <w:color w:val="auto"/>
              </w:rPr>
            </w:pPr>
          </w:p>
        </w:tc>
        <w:tc>
          <w:tcPr>
            <w:tcW w:w="460" w:type="dxa"/>
            <w:vAlign w:val="bottom"/>
            <w:tcBorders>
              <w:top w:val="single" w:sz="8" w:color="0000EE"/>
            </w:tcBorders>
            <w:gridSpan w:val="3"/>
          </w:tcPr>
          <w:p>
            <w:pPr>
              <w:spacing w:after="0"/>
              <w:rPr>
                <w:sz w:val="15"/>
                <w:szCs w:val="15"/>
                <w:color w:val="auto"/>
              </w:rPr>
            </w:pPr>
          </w:p>
        </w:tc>
        <w:tc>
          <w:tcPr>
            <w:tcW w:w="160" w:type="dxa"/>
            <w:vAlign w:val="bottom"/>
            <w:tcBorders>
              <w:top w:val="single" w:sz="8" w:color="0000EE"/>
            </w:tcBorders>
            <w:gridSpan w:val="2"/>
          </w:tcPr>
          <w:p>
            <w:pPr>
              <w:spacing w:after="0"/>
              <w:rPr>
                <w:sz w:val="15"/>
                <w:szCs w:val="15"/>
                <w:color w:val="auto"/>
              </w:rPr>
            </w:pPr>
          </w:p>
        </w:tc>
        <w:tc>
          <w:tcPr>
            <w:tcW w:w="360" w:type="dxa"/>
            <w:vAlign w:val="bottom"/>
            <w:tcBorders>
              <w:top w:val="single" w:sz="8" w:color="0000EE"/>
            </w:tcBorders>
            <w:gridSpan w:val="2"/>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5. MARKET FOR REGISTRANT’S COMMON EQUITY, RELATED STOCKHOLDER MATTERS</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AND ISSUER PURCHASES OF EQUITY SECURITIES.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8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ITEM 6: [RESERVED]</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7. MANAGEMENT’S DISCUSSION AND ANALYSIS OF FINANCIAL CONDITION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2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RESULTS OF OPERATIONS.</w:t>
            </w:r>
          </w:p>
        </w:tc>
        <w:tc>
          <w:tcPr>
            <w:tcW w:w="3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7A. QUANTITATIVE AND QUALITATIVE DISCLOSURES ABOUT MARKET RISK.</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4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ITEM 8. FINANCIAL STATEMENTS AND SUPPLEMENTARY DATA.</w:t>
            </w:r>
          </w:p>
        </w:tc>
        <w:tc>
          <w:tcPr>
            <w:tcW w:w="22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6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w w:val="94"/>
              </w:rPr>
              <w:t>ITEM 9. CHANGES IN AND DISAGREEMENTS WITH ACCOUNTANTS</w:t>
            </w:r>
          </w:p>
        </w:tc>
        <w:tc>
          <w:tcPr>
            <w:tcW w:w="2780" w:type="dxa"/>
            <w:vAlign w:val="bottom"/>
            <w:gridSpan w:val="10"/>
          </w:tcPr>
          <w:p>
            <w:pPr>
              <w:ind w:left="340"/>
              <w:spacing w:after="0" w:line="182" w:lineRule="exact"/>
              <w:rPr>
                <w:sz w:val="20"/>
                <w:szCs w:val="20"/>
                <w:color w:val="auto"/>
              </w:rPr>
            </w:pPr>
            <w:r>
              <w:rPr>
                <w:rFonts w:ascii="Arial" w:cs="Arial" w:eastAsia="Arial" w:hAnsi="Arial"/>
                <w:sz w:val="18"/>
                <w:szCs w:val="18"/>
                <w:color w:val="0000EE"/>
              </w:rPr>
              <w:t>ON ACCOUNTING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6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FINANCIAL DISCLOSURE.</w:t>
            </w: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ITEM 9A. CONTROLS AND</w:t>
            </w:r>
          </w:p>
        </w:tc>
        <w:tc>
          <w:tcPr>
            <w:tcW w:w="6020" w:type="dxa"/>
            <w:vAlign w:val="bottom"/>
            <w:gridSpan w:val="24"/>
          </w:tcPr>
          <w:p>
            <w:pPr>
              <w:jc w:val="center"/>
              <w:ind w:right="4580"/>
              <w:spacing w:after="0" w:line="182" w:lineRule="exact"/>
              <w:rPr>
                <w:sz w:val="20"/>
                <w:szCs w:val="20"/>
                <w:color w:val="auto"/>
              </w:rPr>
            </w:pPr>
            <w:r>
              <w:rPr>
                <w:rFonts w:ascii="Arial" w:cs="Arial" w:eastAsia="Arial" w:hAnsi="Arial"/>
                <w:sz w:val="18"/>
                <w:szCs w:val="18"/>
                <w:color w:val="0000EE"/>
                <w:w w:val="99"/>
              </w:rPr>
              <w:t>PROCEDURES.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8"/>
              </w:rPr>
              <w:t>ITEM 9B. OTHER INFORMATION.</w:t>
            </w:r>
          </w:p>
        </w:tc>
        <w:tc>
          <w:tcPr>
            <w:tcW w:w="820" w:type="dxa"/>
            <w:vAlign w:val="bottom"/>
            <w:tcBorders>
              <w:top w:val="single" w:sz="8" w:color="0000EE"/>
            </w:tcBorders>
            <w:gridSpan w:val="4"/>
          </w:tcPr>
          <w:p>
            <w:pPr>
              <w:spacing w:after="0"/>
              <w:rPr>
                <w:sz w:val="15"/>
                <w:szCs w:val="15"/>
                <w:color w:val="auto"/>
              </w:rPr>
            </w:pPr>
          </w:p>
        </w:tc>
        <w:tc>
          <w:tcPr>
            <w:tcW w:w="1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360" w:type="dxa"/>
            <w:vAlign w:val="bottom"/>
            <w:gridSpan w:val="2"/>
          </w:tcPr>
          <w:p>
            <w:pPr>
              <w:spacing w:after="0"/>
              <w:rPr>
                <w:sz w:val="15"/>
                <w:szCs w:val="15"/>
                <w:color w:val="auto"/>
              </w:rPr>
            </w:pPr>
          </w:p>
        </w:tc>
        <w:tc>
          <w:tcPr>
            <w:tcW w:w="88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w w:val="99"/>
              </w:rPr>
              <w:t>ITEM 9C. DISCLOSURES REGARDING FOREIGN JURISDICTIONS THAT PREVENT INSPECTIONS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III</w:t>
            </w:r>
          </w:p>
        </w:tc>
        <w:tc>
          <w:tcPr>
            <w:tcW w:w="1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gridSpan w:val="9"/>
          </w:tcPr>
          <w:p>
            <w:pPr>
              <w:spacing w:after="0"/>
              <w:rPr>
                <w:sz w:val="15"/>
                <w:szCs w:val="15"/>
                <w:color w:val="auto"/>
              </w:rPr>
            </w:pPr>
          </w:p>
        </w:tc>
        <w:tc>
          <w:tcPr>
            <w:tcW w:w="440" w:type="dxa"/>
            <w:vAlign w:val="bottom"/>
            <w:tcBorders>
              <w:top w:val="single" w:sz="8" w:color="0000EE"/>
            </w:tcBorders>
            <w:gridSpan w:val="2"/>
          </w:tcPr>
          <w:p>
            <w:pPr>
              <w:spacing w:after="0"/>
              <w:rPr>
                <w:sz w:val="15"/>
                <w:szCs w:val="15"/>
                <w:color w:val="auto"/>
              </w:rPr>
            </w:pPr>
          </w:p>
        </w:tc>
        <w:tc>
          <w:tcPr>
            <w:tcW w:w="160" w:type="dxa"/>
            <w:vAlign w:val="bottom"/>
            <w:tcBorders>
              <w:top w:val="single" w:sz="8" w:color="0000EE"/>
            </w:tcBorders>
            <w:gridSpan w:val="2"/>
          </w:tcPr>
          <w:p>
            <w:pPr>
              <w:spacing w:after="0"/>
              <w:rPr>
                <w:sz w:val="15"/>
                <w:szCs w:val="15"/>
                <w:color w:val="auto"/>
              </w:rPr>
            </w:pPr>
          </w:p>
        </w:tc>
        <w:tc>
          <w:tcPr>
            <w:tcW w:w="1620" w:type="dxa"/>
            <w:vAlign w:val="bottom"/>
            <w:tcBorders>
              <w:top w:val="single" w:sz="8" w:color="0000EE"/>
            </w:tcBorders>
            <w:gridSpan w:val="4"/>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920" w:type="dxa"/>
            <w:vAlign w:val="bottom"/>
            <w:tcBorders>
              <w:top w:val="single" w:sz="8" w:color="0000EE"/>
            </w:tcBorders>
            <w:gridSpan w:val="3"/>
          </w:tcPr>
          <w:p>
            <w:pPr>
              <w:spacing w:after="0"/>
              <w:rPr>
                <w:sz w:val="15"/>
                <w:szCs w:val="15"/>
                <w:color w:val="auto"/>
              </w:rPr>
            </w:pPr>
          </w:p>
        </w:tc>
        <w:tc>
          <w:tcPr>
            <w:tcW w:w="360" w:type="dxa"/>
            <w:vAlign w:val="bottom"/>
            <w:tcBorders>
              <w:top w:val="single" w:sz="8" w:color="0000EE"/>
            </w:tcBorders>
            <w:gridSpan w:val="2"/>
          </w:tcPr>
          <w:p>
            <w:pPr>
              <w:spacing w:after="0"/>
              <w:rPr>
                <w:sz w:val="15"/>
                <w:szCs w:val="15"/>
                <w:color w:val="auto"/>
              </w:rPr>
            </w:pPr>
          </w:p>
        </w:tc>
        <w:tc>
          <w:tcPr>
            <w:tcW w:w="880" w:type="dxa"/>
            <w:vAlign w:val="bottom"/>
            <w:tcBorders>
              <w:top w:val="single" w:sz="8" w:color="0000EE"/>
            </w:tcBorders>
            <w:gridSpan w:val="4"/>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10. DIRECTORS, EXECUTIVE OFFICERS AND CORPORATE GOVERNANCE.</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ITEM 11. EXECUTIVE COMPENSATION.</w:t>
            </w:r>
          </w:p>
        </w:tc>
        <w:tc>
          <w:tcPr>
            <w:tcW w:w="360" w:type="dxa"/>
            <w:vAlign w:val="bottom"/>
            <w:gridSpan w:val="2"/>
          </w:tcPr>
          <w:p>
            <w:pPr>
              <w:spacing w:after="0"/>
              <w:rPr>
                <w:sz w:val="15"/>
                <w:szCs w:val="15"/>
                <w:color w:val="auto"/>
              </w:rPr>
            </w:pPr>
          </w:p>
        </w:tc>
        <w:tc>
          <w:tcPr>
            <w:tcW w:w="88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ITEM 12. SECURITY OWNERSHIP OF</w:t>
            </w:r>
          </w:p>
        </w:tc>
        <w:tc>
          <w:tcPr>
            <w:tcW w:w="4900" w:type="dxa"/>
            <w:vAlign w:val="bottom"/>
            <w:gridSpan w:val="16"/>
          </w:tcPr>
          <w:p>
            <w:pPr>
              <w:spacing w:after="0" w:line="182" w:lineRule="exact"/>
              <w:rPr>
                <w:sz w:val="20"/>
                <w:szCs w:val="20"/>
                <w:color w:val="auto"/>
              </w:rPr>
            </w:pPr>
            <w:r>
              <w:rPr>
                <w:rFonts w:ascii="Arial" w:cs="Arial" w:eastAsia="Arial" w:hAnsi="Arial"/>
                <w:sz w:val="18"/>
                <w:szCs w:val="18"/>
                <w:color w:val="0000EE"/>
                <w:w w:val="98"/>
              </w:rPr>
              <w:t>CERTAIN BENEFICIAL OWNERS AND MANAGEMENT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14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0000EE"/>
              </w:rPr>
              <w:t>RELATED STOCKHOLDER MATTERS.</w:t>
            </w:r>
          </w:p>
        </w:tc>
        <w:tc>
          <w:tcPr>
            <w:tcW w:w="100" w:type="dxa"/>
            <w:vAlign w:val="bottom"/>
            <w:gridSpan w:val="2"/>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9"/>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13. CERTAIN RELATIONSHIPS AND RELATED TRANSACTIONS, AND DIRECTOR</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6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INDEPENDENCE.</w:t>
            </w:r>
          </w:p>
        </w:tc>
        <w:tc>
          <w:tcPr>
            <w:tcW w:w="980" w:type="dxa"/>
            <w:vAlign w:val="bottom"/>
            <w:gridSpan w:val="6"/>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14. PRINCIPAL ACCOUNTANT FEES AND SERVICES.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IV</w:t>
            </w:r>
          </w:p>
        </w:tc>
        <w:tc>
          <w:tcPr>
            <w:tcW w:w="1140" w:type="dxa"/>
            <w:vAlign w:val="bottom"/>
            <w:tcBorders>
              <w:top w:val="single" w:sz="8" w:color="0000EE"/>
            </w:tcBorders>
          </w:tcPr>
          <w:p>
            <w:pPr>
              <w:spacing w:after="0"/>
              <w:rPr>
                <w:sz w:val="15"/>
                <w:szCs w:val="15"/>
                <w:color w:val="auto"/>
              </w:rPr>
            </w:pPr>
          </w:p>
        </w:tc>
        <w:tc>
          <w:tcPr>
            <w:tcW w:w="1580" w:type="dxa"/>
            <w:vAlign w:val="bottom"/>
            <w:tcBorders>
              <w:top w:val="single" w:sz="8" w:color="0000EE"/>
            </w:tcBorders>
            <w:gridSpan w:val="10"/>
          </w:tcPr>
          <w:p>
            <w:pPr>
              <w:spacing w:after="0"/>
              <w:rPr>
                <w:sz w:val="15"/>
                <w:szCs w:val="15"/>
                <w:color w:val="auto"/>
              </w:rPr>
            </w:pPr>
          </w:p>
        </w:tc>
        <w:tc>
          <w:tcPr>
            <w:tcW w:w="2220" w:type="dxa"/>
            <w:vAlign w:val="bottom"/>
            <w:tcBorders>
              <w:top w:val="single" w:sz="8" w:color="0000EE"/>
            </w:tcBorders>
            <w:gridSpan w:val="8"/>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260" w:type="dxa"/>
            <w:vAlign w:val="bottom"/>
            <w:gridSpan w:val="11"/>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15. EXHIBITS, FINANCIAL STATEMENT SCHEDULES.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ITEM 16. FORM 10-K SUMMARY.</w:t>
            </w:r>
          </w:p>
        </w:tc>
        <w:tc>
          <w:tcPr>
            <w:tcW w:w="3280" w:type="dxa"/>
            <w:vAlign w:val="bottom"/>
            <w:gridSpan w:val="12"/>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SIGNATURES</w:t>
            </w:r>
          </w:p>
        </w:tc>
        <w:tc>
          <w:tcPr>
            <w:tcW w:w="5500" w:type="dxa"/>
            <w:vAlign w:val="bottom"/>
            <w:gridSpan w:val="20"/>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783"/>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and financial position, our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the sections in this Annual Report on Form 10-K titled “—Item 1A. Risk Factors.” and “Part II—Item 7. Management’s Discussion and Analysis of Financial Condition and Results of Operations.”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herein under “—Item 1A. Risk Factors.” These and other factors could cause results to differ materially from those expressed and forecasts in the estimates made by the independent parties and by us.</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subsidiaries, Harmony Biosciences Management, Inc. and Harmony Biosciences, LLC.</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Further, we have in-licensed from Bioprojet Société Civile de Recherche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Annual Report on Form 10-K are the property of their respective owners.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numerous risks and uncertainties. You should carefully consider these risks and uncertainties when investing in our securities. The principal risks and uncertainties affecting our business include the following:</w:t>
      </w:r>
    </w:p>
    <w:p>
      <w:pPr>
        <w:spacing w:after="0" w:line="142" w:lineRule="exact"/>
        <w:rPr>
          <w:sz w:val="20"/>
          <w:szCs w:val="20"/>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commercial success of our only approved product, WAKIX. If we are unable to maintain or increase sales of WAKIX, our ability to generate revenue and our financial condition will be adversely affected.</w:t>
      </w:r>
    </w:p>
    <w:p>
      <w:pPr>
        <w:spacing w:after="0" w:line="13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commercial adoption of WAKIX and any other product candidates we develop will depend on the degree of their market acceptance.</w:t>
      </w:r>
    </w:p>
    <w:p>
      <w:pPr>
        <w:spacing w:after="0" w:line="113"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our license agreements with Bioprojet to provide rights to the core intellectual property relating to pitolisant, and any termination or loss of significant rights under the agreement would adversely affect our development and/or commercialization of pitolisant.</w:t>
      </w:r>
    </w:p>
    <w:p>
      <w:pPr>
        <w:spacing w:after="0" w:line="143"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3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Public health pandemics, such as the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3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and history of commercializing drugs, which may make it difficult for you to evaluate the success of our business to date and assess our future viability.</w:t>
      </w:r>
    </w:p>
    <w:p>
      <w:pPr>
        <w:spacing w:after="0" w:line="127"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successful in our efforts to identify, in-license or acquire, discover, develop or commercialize additional product candidates, or identify other indications for pitolisant beyond EDS or cataplexy in adult patients with narcolepsy.</w:t>
      </w:r>
    </w:p>
    <w:p>
      <w:pPr>
        <w:spacing w:after="0" w:line="13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 of the FDA is costly, lengthy and inherently unpredictable, and our business may be substantially harmed if experience insufficient results in the course of our business development or are ultimately unable to obtain regulatory approval for any of our ongoing development programs in other potential indications.</w:t>
      </w:r>
    </w:p>
    <w:p>
      <w:pPr>
        <w:spacing w:after="0" w:line="136"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obtain and sustain an adequate level of coverage and reimbursement for WAKIX and other product candidates by third-party payors, sales would be adversely affected.</w:t>
      </w:r>
    </w:p>
    <w:p>
      <w:pPr>
        <w:spacing w:after="0" w:line="127"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and may be required in the future to make significant payments to Bioprojet under our licensing and collaboration agreements for pitolisant.</w:t>
      </w:r>
    </w:p>
    <w:p>
      <w:pPr>
        <w:spacing w:after="0" w:line="113"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36" w:lineRule="exact"/>
        <w:rPr>
          <w:rFonts w:ascii="Times New Roman" w:cs="Times New Roman" w:eastAsia="Times New Roman" w:hAnsi="Times New Roman"/>
          <w:sz w:val="18"/>
          <w:szCs w:val="18"/>
          <w:color w:val="auto"/>
        </w:rPr>
      </w:pPr>
    </w:p>
    <w:p>
      <w:pPr>
        <w:jc w:val="both"/>
        <w:ind w:left="1000" w:hanging="317"/>
        <w:spacing w:after="0" w:line="24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WAKIX has been approved by the FDA for the treatment of EDS or cataplexy in adult patients with narcolepsy, and for EDS in children six years of age and older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5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right="20" w:hanging="317"/>
        <w:spacing w:after="0" w:line="252"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3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directors, officers and principal stockholders beneficially own a significant percentage of our stock and are able to exert significant control over matters subject to stockholder approval.</w:t>
      </w:r>
    </w:p>
    <w:p>
      <w:pPr>
        <w:spacing w:after="0" w:line="127"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Future sales of our common stock in the public market, including sales by our directors, officers, or significant shareholders, could cause our share price to fall.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At Harmony, 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w:t>
      </w:r>
    </w:p>
    <w:p>
      <w:pPr>
        <w:spacing w:after="0" w:line="147"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Our lead product, WAKIX® (pitolisant) (“WAKIX”), is a first-in-class therapy with a novel mechanism of action designed to enhance histamine signaling in the brain by binding to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Since its initial FDA approval in 2019 for excessive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daytime sleepiness (“EDS”) in adult patients with narcolepsy and subsequent approvals for cataplexy in adult patients in 2020 and EDS in pediatric patients six years and older in 2024, WAKIX has continued to reshape the treatment landscape for narcolepsy and remains the only FDA-approved treatment for narcolepsy that is not scheduled as a controlled substance by the U.S. Drug Enforcement Administration (“DEA”).</w:t>
      </w:r>
    </w:p>
    <w:p>
      <w:pPr>
        <w:spacing w:after="0" w:line="14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Beyond narcolepsy, we have taken a mechanistic-based approach to expanding the reach of pitolisant, identifying idiopathic hypersomnia (“IH”) as a potential next indication in its lifecycle. In the fourth quarter of 2024, we submitted a supplemental New Drug Application (“sNDA”) for pitolisant in IH based on a comprehensive evaluation of data from our INTUNE study and additional sources. In February 2025, we received a Refusal to File letter from the FDA for pitolisant in IH. We are also advancing late-stage clinical programs exploring pitolisant in Prader-Willi syndrome (“PWS”) and myotonic dystrophy type 1 (“DM1”) and continue to grow our impact in other rare neurological diseases. In July 2022, we entered into the 2022 LCA with Bioprojet whereby we obtained exclusive rights to manufacture, develop and commercialize one or more next generation pitolisant based products in the United States and Latin America. Two of the next generation formulations, pitolisant Gastro-Resistant (“pitolisant GR”) and pitolisant High-Dose (“pitolisant HD”) are currently in clinical development.</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Along with nurturing the growth of our original pipeline, our innovation strategy includes targeted business development that strengthens our foundation and strategically extends our patient reach as we look to expand our portfolio to new diseases beyond histaminergic science. In October 2023, we acquired Zynerba Pharmaceuticals, Inc. (“Zynerba”), adding global rights to develop, manufacture and commercialize ZYN-002, a pharmaceutically manufactured 100% synthetic, patent protected permeation enhanced cannabidiol gel, to our neurobehavioral franchise. With a Phase 3 registrational trial underway for Fragile X syndrome (“FXS”) and plans to initiate a Phase 3 registrational trial in 22q deletion syndrome (“22q”) in 2025, we are poised to deliver new treatment possibilities for patients with neurobehavioral conditions.</w:t>
      </w:r>
    </w:p>
    <w:p>
      <w:pPr>
        <w:spacing w:after="0" w:line="15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2024, we expanded into orexin science through a sublicense agreement with Bioprojet for an orexin 2 receptor agonist (“BP1.15205”) in preclinical development for narcolepsy and other potential indications. Under the sublicense agreement we obtained the exclusive right to develop, manufacture and commercialize BP1.15205 in the United States and Latin American territories, which are rights originally licensed from Teijin Pharma, the innovator of BP1.15205. We further broadened our portfolio into rare epilepsy with the acquisition of Epygenix Therapeutics, Inc., adding global rights to develop, manufacture and commercialize EPX-100, a serotonin (5HT-2) receptor agonist, and EPX-200, a selective 5HT-2C agonist. EPX-100 is in Phase 3 registrational trials for Dravet Syndrome (“DS”) and Lennox-Gastaut Syndrome (“LGS”), and EPX-200 is in the pre-IND phase for developmental and epileptic encephalopathies (“DEEs”).</w:t>
      </w:r>
    </w:p>
    <w:p>
      <w:pPr>
        <w:spacing w:after="0" w:line="14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innovative portfolio of assets reflects our dedication to novel science, innovative therapies and excellence in delivering these treatments to patients with serious medical conditions who have few or no available options.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operations are conducted by our wholly owned subsidiaries, Harmony Biosciences, LLC and Harmony Biosciences Management, Inc., formerly known as Zynerba prior to July 1, 2024.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Sleep/Wake Franchise</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color w:val="auto"/>
        </w:rPr>
        <w:t xml:space="preserve">WAKIX (pitolisant). </w:t>
      </w:r>
      <w:r>
        <w:rPr>
          <w:rFonts w:ascii="Arial" w:cs="Arial" w:eastAsia="Arial" w:hAnsi="Arial"/>
          <w:sz w:val="18"/>
          <w:szCs w:val="18"/>
          <w:color w:val="auto"/>
        </w:rPr>
        <w:t>Pitolisant was developed by Bioprojet and approved by the EMA in 2016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 In August 2019, WAKIX was approved by the FDA for the treatment of EDS in adult patients with narcolepsy, and its U.S. commercial launch was initiated in November 2019. In October 2020, WAKIX was approved by the FDA for the treatment of cataplexy in adult patients with narcolepsy.</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WAKIX represents a novel approach to narcolepsy treatment. We believe that WAKIX offers a meaningfully differentiated product profile over current treatment options for the following reasons:</w:t>
      </w:r>
    </w:p>
    <w:p>
      <w:pPr>
        <w:spacing w:after="0" w:line="113" w:lineRule="exact"/>
        <w:rPr>
          <w:sz w:val="20"/>
          <w:szCs w:val="20"/>
          <w:color w:val="auto"/>
        </w:rPr>
      </w:pPr>
    </w:p>
    <w:p>
      <w:pPr>
        <w:jc w:val="both"/>
        <w:ind w:left="1000" w:hanging="317"/>
        <w:spacing w:after="0" w:line="243" w:lineRule="auto"/>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First-in-class molecule with a novel MOA</w:t>
      </w:r>
      <w:r>
        <w:rPr>
          <w:rFonts w:ascii="Arial" w:cs="Arial" w:eastAsia="Arial" w:hAnsi="Arial"/>
          <w:sz w:val="18"/>
          <w:szCs w:val="18"/>
          <w:color w:val="auto"/>
        </w:rPr>
        <w:t>. WAKIX is a first-in-class molecule with a novel mechanism of</w:t>
      </w:r>
      <w:r>
        <w:rPr>
          <w:rFonts w:ascii="Arial" w:cs="Arial" w:eastAsia="Arial" w:hAnsi="Arial"/>
          <w:sz w:val="18"/>
          <w:szCs w:val="18"/>
          <w:b w:val="1"/>
          <w:bCs w:val="1"/>
          <w:color w:val="auto"/>
        </w:rPr>
        <w:t xml:space="preserve"> </w:t>
      </w:r>
      <w:r>
        <w:rPr>
          <w:rFonts w:ascii="Arial" w:cs="Arial" w:eastAsia="Arial" w:hAnsi="Arial"/>
          <w:sz w:val="18"/>
          <w:szCs w:val="18"/>
          <w:color w:val="auto"/>
        </w:rPr>
        <w:t>action (“MOA”) and is the only selective H</w:t>
      </w:r>
      <w:r>
        <w:rPr>
          <w:rFonts w:ascii="Arial" w:cs="Arial" w:eastAsia="Arial" w:hAnsi="Arial"/>
          <w:sz w:val="11"/>
          <w:szCs w:val="11"/>
          <w:color w:val="auto"/>
        </w:rPr>
        <w:t>3</w:t>
      </w:r>
      <w:r>
        <w:rPr>
          <w:rFonts w:ascii="Arial" w:cs="Arial" w:eastAsia="Arial" w:hAnsi="Arial"/>
          <w:sz w:val="18"/>
          <w:szCs w:val="18"/>
          <w:color w:val="auto"/>
        </w:rPr>
        <w:t xml:space="preserve"> receptor antagonist/inverse agonist approved by the FDA. Pitolisant is thought to work by regulating histamine, such that it activates wake-promoting neurons and inhibits sleep promoting neurons, which helps to stabilize states of sleep and wakefulness. We believe that these novel characteristics differentiate it from other narcolepsy treatments.</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First-and-only non-scheduled treatment for narcolepsy</w:t>
      </w:r>
      <w:r>
        <w:rPr>
          <w:rFonts w:ascii="Arial" w:cs="Arial" w:eastAsia="Arial" w:hAnsi="Arial"/>
          <w:sz w:val="18"/>
          <w:szCs w:val="18"/>
          <w:color w:val="auto"/>
        </w:rPr>
        <w:t>. WAKIX is the first-and-only FDA-approved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for narcolepsy that is not scheduled as a controlled substance by the DEA. We believe one of the most significant unmet needs is the availability of non-scheduled treatment options.</w:t>
      </w:r>
    </w:p>
    <w:p>
      <w:pPr>
        <w:spacing w:after="0" w:line="157"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WAKIX is not a stimulant. </w:t>
      </w:r>
      <w:r>
        <w:rPr>
          <w:rFonts w:ascii="Arial" w:cs="Arial" w:eastAsia="Arial" w:hAnsi="Arial"/>
          <w:sz w:val="18"/>
          <w:szCs w:val="18"/>
          <w:color w:val="auto"/>
        </w:rPr>
        <w:t>Stimulants are one of the most commonly prescribed treatments for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and have the potential for abuse so their use must be considered carefully by HCPs and patients. Unlike stimulants, in clinical trials, WAKIX showed no evidence for the development of drug tolerance or withdrawal symptoms. In addition, unlike stimulants, WAKIX does not increase dopamine levels in the brain’s reward center, which contributes to its lack of abuse potential.</w:t>
      </w:r>
    </w:p>
    <w:p>
      <w:pPr>
        <w:spacing w:after="0" w:line="166" w:lineRule="exact"/>
        <w:rPr>
          <w:rFonts w:ascii="Times New Roman" w:cs="Times New Roman" w:eastAsia="Times New Roman" w:hAnsi="Times New Roman"/>
          <w:sz w:val="18"/>
          <w:szCs w:val="18"/>
          <w:color w:val="auto"/>
        </w:rPr>
      </w:pPr>
    </w:p>
    <w:p>
      <w:pPr>
        <w:jc w:val="both"/>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WAKIX can be used as monotherapy or administered concomitantly with other narcolepsy treatments. </w:t>
      </w:r>
      <w:r>
        <w:rPr>
          <w:rFonts w:ascii="Arial" w:cs="Arial" w:eastAsia="Arial" w:hAnsi="Arial"/>
          <w:sz w:val="18"/>
          <w:szCs w:val="18"/>
          <w:color w:val="auto"/>
        </w:rPr>
        <w:t>Narcolepsy is a difficult disorder to manage, and the majority of narcolepsy patients often require multiple medications to treat their symptoms. WAKIX was studied in combination with each of modafinil and sodium oxybate (two common treatments for narcolepsy) and demonstrated no effect on the pharmacokinetic (“PK”) profile of either treatment, and neither treatment had a clinically relevant effect on the PK profile of WAKIX. We believe the ability of WAKIX to be taken as monotherapy or concomitantly with other narcolepsy medications affords HCPs the flexibility to better manage their patients with narcolepsy.</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WAKIX is a once-daily oral tablet administered in the morning upon wakening</w:t>
      </w:r>
      <w:r>
        <w:rPr>
          <w:rFonts w:ascii="Arial" w:cs="Arial" w:eastAsia="Arial" w:hAnsi="Arial"/>
          <w:sz w:val="18"/>
          <w:szCs w:val="18"/>
          <w:color w:val="auto"/>
        </w:rPr>
        <w:t>. Patients have identified a</w:t>
      </w:r>
      <w:r>
        <w:rPr>
          <w:rFonts w:ascii="Arial" w:cs="Arial" w:eastAsia="Arial" w:hAnsi="Arial"/>
          <w:sz w:val="18"/>
          <w:szCs w:val="18"/>
          <w:b w:val="1"/>
          <w:bCs w:val="1"/>
          <w:color w:val="auto"/>
        </w:rPr>
        <w:t xml:space="preserve"> </w:t>
      </w:r>
      <w:r>
        <w:rPr>
          <w:rFonts w:ascii="Arial" w:cs="Arial" w:eastAsia="Arial" w:hAnsi="Arial"/>
          <w:sz w:val="18"/>
          <w:szCs w:val="18"/>
          <w:color w:val="auto"/>
        </w:rPr>
        <w:t>need for treatment options that are easier to take and are dosed less frequently. We believe that once-daily dosing with WAKIX addresses this need and may help improve patient compliance with treatment.</w:t>
      </w:r>
    </w:p>
    <w:p>
      <w:pPr>
        <w:spacing w:after="0" w:line="14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U.S. narcolepsy market had an approximate net sales value of $2.9 billion in 2023. The market is expected to continue to grow based on several factors, including, but not limited to, the introduction of new innovative therapies that offer novel mechanisms of action resulting in improved safety/tolerability profiles while delivering clinically meaningful efficacy, additional investment in education, increased rates of diagnosis, and population growth.</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product revenue related to the sales of WAKIX was $714.7 million for the year ended December 31, 2024. As of December 31, 2024, we continued to see growth in unique HCPs prescribing WAKIX since it became available in November 2019. The average number of patients on WAKIX in the fourth quarter of 2024 was approximately 7,100.</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Pipeline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146050</wp:posOffset>
            </wp:positionV>
            <wp:extent cx="6172200" cy="2203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Sleep/Wake Franchise</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color w:val="auto"/>
        </w:rPr>
        <w:t xml:space="preserve">Pitolisant. </w:t>
      </w:r>
      <w:r>
        <w:rPr>
          <w:rFonts w:ascii="Arial" w:cs="Arial" w:eastAsia="Arial" w:hAnsi="Arial"/>
          <w:sz w:val="18"/>
          <w:szCs w:val="18"/>
          <w:color w:val="auto"/>
        </w:rPr>
        <w:t>We believe that pitolisant’s ability to regulate histamine and histaminergic signaling gives it the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to provide therapeutic benefit in other disorders that are mediated through the H</w:t>
      </w:r>
      <w:r>
        <w:rPr>
          <w:rFonts w:ascii="Arial" w:cs="Arial" w:eastAsia="Arial" w:hAnsi="Arial"/>
          <w:sz w:val="11"/>
          <w:szCs w:val="11"/>
          <w:color w:val="auto"/>
        </w:rPr>
        <w:t>3</w:t>
      </w:r>
      <w:r>
        <w:rPr>
          <w:rFonts w:ascii="Arial" w:cs="Arial" w:eastAsia="Arial" w:hAnsi="Arial"/>
          <w:sz w:val="18"/>
          <w:szCs w:val="18"/>
          <w:color w:val="auto"/>
        </w:rPr>
        <w:t xml:space="preserve"> receptor and histamine signaling and offers a </w:t>
      </w:r>
      <w:r>
        <w:rPr>
          <w:rFonts w:ascii="Arial" w:cs="Arial" w:eastAsia="Arial" w:hAnsi="Arial"/>
          <w:sz w:val="18"/>
          <w:szCs w:val="18"/>
          <w:i w:val="1"/>
          <w:iCs w:val="1"/>
          <w:color w:val="auto"/>
        </w:rPr>
        <w:t>portfolio in a product</w:t>
      </w:r>
      <w:r>
        <w:rPr>
          <w:rFonts w:ascii="Arial" w:cs="Arial" w:eastAsia="Arial" w:hAnsi="Arial"/>
          <w:sz w:val="18"/>
          <w:szCs w:val="18"/>
          <w:color w:val="auto"/>
        </w:rPr>
        <w:t xml:space="preserve"> opportunity. We have continued to pursue label expansion of WAKIX in narcolepsy and seek new indications in rare neurological disease patient populations that have EDS as a prominent symptom, along with other symptoms mediated by CNS histamine signaling including: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Idiopathic Hypersomnia</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IH is a central disorder of hypersomnolence resulting in sleep-wake state instability. It is a rare and chronic neurological disease that is characterized by EDS despite sufficient or even long sleep time. Based on insurance claims data, the number of patients diagnosed with IH in the US ranges from 30,000 to 40,000.</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Pitolisant received orphan drug designation by the FDA for the treatment of IH in September 2023 and Fast Track designation for the treatment of IH in November 2023. In April 2022, we initiated a Phase 3 registrational trial, the INTUNE Study, to evaluate the efficacy and safety of pitolisant in adult patients with IH. We completed enrollment in the INTUNE study in May 2023 and we announced topline data in October 2023. Topline study results include:</w:t>
      </w:r>
    </w:p>
    <w:p>
      <w:pPr>
        <w:spacing w:after="0" w:line="174" w:lineRule="exact"/>
        <w:rPr>
          <w:sz w:val="20"/>
          <w:szCs w:val="20"/>
          <w:color w:val="auto"/>
        </w:rPr>
      </w:pPr>
    </w:p>
    <w:p>
      <w:pPr>
        <w:jc w:val="both"/>
        <w:ind w:left="1000" w:right="20" w:hanging="317"/>
        <w:spacing w:after="0" w:line="252"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83% of patients who completed the 8-week open-label treatment period with pitolisant were responders (as defined by a decrease on the ESS of ≥3 points) and experienced a robust clinical response, with an average ESS change from baseline of – 9.4 points.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 positive trend favoring pitolisant was observed during the 4-week double-blind randomized withdrawal period, however no statistically significant difference was observed between pitolisant and placebo groups on ESS, the primary endpoint.</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Positive trends favoring pitolisant were also observed across additional prespecified endpoints including the IH Severity Scale, which approached statistical significance, as well as on the Sleep Inertia Questionnaire.</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88% of patients in the Double-Blind Randomized Withdrawal Phase continued into a long-term extension study, which is ongoing.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20" w:hanging="317"/>
        <w:spacing w:after="0" w:line="270" w:lineRule="auto"/>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and tolerability profile of pitolisant in adult patients with idiopathic hypersomnia was consistent with the established safety profile of pitolisant and no new safety signals were observed.</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While the primary endpoint did not meet statistical significance, we believe the totality of the data showed favorable numerical trends for pitolisant in the treatment of adult patients with IH. We met with the FDA in March 2024 to discuss the path forward for IH and submitted an sNDA during the fourth quarter of 2024 based on the totality of the data obtained from the INTUNE study and other sources. In February 2025, we received a Refusal to File letter from the FDA for pitolisant in IH.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Prader-Willi Syndrome</w:t>
      </w:r>
    </w:p>
    <w:p>
      <w:pPr>
        <w:spacing w:after="0" w:line="19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color w:val="auto"/>
        </w:rPr>
        <w:t>PWS is a rare genetic disorder caused by a loss of function of specific genes on the long arm of chromosome 15 resulting in hypothalamic dysfunction. The hypothalamus controls both sleep-wake states and hunger-satiety; therefore, two of the main symptoms in patients with PWS are hyperphagia and EDS. It is estimated that approximately 15,000 to 20,000 people in the United States suffer from PWS, and over half of the patients living with PWS experience EDS.</w:t>
      </w:r>
    </w:p>
    <w:p>
      <w:pPr>
        <w:spacing w:after="0" w:line="16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December 2020, we initiated a Phase 2 proof-of-concept clinical trial to evaluate pitolisant for the treatment of EDS and other key symptoms in patients with PWS, including behavioral symptoms and cognitive impairment. Topline results from this clinical proof-of-concept trial were reported in November 2022 and showed a positive signal on improvement in the primary outcome related to EDS. Based on the positive signals from our Phase 2 proof-of-concept signal detection clinical trial, an End-of-Phase 2 meeting with the FDA was held in June 2023. We have aligned with the FDA on the proposed Phase 3 study design to support further investigation of pitolisant as a potential treatment to address the unmet medical need for children, adolescents and adults with PWS experiencing EDS, for which there is currently no approved treatment. In October 2023, we received FDA feedback regarding our proposed study protocol for the Phase 3 TEMPO study in patients with PWS, which has the potential to serve as a registrational trial and will support our efforts to seek pediatric exclusivity for pitolisant. In February 2024, the FDA granted Orphan Drug designation to pitolisant for the treatment of PWS. We initiated the Phase 3 TEMPO study in the first quarter of 2024.</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remain committed to obtaining pediatric exclusivity for WAKIX. The initiation of the PWS Phase 3 registrational trial, the TEMPO study, and the data in pediatric narcolepsy are supportive of our efforts in obtaining pediatric exclusivity for WAKIX. Our partner, Bioprojet completed a Phase 3 trial in pediatric patients with narcolepsy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In June 2024, we announced that the FDA approved our sNDA for WAKIX for the treatment of EDS in pediatric patients six years of age and older with narcolepsy. In addition, in June 2024, the FDA did not approve our sNDA seeking to expand the WAKIX label for the treatment of pediatric patients with cataplexy. In October 2024, we held a Type A meeting with the FDA to discuss the pediatric cataplexy indication and believe we reached alignment on a path to sNDA resubmission, which is planned for the second quarter of 2025.</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Myotonic Dystrophy Type 1</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DM1, otherwise known as dystrophia myotonica, is the most common form of adult-onset muscular dystrophy and affects as many as 160,000 patients in the United States. In addition to myotonia, a progressive muscle weakness which is the core symptom in patients with DM1, EDS and fatigue are hallmark clinical characteristics in patients with DM1 and occur in approximately 80% to 90% of patients. There are currently no FDA-approved treatments for patients with DM1, which represents a significant unmet medical need. We believe the therapeutic application of pitolisant may provide benefits across the key symptoms of EDS and fatigue which are often among the chief complaints of patients with DM1. We opened an IND in January 2021 and initiated a Phase 2 proof-of-concept clinical trial in adult patients with DM1 in June of 2021. The topline data were released in December 2023 and showed clinically meaningful improvements in EDS and fatigue, the two most prominent non-muscular symptoms in patients with DM1. The safety and tolerability profile of pitolisant in adult patients with DM1 was consistent with the established safety profile of pitolisant with no new safety signals detected and no serious adverse events reported.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Next Gen Pitolisant Formulations: Pitolisant Gastro-Resistant and Pitolisant High-Dose</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potential to add additional indications and formulations upon the agreement of both parties (see “Strategic Agreements” below). The 2022 LCA will expand our opportunity in narcolepsy, and potentially other indications mutually agreed upon by the parties.</w:t>
      </w:r>
    </w:p>
    <w:p>
      <w:pPr>
        <w:spacing w:after="0" w:line="1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Pursuant to the 2022 LCA with Bioprojet, we have made progress in the development of two new formulations of pitolisant, pitolisant GR and pitolisant HD. Both formulations entered into clinical studies in the fourth quarter of 2023. We received data from the pitolisant GR pilot bioequivalence study, which supports further development of pitolisant GR. We are on-track to initiate a pivotal bioequivalence study in the first quarter of 2025, with an anticipated data readout in the third quarter of 2025. Our anticipated PDUFA date for pitolisant GR is in 2026. We received data from the pitolisant HD pilot pharmacokinetics study in June 2024, which also supports advancing this development program toward Phase 3 registrational trials in narcolepsy and IH. The formulation optimization and technical operations work is ongoing, with a goal to initiate a Phase 3 registrational study in the fourth quarter of 2025. A Phase 1b study was conducted to evaluate the safety and tolerability of pitolisant at repeat doses of up to 180mg and the initial results are consistent with the known safety profile of pitolisant and support advancement of the pitolisant HD development program. Our anticipated PDUFA date for pitolisant HD is in 2028. Non-provisional patents have been filed for both of these formulations, with the potential for patent protection to the mid-2040’s.</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BP1.15205. </w:t>
      </w:r>
      <w:r>
        <w:rPr>
          <w:rFonts w:ascii="Arial" w:cs="Arial" w:eastAsia="Arial" w:hAnsi="Arial"/>
          <w:sz w:val="18"/>
          <w:szCs w:val="18"/>
          <w:color w:val="auto"/>
        </w:rPr>
        <w:t>In April 2024, we entered into a sublicense agreement with Bioprojet for BP1.15205, an orexin 2 receptor</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for the treatment of narcolepsy and other potential indications (the “Sublicense”). Under the Sublicense, we have obtained the exclusive right to develop, manufacture and commercialize BP1.15205 in the United States and Latin American territories, which are rights that Bioprojet originally licensed from Teijin Pharma, the innovator of BP1.15205. We believe the pre-clinical data from BP1.15205 is promising and we plan to file an investigational medicinal product dossier (“IMPD”) with the European Medicines Agency (“EMA”) in mid-2025 and begin first-in-human studies in the second half of 2025.</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HBS-102. </w:t>
      </w:r>
      <w:r>
        <w:rPr>
          <w:rFonts w:ascii="Arial" w:cs="Arial" w:eastAsia="Arial" w:hAnsi="Arial"/>
          <w:sz w:val="18"/>
          <w:szCs w:val="18"/>
          <w:color w:val="auto"/>
        </w:rPr>
        <w:t>In August 2021, we acquired HBS-102, a Melanin-concentrating hormone receptor type 1 (MCHR1) antagonist</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and the results are consistent with the expected results. In addition, a 13-week toxicology study has been completed, and we believe the preliminary results are encouraging.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Neurobehavioral Franchise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ZYN-002. </w:t>
      </w:r>
      <w:r>
        <w:rPr>
          <w:rFonts w:ascii="Arial" w:cs="Arial" w:eastAsia="Arial" w:hAnsi="Arial"/>
          <w:sz w:val="18"/>
          <w:szCs w:val="18"/>
          <w:color w:val="auto"/>
        </w:rPr>
        <w:t>We are currently seeking the following indications for our product candidate, ZYN-002, a pharmaceutically</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manufactured 100% synthetic, patent protected permeation enhanced cannabidiol gel:</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Fragile X Syndrome</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FXS is a rare genetic disorder that is the leading known cause of both inherited intellectual disability and autism spectrum disorder, affecting 1 in 3,600 to 4,000 males and 1 in 4,000 to 6,000 females. The disorder negatively affects synaptic function, plasticity and neuronal connections, and results in a spectrum of intellectual disabilities and behavioral symptoms, such as social avoidance and irritability. There are approximately 80,000 people in the United States and approximately 121,000 people in the European Union and UK living with FXS. The total addressable market in the United State alone is estimated to be approximately 25,000 people. There is a significant unmet medical need in patients living with FXS as there are currently no FDA approved treatments for this disorder.</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ZYN-002 is currently in a Phase 3 registrational trial, the RECONNECT study, designed to evaluate the safety and efficacy of ZYN002 in FXS. Topline data from our ZYN-002 Phase 3 study is anticipated in the third quarter of 2025. ZYN-002 has patent protection for the treatment of FXS until 2038.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22q Deletion Syndrome</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22q is a disorder caused by a small missing piece on the long arm of the 22nd chromosome. The deletion occurs near the middle of the chromosome at a location designated q11.2. It is considered a mid-line condition, with physical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symptoms including characteristic palate abnormalities, heart defects, immune dysfunction, and esophageal / GI issues, as well as debilitating neuropsychiatric and behavioral symptoms, including anxiety, social withdrawal, ADHD, cognitive impairment and autism spectrum disorder. It is estimated that 22q occurs in one in 4,000 live births, suggesting that there are approximately 80,000 people living with 22q in the United States and 129,000 people living with 22q in the European Union and the UK. Patients with 22q deletion syndrome are managed by multidisciplinary care providers, and there are currently no FDA approved treatments for this disorder.</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 open-label phase 2 proof-of-concept study conducted by Zynerba showed positive signals for ZYN-002 in the treatment of behavioral symptoms associated with 22q. We plan to initiate a Phase 3 registrational study in 22q deletion syndrome in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Rare Epilepsy Franchise</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color w:val="auto"/>
        </w:rPr>
        <w:t xml:space="preserve">EPX-100 (clemizole hydrochloride). </w:t>
      </w:r>
      <w:r>
        <w:rPr>
          <w:rFonts w:ascii="Arial" w:cs="Arial" w:eastAsia="Arial" w:hAnsi="Arial"/>
          <w:sz w:val="18"/>
          <w:szCs w:val="18"/>
          <w:color w:val="auto"/>
        </w:rPr>
        <w:t>EPX-100 is a serotonin (5HT-2) receptor agonist evaluated for DEEs, initially</w:t>
      </w:r>
      <w:r>
        <w:rPr>
          <w:rFonts w:ascii="Arial" w:cs="Arial" w:eastAsia="Arial" w:hAnsi="Arial"/>
          <w:sz w:val="18"/>
          <w:szCs w:val="18"/>
          <w:b w:val="1"/>
          <w:bCs w:val="1"/>
          <w:color w:val="auto"/>
        </w:rPr>
        <w:t xml:space="preserve"> </w:t>
      </w:r>
      <w:r>
        <w:rPr>
          <w:rFonts w:ascii="Arial" w:cs="Arial" w:eastAsia="Arial" w:hAnsi="Arial"/>
          <w:sz w:val="18"/>
          <w:szCs w:val="18"/>
          <w:color w:val="auto"/>
        </w:rPr>
        <w:t>in DS and LGS, because of the established serotonergic mechanism of action in DEEs and based on the positive results from the zebra fish model. Patients with DS and LGS often encounter severe refractory epilepsy and extreme co-morbidities or mortality without effective treatments, even with polypharmacy. As such, there is a recognized need for improved treatment options for both conditions. We believe the total addressable market for EPX-100 among patients with DS is approximately 5,000 people based on an estimated current DS prevalence of approximately 8,600 cases and approximately 7,000 diagnosed DS cases. We believe the total addressable market for EPX-100 among patients with LGS is approximately 35,000 people based on an estimated current LGS prevalence of approximately 48,000 cases and 44,000 diagnosed LGS cases. EPX-100 has been granted orphan drug designation by the FDA for treatment of both DS and LGS. EPX-100 is currently in a Phase 3 registrational clinical trial for DS and we initiated sites for a Phase 3 registrational clinical trial in patients with LGS in the fourth quarter of 2024.</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b w:val="1"/>
          <w:bCs w:val="1"/>
          <w:color w:val="auto"/>
        </w:rPr>
        <w:t xml:space="preserve">EPX-200 (liquid formulation of lorcaserin). </w:t>
      </w:r>
      <w:r>
        <w:rPr>
          <w:rFonts w:ascii="Arial" w:cs="Arial" w:eastAsia="Arial" w:hAnsi="Arial"/>
          <w:sz w:val="18"/>
          <w:szCs w:val="18"/>
          <w:color w:val="auto"/>
        </w:rPr>
        <w:t>We are currently developing EPX-200, a selective 5HT-2C agonist for</w:t>
      </w:r>
      <w:r>
        <w:rPr>
          <w:rFonts w:ascii="Arial" w:cs="Arial" w:eastAsia="Arial" w:hAnsi="Arial"/>
          <w:sz w:val="18"/>
          <w:szCs w:val="18"/>
          <w:b w:val="1"/>
          <w:bCs w:val="1"/>
          <w:color w:val="auto"/>
        </w:rPr>
        <w:t xml:space="preserve"> </w:t>
      </w:r>
      <w:r>
        <w:rPr>
          <w:rFonts w:ascii="Arial" w:cs="Arial" w:eastAsia="Arial" w:hAnsi="Arial"/>
          <w:sz w:val="18"/>
          <w:szCs w:val="18"/>
          <w:color w:val="auto"/>
        </w:rPr>
        <w:t>DEEs. EPX-200 is currently in the pre-IND phase.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color w:val="auto"/>
        </w:rPr>
        <w:t xml:space="preserve">WAKIX. </w:t>
      </w:r>
      <w:r>
        <w:rPr>
          <w:rFonts w:ascii="Arial" w:cs="Arial" w:eastAsia="Arial" w:hAnsi="Arial"/>
          <w:sz w:val="18"/>
          <w:szCs w:val="18"/>
          <w:color w:val="auto"/>
        </w:rPr>
        <w:t>Our industry is highly competitive and subject to rapid and significant change as research provides a</w:t>
      </w:r>
      <w:r>
        <w:rPr>
          <w:rFonts w:ascii="Arial" w:cs="Arial" w:eastAsia="Arial" w:hAnsi="Arial"/>
          <w:sz w:val="18"/>
          <w:szCs w:val="18"/>
          <w:b w:val="1"/>
          <w:bCs w:val="1"/>
          <w:color w:val="auto"/>
        </w:rPr>
        <w:t xml:space="preserve"> </w:t>
      </w:r>
      <w:r>
        <w:rPr>
          <w:rFonts w:ascii="Arial" w:cs="Arial" w:eastAsia="Arial" w:hAnsi="Arial"/>
          <w:sz w:val="18"/>
          <w:szCs w:val="18"/>
          <w:color w:val="auto"/>
        </w:rPr>
        <w:t>deeper understanding of rare neurological disorders, including narcolepsy, and as new therapies are developed. We face potential competition from multiple sources, including large pharmaceutical, biotechnology and specialty pharmaceutical companies. The key competitive factors affecting the success of WAKIX, and any other product candidates that we develop, if approved, are likely to be efficacy, safety, convenience, price, the level of generic competition and the availability of reimbursement from government and other third-party payors.</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WAKIX competes with currently FDA-approved products for the treatment of EDS or cataplexy in adult patients with narcolepsy and EDS in children six years and older with narcolepsy, all of which are controlled substances. Jazz Pharmaceuticals’ Xyrem (sodium oxybate) is an FDA-approved product for the treatment of cataplexy or EDS in patients 7 years of age and older with narcolepsy. Xyrem is a Schedule III controlled substance available only through a restricted access REMS program. Xywav, a lower sodium formulation of Xyrem, was approved in July 2020, (became commercially available in November 2020), and is also a Schedule III controlled substance subject to the same restricted access REMS program as Xyrem. Provigil and Nuvigil, which are Schedule IV WPAs, and stimulants such as methylphenidate and amphetamine (both Schedule II controlled substances), are approved for the treatment of EDS in narcolepsy. Anti-depressants and certain other agents are sometimes used off-label for the treatment of cataplexy in narcolepsy. Axsome’s Sunosi (solriamfetol) was approved by the FDA in March 2019 and launched in July 2019. Sunosi (solriamfetol) is a Schedule IV controlled substance and is indicated to improve wakefulness in adult patients with EDS associated with narcolepsy or obstructive sleep apnea. It is not indicated for cataplexy in patients with narcolepsy. Additionally, Avadel Pharmaceuticals launched a once nightly formulation version of sodium oxybate in June 2023. As of January 2023, Xyrem is now available as generic sodium oxybate – one version is marketed by Hikma Pharmaceuticals through their agreement with Jazz Pharmaceuticals (launched in January 2023), and the other version is marketed by Amneal Pharmaceuticals through their agreement with Jazz Pharmaceuticals (launched in July 2023). Other potential future competitive products are currently in development, including Axsome Therapeutics’ AXS-12 (reboxetine) product candidate, Suven Life Sciences’ SUVN-G3031 H3 inverse agonist product candidate, NLS Pharmaceutics mazindol ER product candidate and orexin 2 receptor agonist product candidates from Takeda, Jazz Pharmaceuticals/Sumitomo Pharma, Centessa and Alkermes among others.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believe WAKIX offers a meaningfully differentiated product profile that is competitive with each of the products listed above, some of which are only approved for EDS while others (Xyrem, Xywav, Lumryz and generic sodium oxybate) are approved for the treatment of both EDS and cataplexy in patients with narcolepsy. It should be noted that WAKIX has not been compared with these products in head-to-head clinical trials, but its non-scheduled status represents a distinct competitive advantage relative to those same products. Additionally, WAKIX is priced lower than Xyrem, Xywav, Lumryz and generic sodium oxybate, which we believe is a competitive advantage for WAKIX and may contribute to third-party payor preferences for WAKIX relative to each version of sodium oxybate. Conversely, WAKIX is priced higher than other competitors such as Provigil (modafinil), Nuvigil, Sunosi (armodafinil) and certain generic competitors, such as methylphenidate and amphetamine, which may contribute to third-party payor preferences for those lower-priced treatment options relative to WAKIX.</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color w:val="auto"/>
        </w:rPr>
        <w:t xml:space="preserve">PWS and DM1. </w:t>
      </w:r>
      <w:r>
        <w:rPr>
          <w:rFonts w:ascii="Arial" w:cs="Arial" w:eastAsia="Arial" w:hAnsi="Arial"/>
          <w:sz w:val="18"/>
          <w:szCs w:val="18"/>
          <w:color w:val="auto"/>
        </w:rPr>
        <w:t>There are currently no FDA approved therapies for PWS. We are aware of several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pursuing clinical development of therapies for PWS including, but not limited to, product candidates from Acadia Pharmaceuticals Inc., Soleno Therapeutics Inc., Rhythm Pharmaceuticals, Inc. and Palobiofarma. Additionally, for DM1, there are several companies pursuing clinical development of therapies including, but not limited to, product candidates from Avidity Biosciences, Inc., Vertex Pharmaceuticals, Inc., Entrada Therapeutic, Inc. and PepGen, Inc.</w:t>
      </w:r>
    </w:p>
    <w:p>
      <w:pPr>
        <w:spacing w:after="0" w:line="16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color w:val="auto"/>
        </w:rPr>
        <w:t xml:space="preserve">FXS and 22q. </w:t>
      </w:r>
      <w:r>
        <w:rPr>
          <w:rFonts w:ascii="Arial" w:cs="Arial" w:eastAsia="Arial" w:hAnsi="Arial"/>
          <w:sz w:val="18"/>
          <w:szCs w:val="18"/>
          <w:color w:val="auto"/>
        </w:rPr>
        <w:t>There are currently no FDA approved therapies for FXS. We are aware of several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pursuing clinical development of therapies for FXS including, but not limited to, product candidates from Acadia Pharmaceuticals, Inc., Mirum Pharmaceuticals, Inc., Spinogenix Inc., Allos Pharma Inc. and Connecta Therapeutics S.L. Additionally, there are currently no FDA approved therapies for 22q. We are aware of several companies pursing clinical development of therapies for 22q including, but not limited to, Nobias Therapeutics, Inc.’s product candidate.</w:t>
      </w:r>
    </w:p>
    <w:p>
      <w:pPr>
        <w:spacing w:after="0" w:line="16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color w:val="auto"/>
        </w:rPr>
        <w:t xml:space="preserve">DS and LGS. </w:t>
      </w:r>
      <w:r>
        <w:rPr>
          <w:rFonts w:ascii="Arial" w:cs="Arial" w:eastAsia="Arial" w:hAnsi="Arial"/>
          <w:sz w:val="18"/>
          <w:szCs w:val="18"/>
          <w:color w:val="auto"/>
        </w:rPr>
        <w:t>There are multiple FDA approved therapies for the treatment of DS, LGS or both DS and LGS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products from GW Pharmaceuticals, Ltd. and Lunbeck, Inc. for the treatment of DS and LGS, Biocodex for the treatment of DS and Eisai Co., Ltd. for the treatment of LGS. We are also aware of several companies pursuing clinical development of therapies including, but not limited to, product candidates from Supernus Pharmaceuticals, Inc. for the treatment of DS and LGS, SK Life Science, Inc. for the treatment of LGS and Stoke Therapeutics, Inc. for the treatment of 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Distribution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sell WAKIX to a limited number of specialty distributors, that, in turn, distribute WAKIX to patients. We do not currently own or operate facilities for product manufacturing, storage and distribution, or testing, but we have contracted directly with third parties for each of these functions.</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Manufacturing is subject to extensive regulation that imposes various procedural and documentation requirements that govern record keeping, manufacturing processes and controls, personnel, quality control and quality assurance, and more. Our systems and our contractors are required to be in compliance with these regulations, and compliance is assessed regularly through monitoring of performance and a formal audit program.</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Our current supply chain for WAKIX involves several manufacturers that specialize in specific operations of the manufacturing process, specifically, intermediate and starting material manufacturing, drug substance manufacturing, and drug product manufacturing, labeling and secondary packaging, and distribution services:</w:t>
      </w:r>
    </w:p>
    <w:p>
      <w:pPr>
        <w:spacing w:after="0" w:line="169" w:lineRule="exact"/>
        <w:rPr>
          <w:sz w:val="20"/>
          <w:szCs w:val="20"/>
          <w:color w:val="auto"/>
        </w:rPr>
      </w:pPr>
    </w:p>
    <w:p>
      <w:pPr>
        <w:ind w:left="1000" w:hanging="317"/>
        <w:spacing w:after="0" w:line="270" w:lineRule="auto"/>
        <w:tabs>
          <w:tab w:leader="none" w:pos="10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Interor S.A. manufactures our BF4 and BF6 intermediate and starting material used in the active pharmaceutical ingredient (“API”).</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Corden Pharma Chenôve SAS, a full-service contract development and manufacturing organization (“CDMO”) manufactures our API.</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Patheon UK Limited, a CDMO owned by Thermo Fisher Scientific Inc., manufactures our finished product tablets and fills them into unlabeled bottles.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Pharma Packaging Solutions, LLC dba Tjoapack, LLC, handles our labeling and secondary packaging.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Cardinal Health, Inc. is our third-party logistics provider.</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Inmar Rx Solutions, Inc., an advanced technology and data analytics company, specializes in reverse distribution of our product and manages our pharmaceutical returns and product recall, if needed.</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depend on a single supplier of the active pharmaceutical ingredient (“API”) for our commercial product, WAKIX, and single API suppliers for each of our potential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year ended December 31, 2024, three customers accounted for 100% of gross product revenue; Caremark LLC accounted for 39% of gross product revenue; Accredo Health Group, Inc. accounted for 34% of gross product revenue; and PANTHERx Specialty Pharmacy LLC accounted for 27% of gross product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Commercialization Agreements with Bioprojet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July 2017, we and Bioprojet entered into the Bioprojet License Agreement (the “2017 LCA”). Bioprojet granted to us an exclusive license to commercialize, in the United States and its territories, commonwealths, and protectorates, including Puerto Rico, a product containing pitolisant currently known as WAKIX for narcolepsy, obstructive sleep apnea, idiopathic hypersomnia, Parkinson’s disease, and any other indication agreed upon by the parties which currently include PWS and DM (“the field”), as well as rights to related patent rights, know-how, trademarks, trade dress, regulatory filings and approvals (the “Bioprojet Assets”). Bioprojet also granted us a co-exclusive (with Bioprojet) license to Bioprojet Assets to clinically develop and register the pitolisant product in the field in the United States. Bioprojet retains the right to manufacture the product in the United States, and to develop outside the United States and commercialize other products that contain pitolisant as an active ingredient anywhere in the world. Bioprojet also granted us an exclusive license to use certain trademarks and trade names in connection with the commercialization of the product under the Bioprojet License Agreement.</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paid Bioprojet an initial license fee of $150.0 million, a milestone payment of $ 50.0 million upon FDA acceptance of the NDA in February 2019, and a milestone payment of $75.0 million plus an additional $2.0 million fee for approval of the NDA in November 2019. In October 2020, we paid $2.0 million to Bioprojet to extend the Cataplexy Milestone Payment due date to within 90 days. In January 2021, we made the $100.0 million Cataplexy Milestone Payment in full to Bioprojet. The final milestone payment of $ 40.0 million was paid to Bioprojet in March 2022 upon the attainment of aggregate net sales of WAKIX in the United States of $500.0 million subsequent to the date of NDA approval by the FDA. Pursuant to the 2017 LCA, we agreed to pay royalties on the net sales of the product at tiered royalty rates of 13% to 24% based on annual total net sales during the period commencing on first commercial sale of the product and ending on the latest of 10 years from first commercial sale of the product, expiration of all regulatory exclusivity, or expiration of the last Bioprojet patent covering the product. Such royalty payments are subject to reductions based on royalties paid to any third party in order for us to commercialize the product. We also agreed to pay royalties on net sales of the product at a rate of 3% in consideration for a trademark license based on net sales for 20 years after first commercial sale of the product. We further agreed to pay minimum royalties during the third through tenth year of the Bioprojet License Agreement if the product is approved for narcolepsy to the extent such minimum royalties exceed the royalties payable as described above, which minimum amounts were calculated based on sales materially below our sales forecast.</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2017 LCA will continue until the expiration of the obligation to pay royalties with respect to the product. We and Bioprojet may each terminate the 2017 LCA for a material breach by the other party that remains uncured for 90 days. Bioprojet may terminate the 2017 LCA in its entirety if we or our sublicensees challenge the licensed patents. In addition, we and Bioprojet have the right to terminate the 2017 LCA upon the other party’s insolvency.</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July 2022, we entered into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We paid an initial, non-refundable $ 30.0 million licensing fee in October 2022 and additional payments of up to $155.0 million are potentially due under the 2022 LCA upon the achievement of certain development and sales-based milestones. In addition, certain payments will become due upon the achievement of development milestones for new indications and formulations as agreed upon by both parties. The 2022 LCA also requires a fixed trademark royalty and a tiered royalty based on net sales upon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commercialization, payable to Bioprojet on a quarterly basis for 10 years from the first commercial sale of each new product, the expiration of all regulatory exclusivity, or the expiration of the last Bioprojet patent covering the products. The $30.0 million licensing fee was recorded in research and development expenses within the consolidated statement of operations and comprehensive income (loss) for the year ended December 31, 2022.</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2022 LCA will continue until the expiration of the obligation to pay royalties with respect to each new product. Either party may terminate the 2022 LCA for a material breach by the other party that remains uncured for 90 days. Bioprojet may terminate the 2022 LCA in its entirety if we or our sublicensees challenge the licensed patents. In addition, we and Bioprojet have the right to terminate the 2022 LCA upon the other party’s insolvency.</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April 2024, we entered into the Sublicense with Bioprojet for BP1.15205 to be evaluated for the treatment of narcolepsy and other potential indications. Under the Sublicense, we obtained the exclusive right to develop, manufacture and commercialize BP1.15205 in the United States and Latin American territories (the “Licensed Territories”), which are rights that Bioprojet originally licensed from Teijin Pharma, the innovator of BP115205. BP1.15205 is currently in pre-clinical development with IMPD submission anticipated in mid-2025. Under the Sublicense, we paid Bioprojet an upfront license fee of $25.5 million, which we recognized as an IPR&amp;D charge recorded in research and development within the consolidated statements of operations and comprehensive income for the year ended December 31, 2024, and will also be obligated to pay up to $127.5 million upon achievement of development and regulatory milestones and up to $240.0 million upon achievement of sales-based milestones, as well as royalty rates in the mid-teens on any sales of product using BP1.15205 in the Licensed Territories.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Intellectual property, including patents, trade secrets, trademarks and copyrights, is important to our business. Our commercial success depends in part on our ability to obtain and maintain proprietary intellectual property protection for our WAKIX product and potential future pitolisant-based products,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U.S. and foreign patents and applications relating to our technology, inventions, and improvements that are important to the development and implementation of our business.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WAKIX patent portfolio comprises of four U.S. patents and a U.S. patent application exclusively licensed to us from Bioprojet under the 2017 LCA. One U.S. Patent, No. 8,207,197, which has claims directed to the polymorph, i.e., a specific crystalline form, of pitolisant in WAKIX, and methods for preparing that polymorph of pitolisant, is expected to expire in March 2030 based on a granted request for patent term extension, and patent term adjustment, but without taking into consideration any possible pediatric exclusivity. A second U.S. Patent, No. 8,486,947, has claims directed to methods of treating excessive daytime sleepiness by administering pitolisant, which is expected to expire in September 2029 based on patent term adjustment. U.S. Patent No. 12,145,916 has composition claims directed to a second polymorph of pitolisant, and is expected to expire in March 2044, not including any possible extension of patent term.</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also license three pending U.S. patent applications from Bioprojet that claim the pitolisant GR and pitolisant HD formulations. Any patents that are issued from these applications are expected to expire in October 2044, without taking into consideration any possible adjustments of patent terms.</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Further, we filed a patent family that includes a pending Patent Cooperation Treaty (“PCT”) application, PCT/US2024/031835, and pending U.S. Patent Application No. 18/679,624, which claim methods of using pitolisant for treating EDS in subjects with PWS. Any patent that issues from these applications is expected to expire in May 2044, not including any possible adjustment to patent term.</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HBS-102 patent portfolio comprises three patent families. The first patent family includes U.S. Patent No. 8,637,501, which has claims to certain melanin-concentrating hormone (MCH-1) receptor antagonists as compositions of matter, as well as methods of making the antagonists, and methods of use for treating obesity, anxiety, and depression, which is expected to expire in April 2031 based on patent term adjustment and without taking into consideration any possible patent term extension. A second patent family comprises three issued U.S. patents (Nos. 8,716,308; 9,296,743; and 9,650,378), and issued patents in Australia, Brazil, Canada, China, Germany, Spain, France, United Kingdom, Israel, Italy, Japan, Korea, Mexico, and New Zealand. The patents have claims directed to certain human MCH-1 receptor-selective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antagonists as compositions of matter, and are expected to expire in June 2031 (the ‘308 patent) and January 2029 (the ‘743 and ‘378 patents, as well as the international patents). The third patent family comprises pending applications in the United States., Europe, Japan, China, and Hong Kong which have claims directed to therapeutic combinations or formulations of drugs comprising a melanin-concentrating hormone (“MCH -1”) receptor antagonist, and methods of treating or preventing hyperphagia, moderate to severe binge eating disorder, bulimia nervosa, among other disorders, and management of obesity using an MCH-1 receptor agonist, and also has claims to certain MCH-1 receptor antagonists as compositions of matter.</w:t>
      </w:r>
    </w:p>
    <w:p>
      <w:pPr>
        <w:spacing w:after="0" w:line="18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Our EPX-100 patent family includes pending applications in the United States., Europe, Australia, Brazil, Canada, China, Hong Kong, Japan, Korea, and Eurasia. Any patent that issues from this patent family is expected to expire in June 2042, without taking into consideration any possible patent term extension or adjustment.</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term of individual patents in our portfolio depends upon the legal term of patents in the countries in which they are obtained. In the United States, and in other foreign jurisdictions where we have sought patent protection, the patent term is 20 years from the earliest date of filing a non-provisional patent application. The term of a U.S. patent may be eligible for patent term adjustment, which permits patent term restoration as compensation for delays incurred at the U.S. Patent and Trademark Office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Changes in either the patent laws or their interpretation in the United States, or in other foreign jurisdictions where we have sought patent protection,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enforcing patent claims that cover our technology, inventions and improvements. We cannot guarantee that patents will be granted with respect to any patent applications we may file in the future, nor can we be sure that any patents that may be granted to us in the future will be commercially useful in protecting our products, the methods of use, or the manufacture of those products. Moreover, issued patents do not guarantee the right to practice our technology in relation to the commercialization of our products. Issued patents only allow us to block potential competitors from practicing the claimed inventions of the issued patents.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and/or our licensor also rely on protections under trade secret laws, and seek to protect and maintain the confidentiality of proprietary information to protect aspects of our business that are not amenable to, or that we do not consider appropriate for, patent protection. Our trade secrets include, for example, certain program specific synthesis, formulations, patient selection strategies and certain aspects of our research.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 no assurance, however, that these agreements will provide meaningful protection or adequate remedies for our trade secrets in the event of unauthorized use or disclosure of such information.</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products and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Drug Development Process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United States, the FDA regulates drugs under the Federal Food, Drug, and Cosmetic Act (the “FDCA”) and its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or sNDAs,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54" w:lineRule="exact"/>
        <w:rPr>
          <w:sz w:val="20"/>
          <w:szCs w:val="20"/>
          <w:color w:val="auto"/>
        </w:rPr>
      </w:pPr>
    </w:p>
    <w:p>
      <w:pPr>
        <w:ind w:left="100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certain preclinical laboratory tests, animal studies and formulation studies in compliance with the FDA’s Good Laboratory Practice (“GLP”) regulations and other applicable regulations;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(“IRB”) or ethics committee at each clinical site before each trial may be initiated;</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(“GCP”) regulations to evaluate the safety and efficacy of the proposed drug product for each indication;</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potential inspection of selected clinical investigation sites to assess compliance with GCPs; and</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Preclinical Studies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Once a product candidate is identified for development, it enters the preclinical testing stage. Preclinical tests include laboratory evaluation of product chemistry, toxicity and formulation, as well as animal studies. An IND sponsor must submit the results of the preclinical tests, together with manufacturing information and analytical data, among other things,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raises concerns or questions related to one or more proposed clinical trials and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As a result, submission of an IND may not result in the FDA allowing clinical trials to commence.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Clinical Trials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the parameters to be used in monitoring safety, and the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serious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Information about certain clinical trials must be submitted within specific timeframes to the NIH for public dissemination on their www.clinicaltrials.gov website.clinicaltrials.gov.</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jc w:val="both"/>
        <w:ind w:left="1000" w:hanging="317"/>
        <w:spacing w:after="0" w:line="252" w:lineRule="auto"/>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70"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identify possible adverse effects and safety risks, to preliminarily evaluate the efficacy of the product for specific targeted diseases and to determine dosage tolerance and appropriate dosage.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hanging="317"/>
        <w:spacing w:after="0" w:line="243" w:lineRule="auto"/>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substantial evidence of efficacy and to further test for safety,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such Phase 4 clinical trials as a condition of approval of an NDA.</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Approval</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Specifically,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for its intended use and whether its manufacturing is cGMP-compliant to assure and preserve the product’s identity, strength, quality and purity. Under the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FDA also may require submission of a REMS to ensure that the benefits of the drug outweigh its risks. The REMS could include medication guides, physician communication plans, assessment plans, and/or elements to assure safe use, such as restricted distribution methods, patient registries, or other risk minimization tools. The FDA will not approve the NDA without an approved REMS, if required.</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An approval letter authorizes commercial marketing of the drug with specific prescribing information for specific indications. A complete response letter usually describes the specific deficiencies in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NDA identified by the FDA and may require additional clinical data, such as an additional clinical trial or other significant and time-consuming requirements related to clinical trials, nonclinical studies or manufacturing. Even with the resubmission of the application with this additional information, the FDA ultimately may decide that the application does not satisfy the regulatory criteria for approval.</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FDA Expedited Development and Review Programs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FDA has a number of programs intended to expedite the development or review of a marketing application for an investigational drug. For example, the fast-track designation program is intended to expedite or facilitate the process for developing and reviewing product candidates that meet certain criteria. Specifically, investigational drugs are eligible for fast-track designation if they are intended to treat a serious or life-threatening disease or condition and demonstrate the potential to address unmet medical needs for the disease or condition. The sponsor of a fast-track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Any product candidate submitted to the FDA for approval, including a product candidate with a fast-track designation or breakthrough designation, may also be eligible for other types of FDA programs intended to expedite development and review, such as priority review.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Fast-track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Post-Approval Requirements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and advertising and promotion and reporting of adverse experiences with the product. After approval, most changes to the approved product, such as adding new indications, certain manufacturing changes and additional labeling claims are subject to further FDA review and approval. There also are continuing, annual program user fee requirements for any marketed products, as well as new application fees for supplemental applications with clinical data.</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Drug manufacturers and other entities involved in the manufacture and distribution of approved drugs are required to register their establishments with the FDA and certain state agencies and are subject to periodic unannounced inspections by the FDA and these certain state agencies for compliance with cGMPs and other laws and regulations.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Once an approval is granted,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9" w:lineRule="exact"/>
        <w:rPr>
          <w:sz w:val="20"/>
          <w:szCs w:val="20"/>
          <w:color w:val="auto"/>
        </w:rPr>
      </w:pPr>
    </w:p>
    <w:p>
      <w:pPr>
        <w:ind w:left="1000" w:right="2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 safety alerts, Dear Healthcare Provider letters, press releases or other communications containing warning or other safety information about the product;</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untitled letters, or holds on post-approval clinical trials;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varied circumstances. The FDA does not regulate the behavior of physicians in their choice of treatments. The FDA does, however, restrict manufacturer’s communications on the subject of off-label use of their products.</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Exclusivity</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FDCA alternatively provides three years of non-patent data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Orphan Drug Designation and Exclusivity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(i) affects fewer than 200,000 individuals in the United States, or (ii)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an NDA. After the FDA grants an Orphan Drug Designation, the generic identity of the therapeutic agent and its potential orphan use are disclosed publicly by the FDA. Among other benefits of an Orphan Drug Designation are tax credits for certain research and a waiver of the user fee for the NDA. Orphan designation does not convey any advantage in, or shorten the duration of, the regulatory review and approval process.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disease or condition,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Controlled Substances Act of 1970 (“CSA”) establishes registration, security, recordkeeping, reporting, storage, distribution and other requirements administered by the DEA. The DEA is concerned with the control of handlers of controlled substances, and with the equipment and raw materials used in their manufacture and packaging, in order to prevent loss and diversion into illicit channels of commerce.</w:t>
      </w:r>
    </w:p>
    <w:p>
      <w:pPr>
        <w:spacing w:after="0" w:line="17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FDA did not recommend that the DEA schedule WAKIX as a controlled substance, and WAKIX is therefore not scheduled as a controlled substance by the DEA, however we are developing certain centrally acting product candidates that may have the potential for DEA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scheduling, if approved</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authorization and notification requirements apply to imports and exports.</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addition, a DEA quota system controls and limits the availability and production of controlled substances in Schedule I or II. Distributions of any Schedule I or II controlled substance must also be accompanied by special order forms, with copies provided to the DEA. The DEA may adjust aggregate production quotas and individual production and procurement quotas from time to time during the year, although the DEA has substantial discretion in whether or not to make such adjustments. To meet its responsibilities, the DEA conducts periodic inspections of registered establishments that handle controlled substances. Individual states also regulate controlled substances.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to FDA regulation of pharmaceutical products, pharmaceutical companies are subject to federal healthcare laws and regulations as well as regulation by the states and foreign jurisdictions in which they conduct their business that restrict business practices in the pharmaceutical industry. These laws may impact, among other things, our current and future business operations, including our clinical research activities, and proposed sales, marketing and education programs and constrain the business or financial arrangements and relationships with healthcare providers and other parties through which we market, sell and distribute our products for which we obtain marketing approval. These laws include U.S. federal and state anti-kickback and false claims laws, civil monetary penalties laws, consumer protection and transparency laws as well as similar foreign laws in the jurisdictions outside the United States, including, without limitation, those laws described below.</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federal civil and criminal false claims laws, including the civil False Claims Act,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civil False Claims Act and the civil monetary penalties statute. The False Claims Act also permits a private individual acting as a “whistleblower” to bring actions on behalf of the federal government alleging violations of the False Claims Act and to share in any monetary recovery.</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 Federal government price reporting laws require manufacturers to calculate and report complex pricing metrics to government programs.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federal Health Insurance Portability and Accountability Act of 1996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applicable manufacturers and applicable group purchasing organizations to report annually to CMS ownership and investment interests held by physicians and their immediate family members.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 To the extent that any of our products are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In the United States,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Department of Health and Human Services (“HHS”), affected individuals and if the breach is large enough, the media. Entities that are found to be in violation of HIPAA as the result of a breach of unsecured protected health information (“PHI”), a complaint about privacy practices or an audit by the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may be more stringent, broader in scope or offer greater individual rights with respect to PHI than HIPAA, many of which may differ from each other, thus, complicating compliance efforts. Failure to comply with these laws, where applicable, can result in the imposition of significant civil and/or criminal penalties and private litigation. For example, California recently enacted legislation, the California Consumer Privacy Act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Europe, the General Data Protection Regulation (“GDPR”), went into effect in May 2018 and imposes stringent data protection requirements for controllers and processors of personal data of persons within the European Economic Area (“EEA”). The GDPR applies to any company established in the EEA as well as to those outside the EEA if they collect and use personal data in connection with the offering of goods or services to individuals in the EEA or the monitoring of their behavior. The GDPR, together with national legislation, regulations and guidelines of the EEA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Further, from January 1, 2021, companies have to comply with the GDPR and also the United Kingdom GDPR (“UK GDPR”) which, together with the amended UK Data Protection Act 2018, retains the GDPR in UK national law. The UK GDPR mirrors the fines under the GDPR (e.g.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Kingdom without additional safeguards. However, the UK adequacy decision will automatically expire in June 2025 unless the European Commission re-assesses and renews or extends that decision. European data protection authorities may interpret the GDPR, UK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Furthermore, there can be no assurance that a product will be considered medically reasonable and necessary for a specific indication, that a product will be considered cost-effective by third-party payors, that an adequate level of reimbursement will be established even if coverage is available or that the third-party payors’ reimbursement policies will not adversely affect the ability to sell a product profitably.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and significantly affected the pharmaceutical industry. The ACA contained a number of provisions, including those governing enrollment in federal healthcare programs, reimbursement adjustments and fraud and abuse changes. Additionally, the ACA increased the minimum level of Medicaid rebates payable by manufacturers of brand name drugs; required collection of rebates for drugs paid by Medicaid managed care organizations; required manufacturers to participate in a coverage gap discount program, which was replaced by a new manufacturer discount program on January 1, 2025 (as discussed below), under which they were required to offer point-of-sale discounts (increased to 70 percent pursuant to the Bipartisan Budget Act of 2018,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Medicare and Medicaid Innovation at CMS to test innovative payment and service delivery models to lower Medicare and Medicaid spending, potentially including prescription drug spending.</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Since its enactment, there have been judicial, executive and Congressional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Other legislative changes have also been proposed and adopted since the ACA was enacted, including aggregate reductions of Medicare payments to providers, which was temporarily suspended from May 1, 2020 through March 31, 2022 under the Coronavirus Aid, Relief and Economic Security Act (“CARES Act”), and further reduced payments to several types of Medicare providers. In March 2021, the American Rescue Plan Act of 2021 was signed into law, which eliminated the statutory Medicaid drug rebate cap for single source and innovator multiple source drugs, beginning January 1, 2024. The rebate was previously capped at 100% of a drug’s average manufacturer price.</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 an attempt to control drug costs.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Inflation Reduction Act of 2022, or IRA, which was signed into law on August 16, 2022, included several provisions to reduce drug spending by the federal government and reduce out-of-pocket costs for patients on Medicare. This legislation requires that the federal government negotiate prices for some drugs covered under Medicare Part B and Part D with the highest total spending, beginning in 2026. It also requires manufacturers to pay rebates back to the federal government if the price of their medications for Medicare beneficiaries rises faster than inflation. The legislation also placed a cap on out-of-pocket costs for Medicare Part D enrollees and shifted the cost of supplying these medications to manufacturers and plans. Eligibility for the Medicare Part D Low-Income Subsidy Program was also expanded under the legislation, and it further delayed the implementation of the Trump Administration’s drug rebate rule to 2027. While the IRA includes an exemption for orphan drugs with a single approved indication, rare disease therapies with multiple indications may become subject to Medicare price negotiations. The IRA permits the Secretary of the Department of Health and Human Services, or HHS, to implement many of these provisions through guidance, as opposed to regulation, for the initial years. On August 15, 2024, HHS announced the agreed-upon prices for the first ten drugs that are subject to price negotiations, which take effect in January 2026. HHS will select up to fifteen additional products covered under Part D for negotiation in 2025. Each year thereafter, more Part B and Part D products will become subject to the HHS price negotiation program, although the program is currently subject to legal challenges. For that and other reasons, it is currently unclear how the IRA will be effectuated, or the impact of the IRA on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expect that additional state and federal healthcare reform measures, particularly in light of the new presidential administration, will be adopted in the future, any of which could limit the amounts that federal and state governments will pay for healthcare products and services, which could result in reduced demand for our products or additional pricing pressures.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corporate headquarters are located at 630 W. Germantown Pike Plymouth Meeting, Pennsylvania. In December 2020, we leased additional office space at this same location, which increased our footprint to approximately 35,781 square feet of office space. As of December 31, 2024, 77 of our employees are located at our corporate headquarters. Pursuant to our Right of Use Agreement with Paragon, we also utilize office space at 330 N. Wabash Ave, Suite 3500, Chicago, Illinois 60611, where 9 of our employees are located.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As of December 31, 2024, we had 268 full-time employees, 124 dedicated to commercial functions, which includes sales, marketing, market access, commercial operations, and insights, and 90 dedicated to research and development. None of our employees are represented by labor unions or covered by collective bargaining agreements. We consider our relationship with our employees to be good.</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Social responsibility has always been integral to our core values. We are committed to doing business with integrity and ethics. We focus on providing our employees safe and healthy working conditions, and actively participate in the communities where we are located. In addition, we support philanthropic organizations, patient-focused associations, local and national charitable organizations, and areas of need across the country by providing monetary donations or supplying food, medical supplies and other resources. We collaborate with patient advocacy organizations to understand the needs of patients living with rare, neurological disorders, and are committed to addressing those needs.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environmental, social and governance (”ESG”) and social impact strategy is directed by our Board and overseen by management and a cross-functional executive team comprised of Legal, Compliance, Human Resources, Corporate Affairs and Investor Relations. Our Board of Directors, through our Nominations and Governance Committee, has oversight over our strategic process. We conducted a materiality assessment, including engaging internal stakeholders and reviewing external standards, to inform the creation of an ESG framework, and set our goals and targets to address industry trends, laws and regulations, and stakeholder expectations. We will regularly evaluate our performance in meeting those goals. We may also engage with external organizations and experts to benchmark performance and identify best practices.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principal executive offices are located at 630 W. Germantown Pike, Plymouth Meeting, PA 19462, and our telephone number is (484) 539-9800. Our internet website is www.harmonybiosciences.com. We routinely make important information available on our website free of charge, including copies of our Annual Reports on Form 10-K, Quarterly Reports on Form 10-Q, Current Reports on Form 8-K and amendments to those reports filed or furnished pursuant to Section 13(a) or 15(d) of the Exchange Act, as soon as reasonably practicable after such reports are electronically filed with, or furnished to, the SEC. We recognize our website as a key channel of distribution to reach public investors and as a means of disclosing material non-public information to comply with our disclosure obligations under Regulation FD. Information contained on our website shall not be deemed incorporated into, or to be part of this Annual Report on Form 10-K, and any website references are not intended to be made through active hyperlinks.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included or incorporated by reference in this Annual Report on Form 10-K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on Form 10-K also contains forward-looking statements that involve risks and uncertainties. See “Part I—Cautionary Note Regarding Forward-Looking Statements.” Our actual results could differ materially and adversely from those anticipated in these forward-looking statements as a result of certain factors, including those set forth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substantially dependent on the commercial success of our only approved product, WAKIX. If we are unable to maintain or increase sales of WAKIX, our ability to generate revenue and our financial condition will be adversely affected.</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Historically, our business has been substantially dependent on WAKIX and our financial results have been significantly influenced by sales of WAKIX, which was approved for the treatment of EDS in adult patients with narcolepsy in August 2019 and for the treatment of cataplexy in adult patients with narcolepsy in October 2020. In June 2024, the FDA approved WAKIX for the treatment of excessive daytime sleepiness in pediatric patients, six years and older, with narcolepsy. In addition to the risks discussed elsewhere in this section, our ability to generate revenue from sales of WAKIX depends on a number of factors, including, but not limited to:</w:t>
      </w:r>
    </w:p>
    <w:p>
      <w:pPr>
        <w:spacing w:after="0" w:line="179" w:lineRule="exact"/>
        <w:rPr>
          <w:sz w:val="20"/>
          <w:szCs w:val="20"/>
          <w:color w:val="auto"/>
        </w:rPr>
      </w:pPr>
    </w:p>
    <w:p>
      <w:pPr>
        <w:ind w:left="1000" w:right="2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sales and marketing strategy and operations, and obtaining market acceptance of WAKIX, including garnering market share from existing and future treatment alternatives;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compliance with all regulatory requirements applicable to WAKIX and our commercial activities, including the post-marketing requirements and post-marketing commitments required by the FDA;</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pricing pressure from, changes in policies by, or restrictions on reimbursement imposed by, third-party payors, including our ability to maintain adequate coverage and reimbursement for WAKIX;</w:t>
      </w:r>
    </w:p>
    <w:p>
      <w:pPr>
        <w:spacing w:after="0" w:line="154" w:lineRule="exact"/>
        <w:rPr>
          <w:rFonts w:ascii="Times New Roman" w:cs="Times New Roman" w:eastAsia="Times New Roman" w:hAnsi="Times New Roman"/>
          <w:sz w:val="18"/>
          <w:szCs w:val="18"/>
          <w:color w:val="auto"/>
        </w:rPr>
      </w:pPr>
    </w:p>
    <w:p>
      <w:pPr>
        <w:jc w:val="both"/>
        <w:ind w:left="1000" w:right="20" w:hanging="317"/>
        <w:spacing w:after="0" w:line="246"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acceptability of the safety profile of WAKIX and the occurrence of any unexpected side effects, adverse reactions or misuse, including the potential business impact of withdrawing the product (either voluntarily or as mandated by the FDA), loss of support by the advocacy communities or loss of positive corporate reputation resulting in unfavorable media coverage;</w:t>
      </w:r>
    </w:p>
    <w:p>
      <w:pPr>
        <w:spacing w:after="0" w:line="176"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managing third-party service providers involved in the manufacturing and development of pitolisant;</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completing the development of pitolisant in other indications by demonstrating safety, tolerability and efficacy profiles that are satisfactory to the FDA;</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approvals to market pitolisant for other indications;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complying with the terms of the license agreement with Bioprojet;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protecting and expanding the portfolio of intellectual property rights, including patents, trade secrets and knowhow, especially in light of potential competition from generic versions of pitolisant;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our efforts to market WAKIX for the treatment of EDS in adult patients with narcolepsy and cataplexy in adult patients with narcolepsy, and for EDS in children six years and older with narcolepsy, our revenue is dependent, in part, on the size of the markets in the United States, or in other territories where we may seek and obtain regulatory approval, the number of competitors in such markets, the acceptance of the price of WAKIX in those markets and the ability to obtain reimbursement at any price. If the number of our addressable patients is not as large as we estimate or the reasonably accepted population for treatment is narrowed by competition, physician choice or treatment guidelines, we may not generate significant revenue from sales of WAKIX. If we are not able to generate substantial revenue from the sale of WAKIX, we may not remain profitable.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continued commercial success of WAKIX and any other product candidates we develop will depend on the degree of their market acceptance.</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Even with the requisite approvals from the FDA and other regulatory authorities, the continued commercial success of WAKIX for the treatment of EDS in adult patients with narcolepsy and cataplexy in adult patients with narcolepsy, and any other indications and product candidates we may develop, will depend on the degree of their acceptance by physicians, patients, third-party payors and others in the medical community. If WAKIX or any other product candidates we develop do not achieve an adequate level of market acceptance, we may not generate significant product revenue or any profits from operations. The degree of market acceptance of WAKIX or any other product candidates we develop, if approved for commercial sale, will depend on a number of factors, some of which are beyond our control, including:</w:t>
      </w:r>
    </w:p>
    <w:p>
      <w:pPr>
        <w:spacing w:after="0" w:line="185" w:lineRule="exact"/>
        <w:rPr>
          <w:sz w:val="20"/>
          <w:szCs w:val="20"/>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and efficacy of the product as demonstrated in clinical trials;</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quality-of-life and cost-effectiveness of the product, compared to those of other available treatments;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product’s approved labeling, including the description of the product’s approved indications, the description of its efficacy, including the endpoints in which it showed an improvement, and the prevalence and severity of any side effects, including any associated limitations or warnings;</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differentiate WAKIX or other approved products from other treatments in the same space;</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adoption of WAKIX as a first-line therapy for EDS in adult patients with narcolepsy and cataplexy in adult patients with narcolepsy;</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 including those that may be discovered following approval and commercialization;</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products or competing products and treatments;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product liability litigation alleging injuries relating to our products or similar classes of drugs;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any post-approval study requirements for our products and the results thereof;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sufficient third-party insurance coverage and reimbursement.</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continuing efforts to educate physicians, patients, third-party payors and others in the medical community on the benefits and risks of WAKIX may require significant resources and may never be successful. The adoption of WAKIX could be limited if physicians prescribe it only as a second line therapy. Physicians may opt to prescribe the products of our competitors for a variety of reasons. For example, WAKIX did not demonstrate non-inferiority to modafinil and, as such, physicians and patients may choose modafinil rather than WAKIX. Furthermore, because the clinical response to WAKIX may take several weeks before addressing EDS and cataplexy symptoms, patients and physicians may choose other fast acting, stimulant and wake promoting agents over WAKIX. If WAKIX fails to achieve an adequate level of acceptance by physicians, patients, third-party payors and others in the medical community, we will not be able to generate sufficient revenue to become or remain profitable.</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cannot guarantee that WAKIX or any other product candidates we may seek to develop will ever be commercially successful, and to the extent they are not commercially successful, such product candidates would incur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expense with no corresponding revenue. Because we expect the sales of WAKIX to generate substantially all of our revenue for the foreseeable future, the failure of WAKIX to find market acceptance would substantially harm our business and could require us to seek additional financing.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opportunity for WAKIX or any future product candidate we develop may be smaller than we estimate.</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potential market opportunity for WAKIX and any future product candidate is difficult to precisely estimate. Our estimates of the potential market opportunity for our product candidates include several key assumptions of the current market size and current pricing for commercially available products and are based on industry and market data obtained from industry publications, studies conducted by us, our industry knowledge, third-party research reports and other surveys. While we believe our estimates are reasonable and reliable, they may prove to be incorrect. Further, new studies may change the estimated incidence or prevalence of diseases and disorders. The number of patients may turn out to be lower than expected. Additionally, the potentially addressable patient population for WAKIX or any future product candidate we develop may be limited or may not be amenable to treatment with WAKIX or such future product candidate, and new patients may become increasingly difficult to identify or gain access to, which would adversely affect our results of operations and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our license agreements with Bioprojet to provide rights to the core intellectual property relating to pitolisant, and any termination or loss of significant rights under the agreement would adversely affect our development and/or commercialization of pitolisant.</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licensed our core intellectual property relating to pitolisant from Bioprojet. If, for any reason, our license and commercialization agreements with Bioprojet are terminated or we otherwise lose those rights, it would materially adversely affect our business. Pursuant to our license and commercialization agreements, we obtained intellectual property rights in connection with the commercialization of pitolisant in the United States and its territories, commonwealths and protectorates, including Puerto Rico, which includes an exclusive license to use certain intellectual property owned by Bioprojet related to clinically developing and commercializing the pitolisant product candidate for narcolepsy, obstructive sleep apnea, idiopathic hypersomnia and Parkinson’s Disease.</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Under the license agreements, Bioprojet is responsible for conducting all preclinical studies and clinical trials necessary for achieving and maintaining regulatory approval in the United States for narcolepsy and cataplexy indications, including all costs and expenses. We are responsible for all other costs associated with other development and regulatory activities, unless Bioprojet otherwise agrees to participate in funding such activities. We must obtain consent from Bioprojet before commencing any clinical trials related to pitolisant. Our ability to pursue indications other than the ones specifically enumerated in the license agreement is also contingent on mutual agreement of Bioprojet and us as to those indications and such agreement may be withheld at Bioprojet’s discretion. If Bioprojet denies consent for us to conduct clinical trials or pursue any such other indication for any reason, we will not have the right under our license and commercialization agreement to commercialize our product for such indication. In such event, Bioprojet may pursue commercialization of such indication for itself in our territory, or it may license the right to commercialize such indication in our territory to third parties, including our competitors.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license and commercialization agreements also impose on us obligations relating to exclusivity, territorial rights, development, commercialization, funding, payment, diligence, sublicensing, insurance, intellectual property protection and other matters. For example, under the 2017 LCA and 2022 LCA, we cannot, directly or indirectly, develop, market, sell, promote or file an NDA with respect to any product that would compete with pitolisant in the field. If we breach any material obligations, or use the intellectual property licensed to us in an unauthorized manner, we may be required to pay damages to Bioprojet, and Bioprojet may have the right to terminate our license, which would result in us being unable to develop, manufacture and sell pitolisant and would materially adversely affect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not be successful in our efforts to identify, in-license or acquire, discover, develop or commercialize additional product candidates, or identify other indications for pitolisant beyond EDS or cataplexy in adult patients with narcolepsy.</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Although a substantial amount of our effort is focused on the commercialization of WAKIX for the treatment of EDS in adult patients with narcolepsy and cataplexy in adult patients with narcolepsy, we also may seek to identify, in-license or acquire, discover, develop and commercialize additional product candidates in the rare neurological disorders field, such as our recent Epygenix acquisition, and to identify other indications for pitolisant beyond the treatment of EDS in adult patients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with narcolepsy and cataplexy in adult patients with narcolepsy. We cannot assure you that our efforts to do so will be successful. Even if we are successful at in-licensing or acquiring additional product candidates, their requisite development activities may require substantial resources, and we cannot assure you that these development activities will result in regulatory approvals. We also cannot assure you that our efforts to develop and commercialize pitolisant for other indications beyond the treatment of EDS in adult patients with narcolepsy and cataplexy in adult patients with narcolepsy will be successful.</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business, products or product pricing could be subject to negative publicity, which could have a material adverse effect on our reputation, business, financial position, results of operations, liquidity and cash flows.</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recent years, the pharmaceutical industry has been the subject of public complaints and significant publicity regarding the pricing of pharmaceutical products, including publicity and pressure resulting from prices charged by competitors and peer companies for new products as well as price increases by competitors and peer companies on older products that the public has deemed excessive. We may experience downward pricing pressure on the price of WAKIX and any other future approved products due to social or political pressure to lower the cost of drugs, which could reduce our revenue and future profitability. Orphan drugs in particular have received recent negative publicity for the perceived high prices charged for them by their manufacturers, and as a result orphan drug developers such as us may be negatively impacted by such publicity and any U.S. or other government regulatory response. Due to these factors, we may suffer public criticism and negative publicity in media coverage, by industry trade associations and legislators.</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of the events or developments described above could result in reputational harm and reduced market acceptance and demand for our products, could harm our ability to market our products in the future, could cause us to incur significant expense, could cause our senior management to be distracted from execution of our business strategy, and could have a material adverse effect on our business, reputation, financial condition, results of operations, liquidity, cash flows and/or share price.</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Third-party relationships are important to our business. If we are unable to enter into and maintain strategic collaborations or if these relationships are not successful, our business could be adversely affected.</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limited product development and distribution capabilities and we do not yet have any product manufacturing capabilities. In addition, we may enter into collaborations for the development and commercialization of certain of our product candidates. If we enter into such collaborations, we will have limited control over the amount and timing of resources that our collaborators will dedicate to the development or commercialization of our product candidates. Our ability to generate revenue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Relationships we enter into may pose a number of risks, including the following:</w:t>
      </w:r>
    </w:p>
    <w:p>
      <w:pPr>
        <w:spacing w:after="0" w:line="183" w:lineRule="exact"/>
        <w:rPr>
          <w:sz w:val="20"/>
          <w:szCs w:val="20"/>
          <w:color w:val="auto"/>
        </w:rPr>
      </w:pPr>
    </w:p>
    <w:p>
      <w:pPr>
        <w:ind w:left="1000" w:hanging="317"/>
        <w:spacing w:after="0" w:line="270" w:lineRule="auto"/>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current or future third parties have, and future third-party collaborators may have, significant discretion in determining the efforts and resources that they will apply;</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perform their obligations as expected;</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pursue development and commercialization of any product candidates that we decide to develop as drugs and that achieve regulatory approval or may elect not to continue or renew development or commercialization programs based on clinical study or trial results, changes in the third parties’ strategic focus or available funding, or external factors, such as a strategic transaction that may divert resources or create competing priorities;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delay preclinical studies or clinical trials, provide insufficient funding for a preclinical study or clinical trial, stop a preclinical study or clinical trial or abandon one of our product candidates, repeat or conduct clinical studies or new clinical trials or require a new formulation of a product candidate for clinical testing;</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could independently develop, or develop with other third parties, products that compete directly or indirectly with our products and product candidates if the third parties believe that the competitive products 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spacing w:after="0" w:line="271" w:lineRule="auto"/>
        <w:rPr>
          <w:sz w:val="20"/>
          <w:szCs w:val="20"/>
          <w:color w:val="auto"/>
        </w:rPr>
      </w:pPr>
      <w:r>
        <w:rPr>
          <w:rFonts w:ascii="Arial" w:cs="Arial" w:eastAsia="Arial" w:hAnsi="Arial"/>
          <w:sz w:val="18"/>
          <w:szCs w:val="18"/>
          <w:color w:val="auto"/>
        </w:rPr>
        <w:t>more likely to be successfully developed or can be commercialized under terms that are more economically attractive than ours;</w:t>
      </w:r>
    </w:p>
    <w:p>
      <w:pPr>
        <w:spacing w:after="0" w:line="154" w:lineRule="exact"/>
        <w:rPr>
          <w:sz w:val="20"/>
          <w:szCs w:val="20"/>
          <w:color w:val="auto"/>
        </w:rPr>
      </w:pPr>
    </w:p>
    <w:p>
      <w:pPr>
        <w:jc w:val="both"/>
        <w:ind w:left="1000" w:hanging="317"/>
        <w:spacing w:after="0" w:line="252"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discovered in collaboration with us may be viewed by our current or future collaborators as competitive with their own product candidates or products, which may cause such third parties to cease to devote resources to the commercialization of our product candidates;</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fail to comply with applicable regulatory requirements regarding the development, manufacture, packaging, labeling, holding, distribution and/or marketing of a product candidate or product;</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with marketing and distribution rights to pitolisant or any future product candidates that achieve regulatory approval may not commit sufficient resources to the marketing and distribution of such product or products;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disagreements with third parties, including disagreements over proprietary rights, contract interpretation or the preferred course of development, might cause delays or terminations of the research, development or commercialization of pitolisant or any future product candidates, might lead to additional responsibilities for us with respect to pitolisant or any future product candidates, or might result in litigation or arbitration, any of which would be time-consuming and expensive;</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infringe the intellectual property rights of other third parties, which may expose us to litigation and potential liability;</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if one of our third parties is involved in a business combination, the collaborator might deemphasize or terminate the development or commercialization of any product candidate licensed to it by us; and</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relationships may be terminated by the collaborator, and, if terminated, we could be required to raise additional capital to pursue further development or commercialization of the applicable product candidates.</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our relationships do not result in the successful discovery, development and commercialization of products or if a third party terminates its agreement with us, we may not receive any future research funding or milestone or royalty payments under the collaboration. If we do not receive the funding we expect under any third-party agreements we enter into, our development of pitolisant or any future product candidates could be delayed and we may need additional resources. Additionally, if any third party terminates its agreement with us, we may find it more difficult to attract new collaborators and our perception in the business and financial communities could be adversely affected.</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Relationships are complex and time-consuming to negotiate and document. In addition, there have been a significant number of recent business combinations among large pharmaceutical companies that have resulted in a reduced number of future collaborators.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third parties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relationships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continue to rely on third parties to conduct our clinical trials for pitolisant and other product candidates that we decide to develop. If these third parties do not successfully carry out their contractual duties, meet expected deadlines or comply with regulatory requirements, we may not be able to obtain regulatory approval of or commercialize any potential product candidates on a timely basis or at all.</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will continue to rely upon third parties, including independent investigators, to conduct preclinical studies or clinical trials under agreements with universities, medical institutions, CROs, strategic partners and others. We expect to have to negotiate budgets and contracts with CROs and study or trial sites, which may result in delays to our development timelines and increased costs.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will have to rely heavily on third parties over the course of our preclinical studies and clinical trials and, as a result, will have limited control over the clinical investigators and limited visibility into their day-to-day activities, including with respect to their compliance with the approved clinical protocol and regulatory requirements. Nevertheless, we are responsible for ensuring that each of our preclinical studies and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for clinical trials, which are regulations and guidelines enforced by the FDA and comparable foreign regulatory authorities for product candidates in clinical development.</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Regulatory authorities enforce these GCP requirements through periodic inspections of study or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clinical trials or perform additional clinical trials before approving our marketing applications. We cannot be certain that, upon inspection, such regulatory authorities will determine that any of our clinical trials comply with the GCP or other applicable requirements. In addition, our clinical trials must be conducted with drug products produced under cGMP requirements and may require a large number of patients. Our failure or any failure by these third parties to comply with these regulations, which would delay the regulatory approval or commercialization process. Moreover, our business may be implicated if any of these third parties violates federal or state laws or regulations including fraud and abuse or false claims laws and regulations or healthcare privacy and security laws.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parties conducting our future clinical trials, if any, generally will not be our employees and, except for remedies that may be available to us under our agreements with the third parties conducting such clinical trials, if any, we cannot control whether or not they devote sufficient time and resources to our ongoing preclinical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current and future product candidates. As a result, our financial results and the commercial prospects for our current and future product candidates would be harmed, our costs could increase and our ability to generate revenue could be delayed.</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any of our relationships with these third-party CROs or others terminate, we may not be able to enter into contractual and other arrangements with alternative CROs or other third parties in a timely manner to meet projected clinical development deadlines or to do so on commercially reasonable terms. Switching or adding additional CROs involves additional cost and requires management time and focus. In addition, there is a natural transition period when a new CRO begins work. As a result, delays may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experience delays in meeting or fail to meet the regulatory requirements for commercialization of our current or future potential product candidates, the commercial prospects for our product candidates may be harmed and our ability to generate revenue will be materially impaired.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and distribute our supply of WAKIX and our product candidates, including certain sole-source suppliers and manufacturers, and intend to rely on third parties to manufacture and distribute any future product candidates.</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commercial quantities of WAKIX or our product candidates. Our ability to commercially supply WAKIX and our ability to obtain adequate supplies of our product candidates for clinical studies depends, in part, on the ability of third-party manufacturers to supply and manufacture the raw materials, API and other important components related to the manufacture of WAKIX and our product candidates. We also rely on third parties to package the finished product. These third-party manufacturers have limited experience manufacturing the raw materials and API for WAKIX and our product candidates to be supplied to patients in the United States. Prior to the approval of WAKIX, we experienced minor issues related to product specifications and other minor delays in supply related to our third-party suppliers and manufacturers. We cannot guarantee that even minor changes in the process will result in products that are safe and, where applicable, effective. If we fail to develop and maintain supply relationships with these third parties, we may be unable to continue to successfully commercialize WAKIX and any product candidates that may receive approval.</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rely and will continue to rely on certain third parties as the sole source of the materials they supply or the finished products they manufacture. For example, we rely on Interor S.A., Corden Pharma Chenôve SAS and Patheon UK Limited to provide intermediate supply ingredients, API and finished products, respectively.</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Additionally, we rely on our suppliers and manufacturers to purchase materials from other third parties. Any of our existing suppliers or manufacturers may:</w:t>
      </w:r>
    </w:p>
    <w:p>
      <w:pPr>
        <w:spacing w:after="0" w:line="154" w:lineRule="exact"/>
        <w:rPr>
          <w:sz w:val="20"/>
          <w:szCs w:val="20"/>
          <w:color w:val="auto"/>
        </w:rPr>
      </w:pPr>
    </w:p>
    <w:p>
      <w:pPr>
        <w:ind w:left="1000" w:right="2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fail to supply us with product on a timely basis or in the requested amount due to unexpected damage to or destruction of facilities or equipment or otherwise;</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fail to increase manufacturing capacity and produce drug product and components in larger quantities and at higher yields in a timely or cost-effective manner, or at all, to sufficiently meet our commercial needs;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to meet our production demands due to issues related to their reliance on sole-source suppliers and manufacturers;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supply us with product that fails to meet regulatory requirements;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become unavailable through business interruption or financial insolvency;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lose regulatory status as an approved source;</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or unwilling to (i) honor current supply agreements or (ii) renew current supply agreements when such agreements expire on a timely basis, on acceptable terms or at all; or</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discontinue production or manufacturing of necessary drug substances or products.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event of any of the foregoing, if we do not have an alternative supplier or manufacturer in place, we would be required to expend substantial management time and expense to identify, qualify and transfer technical processes to alternative suppliers or manufacturers. Transferring technology to other sites may require additional processes, technologies and validation studies, which are costly, may take considerable amounts of time, may not be successful and, in most cases, require prior review and approval by the FDA. Any need to find and qualify new suppliers or manufacturers could significantly delay production of WAKIX, adversely impact our ability to market WAKIX, adversely impact the conduct of our clinical trials and adversely affect our business. There can be no assurance that replacements would be available to us on a timely basis, on acceptable terms or at all. While we currently maintain a robust supply of raw material inventory and an 18 month supply of finished goods inventory to ensure product availability, any interruption in the supply of a drug substance or other material or in the manufacture of WAKIX or our product candidates could have a material adverse effect on our business, financial condition, operating results and prospects.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Additionally, although we are ultimately responsible for ensuring compliance with regulatory requirements such as cGMPs, we are dependent on our contract suppliers and manufacturers for day-to-day compliance with cGMP for production of both drug substances and finished products. Facilities used by our contract suppliers and manufacturers to produce the drug substances and materials or finished products for commercial sale must undergo inspection and be approved by the FDA and other relevant regulatory authorities for the manufacture of our products. A number of our contract suppliers and manufacturers must comply with cGMP requirements enforced by the FDA through its facilities inspection program and review of submitted technical information. If the safety of WAKIX is compromised due to a failure to adhere to applicable laws or for other reasons, we may not be able to successfully commercialize our product and we may be held liable for injuries sustained as a result. In addition, the manufacturing facilities of certain of our suppliers are located outside of the United States. This may give rise to difficulties in importing our product into the United States or other countries as a result of, among other things, regulatory agency approval requirements, taxes, tariffs, local import requirements such as import duties or inspections, incomplete or inaccurate import documentation or defective packaging.</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Competition from other biotechnology and pharmaceutical companies is intense and is expected to increase. There may be a number of companies pursuing the development of pharmaceuticals in rare neurological disorders, our area of focus. These companies may be very large, and may have financial, technical, sales and distribution and other resources substantially greater than ours. The greater resources of these competitors may enable them to develop, obtain regulatory approval for or market competing products more quickly or effectively, making it extremely difficult for us to capture a share of the market for our product. We also face competition, and may in the future face additional competition, from manufacturers of generic drugs. Certain U.S. state laws allow for, and in some instances in the absence of specific instructions from the prescribing physician mandate, the dispensing of generic products rather than branded products when a generic version is available.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Generic competition often results in decreases in the prices at which branded products can be sold. 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We also face competition from off-label uses of approved drugs. Additionally, the biotechnology and pharmaceutical industries are subject to rapid changes in science, and our competitors may develop and market products with improved therapeutic profiles relative to pitolisant or any future product candidates that would render pitolisant or any future product candidates noncompetitive.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need to increase the size and capabilities of our organization based on business need, and we may experience difficulties in managing our growth.</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commenced operations in 2017 and, as of December 31, 2024, had 268 employees. As we advance the development of pitolisant in other indications and commercialize WAKIX as a treatment for EDS in adult patients with narcolepsy and cataplexy in adult patients with narcolepsy, we must continue to grow the size of the organization. Future growth will impose significant added responsibilities on members of management, including:</w:t>
      </w:r>
    </w:p>
    <w:p>
      <w:pPr>
        <w:spacing w:after="0" w:line="174"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our development efforts, including the clinical development and FDA or other regulatory authority review processes for pitolisant or any future product candidates;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any third-party service providers involved in the development and manufacture of pitolisant or any future product candidates;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Our future financial performance and our ability to successfully develop and commercialize WAKIX or any future product candidates will depend, in part, on our ability to effectively manage any future growth. Our management will have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dedicate a significant amount of its attention to managing these growth activities. In addition, we expect to incur additional costs in hiring, training and retaining such additional personnel.</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are not able to effectively expand our organization, we may not be able to successfully execute the tasks necessary to further develop and commercialize pitolisant or any future product candidates and, accordingly, may not achieve our research, development and commercialization goals.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highly dependent on the principal members of our management and scientific teams. We do not maintain “key person” insurance for any of our executives or other employees. The loss of the services of any of these persons could impede the achievement of our research, development and commercialization objectives.</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To encourage valuable employees to remain at our company, in addition to salary and cash incentives, we have provided equity award grants that vest over time. The value to employees of these equity grants that vest over time may be significantly affected by changes in the price of our common stock that are beyond our control, and may at any time be insufficient to retain employees who receive more lucrative offers from other companies. Any of our employees could leave our employment at any time, with or without notice.</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Recruiting and retaining qualified operations, finance and accounting, quality and compliance, scientific, clinical, manufacturing and sales and marketing personnel or consultants is also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If we are unable to attract, retain and motivate qualified and experienced personnel, it could harm our business, results of operations and financial condition. Even if we are successful in attracting and retaining such personnel, competition for such employees may significantly increase our compensation costs and adversely affect our business, results of operations and financial condition.</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loss of the services of any of our executive officers, key employees or consultants could seriously harm our ability to successfully implement our business strategy. Replacing executive officers, key employees or consultants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hire part-time employees or use consultants. As a result, certain of our employees, officers, directors or consultants may not devote all of their time to our business, and may from time to time serve as employees, officers, directors and consultants of other companies.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Public health pandemics, such as the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 public health epidemic, such as the COVID-19 pandemic, poses the risk that we or our employees, contractors, suppliers, distributors and other partners, as well as physicians treating narcolepsy patients, may be prevented from conducting business and patient-care activities for an indefinite period of time, including due to shutdowns and quarantines that may be requested or mandated by governmental authorities. Beginning in March 2020, we had increased reliance on personnel working from home which may negatively impact productivity or disrupt, delay or otherwise adversely impact our business. In addition, remote working could increase our cyber security risk.</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General protective measures put into place at various governmental levels, including quarantines, travel restrictions and business shutdowns, may also negatively affect our operations. For example, the COVID-19 pandemic affected our ability to access HCPs, and caused fewer patients to visit their HCP, resulting in fewer prescriptions being written. Additionally, the effects of COVID-19 disrupted the supply chain and future pandemics could disrupt the manufacturing or shipment of WAKIX and of drug substance and finished drug product. For example, we may face supply chain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manufacturing limitations or difficulties as resources are allocated elsewhere. Any delays or interruptions in the manufacture and supply of WAKIX could result in delays for our planned clinical trials, impair our ability to meet demand for new WAKIX prescriptions and impede our clinical trial recruitment, testing, monitoring, data collection and analysis and other related activities.</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of the foregoing factors could have a material adverse impact on our business, financial condition, operating results, cash flows and prospects. The extent to which any future pandemics impact our operations and those of our third-party partners will depend on future developments, which are highly uncertain and cannot be predicted with confidence, including the duration of the pandemic, additional or modified government actions, the severity of the pandemic, speed of the spread of a virus, and the actions taken to contain the virus or treat its impact, among others.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unplanned event, such as flood, fire, explosion, earthquake, extreme weather condition, medical epidemics, power shortage, telecommunication failure or other natural or manmade accidents or incidents that result in us being unable to fully utilize our facilities, the manufacturing facilities of our third-party contract manufacturers or our or their distribution networks, may have a material and adverse effect on our ability to operate our business, particularly on a daily basis, and have significant negative consequences on our financial and operating conditions. Loss of access to these facilities may result in increased costs, or interruptions in the commercialization of WAKIX or our business operations.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the manufacturing facilities of our third-party contract manufacturers or our or their distribution networks, or that otherwise disrupted operations, it may be difficult or, in certain cases, impossible, for us to continue our business for a substantial period of time.</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 Any real or perceived security breaches,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7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collect and maintain data and information that is necessary to conduct our business, and we are increasingly dependent on information technology systems and infrastructure to operate our business, including systems infrastructure operated and maintained by our third-party suppliers or providers.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and integrity of such confidential information. We have established physical, electronic and organizational measures to safeguard and secure our systems and facilities to prevent an information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or unauthorized access or use resulting from computer viruses, malware, natural disasters, terrorism, war, telecommunication and electrical failures, denial-of-service attacks, cyber- attacks or cyber-intrusions over the Internet, hacking, phishing and other social engineering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attacks, attachments to emails, persons inside our organization (including employees or contractors), lost or stolen devices, or persons with access to systems inside our organization.</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There can be no assurance that our cybersecurity risk management program and processes, including our policies, controls or procedures, will be fully implemented, complied with or effective in protecting our systems and information.</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may also experience security breaches that may remain undetected for an extended period.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real or perceived security breach affects our systems (or those of our third-party providers or suppliers) or results in the loss of or accidental, unlawful or unauthorized access to, use of, release of or other processing of personally identifiable information or clinical trial data, our reputation could be materially damaged. In addition, such a breach may require notification to governmental agencies, the media or individuals pursuant to applicable data privacy and security laws. We would also be exposed to a risk of loss, negative publicity, harm to our reputation, governmental investigation and/or enforcement actions, claims or litigation and potential liability, which could materially adversely affect our business, results of operations and financial condition. The global data protection landscape is rapidly evolving, and we may be affected by or subject to new, amended or existing laws and regulations in the future, including as our operations continue to expand or if we begin to operate in foreign jurisdictions.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laws, data privacy and security laws and other similar non-U.S. laws; or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or misrepresentation of individually identifiable information, including, without limitation,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conducted clinical studies in the Czech Republic, Romania, and Poland in the past, and currently conduct studies in Ireland, Australia, and the United Kingdom. We may conduct future clinical studies in other countries as well. Doing business internationally involves a number of risks, including but not limited to:</w:t>
      </w:r>
    </w:p>
    <w:p>
      <w:pPr>
        <w:spacing w:after="0" w:line="169" w:lineRule="exact"/>
        <w:rPr>
          <w:sz w:val="20"/>
          <w:szCs w:val="20"/>
          <w:color w:val="auto"/>
        </w:rPr>
      </w:pPr>
    </w:p>
    <w:p>
      <w:pPr>
        <w:jc w:val="both"/>
        <w:ind w:left="1080" w:hanging="316"/>
        <w:spacing w:after="0" w:line="252" w:lineRule="auto"/>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2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potentially relevant third-party patent rights;</w:t>
      </w:r>
    </w:p>
    <w:p>
      <w:pPr>
        <w:spacing w:after="0" w:line="22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22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staffing and managing foreign operations;</w:t>
      </w:r>
    </w:p>
    <w:p>
      <w:pPr>
        <w:spacing w:after="0" w:line="224" w:lineRule="exact"/>
        <w:rPr>
          <w:rFonts w:ascii="Times New Roman" w:cs="Times New Roman" w:eastAsia="Times New Roman" w:hAnsi="Times New Roman"/>
          <w:sz w:val="18"/>
          <w:szCs w:val="18"/>
          <w:color w:val="auto"/>
        </w:rPr>
      </w:pPr>
    </w:p>
    <w:p>
      <w:pPr>
        <w:ind w:left="1080" w:hanging="316"/>
        <w:spacing w:after="0" w:line="270" w:lineRule="auto"/>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5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limits in our ability to penetrate international markets;</w:t>
      </w:r>
    </w:p>
    <w:p>
      <w:pPr>
        <w:spacing w:after="0" w:line="224"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global macroeconomic conditions, including an increase in inflation rates or interest rates, labor shortages, supply chain shortages, disruptions and instability in the banking industry and other parts of the financial services sector, or other economic, political, or legal uncertainties or adverse developments;</w:t>
      </w:r>
    </w:p>
    <w:p>
      <w:pPr>
        <w:spacing w:after="0" w:line="170"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70" w:lineRule="exact"/>
        <w:rPr>
          <w:rFonts w:ascii="Times New Roman" w:cs="Times New Roman" w:eastAsia="Times New Roman" w:hAnsi="Times New Roman"/>
          <w:sz w:val="18"/>
          <w:szCs w:val="18"/>
          <w:color w:val="auto"/>
        </w:rPr>
      </w:pPr>
    </w:p>
    <w:p>
      <w:pPr>
        <w:jc w:val="both"/>
        <w:ind w:left="1080" w:hanging="316"/>
        <w:spacing w:after="0" w:line="246" w:lineRule="auto"/>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terrorism and/or political instability, unrest and wars, such as the conflicts involving Ukraine and Russia or Israel and its surrounding regions, which could delay or disrupt our business, and if such political unrest escalates or spills over to or otherwise impacts additional regions it could heighten many of the other risk factors included in this Item 1A;</w:t>
      </w:r>
    </w:p>
    <w:p>
      <w:pPr>
        <w:spacing w:after="0" w:line="176"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(including as a result of climate change), which could cause significant damage to the infrastructure upon which our business operations rely, and the timing, nature or severity of which we may be unable to prepare for;</w:t>
      </w:r>
    </w:p>
    <w:p>
      <w:pPr>
        <w:spacing w:after="0" w:line="170" w:lineRule="exact"/>
        <w:rPr>
          <w:rFonts w:ascii="Times New Roman" w:cs="Times New Roman" w:eastAsia="Times New Roman" w:hAnsi="Times New Roman"/>
          <w:sz w:val="18"/>
          <w:szCs w:val="18"/>
          <w:color w:val="auto"/>
        </w:rPr>
      </w:pPr>
    </w:p>
    <w:p>
      <w:pPr>
        <w:ind w:left="1080" w:hanging="316"/>
        <w:spacing w:after="0" w:line="270" w:lineRule="auto"/>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economic instability, outbreak of disease or epidemics such as the COVID-19 pandemic, boycotts, curtailment of trade and other business restrictions;</w:t>
      </w:r>
    </w:p>
    <w:p>
      <w:pPr>
        <w:spacing w:after="0" w:line="15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24"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1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Failure to keep up with evolving laws, regulations, trends and shareholder expectations relating to environmental, social and governance, or ESG, practices or reporting could adversely impact our reputation, share price and access to and cost of capital or otherwise adversely impact our business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Certain institutional investors, investor advocacy groups, investment funds, creditors and other influential financial market participants, as well as governments, regulators, customers, patients, employees and other stakeholders, have become increasingly focused on companies’ ESG practices, including the impact of business on the environment and diversity, equity and inclusion matters.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stockholders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may hinder the Company’s access to capital.</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reputation could be damaged if we do not, or are perceived not to, meet stakeholder demand with respect to ESG matters, which could adversely affect our business, financial condition, profitability and cash flows. We may be criticized for our lack of ESG initiatives or goals or perceived as not taking sufficient action in connection with any of these matters. In turn, we may take certain actions, including the establishment of ESG-related goals or targets, to improve our ESG profile and/or respond to stakeholder demand; however, such actions may be costly or be subject to numerous conditions that are outside our control, and we cannot guarantee that we will meet these goals or targets or that such actions will have the desired effect even if met.</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Additionally, we and/or other parties in our value chain are subject to or are expected to be subject to additional climate and other ESG-related obligations arising from legislation and regulation in the United States, the European Union and other jurisdictions, including new reporting requirements, even as the availability and quality of the information that may be required to comply with such laws and regulations remains limited. We expect for our compliance costs with these laws and regulations to increase in the future, and any failure, or perceived failure, by us to adhere to such laws and regulations, or meet evolving and varied stakeholder expectations and standards, could harm our business, reputation, financial condition,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made and may be required in the future to make significant payments to Bioprojet under our licensing and collaboration agreements for pitolisant.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our agreements with Bioprojet, we are subject to significant obligations, including payment obligations upon the achievement of specified milestones and payments based on product sales, as well as other material obligations. Certain of the milestone payments payable by us under these agreements were paid prior to our commercialization of WAKIX.</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There can be no assurance that we will have the funds necessary to make such payments in the future, or be able to raise such funds when needed, on terms acceptable to us, or at all. If we fail to comply with our payment obligations, Bioprojet has the right to terminate the license agreement, in which event we would not be able to develop, manufacture or market WAKIX or any other pitolisant-based product candidate. Furthermore, if we are forced to raise additional funds to make such payments, we may be required to delay, limit, reduce or terminate our product development or future commercialization efforts.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TLA Credit Agreement contains restrictive and financial covenants that may limit our operating flexibility.</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TLA Credit Agreement (as defined below) contains certain restrictive covenants that either limit our ability to, or require a mandatory prepayment in the event that, we or our subsidiaries engage in new lines of business, incur additional indebtedness or liens, make certain investments, make certain payments, pay cash dividends, merge with other companies or consummate certain changes of control, make certain acquisitions, transfer or dispose of certain assets, liquidate or dissolve, amend certain material agreements, enter into sale and leaseback transactions, enter into various other specified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transactions, or change our name, location, or executive office without notice. We, therefore, may not be able to engage in any of the foregoing transactions unless we obtain the consent of the lenders, or in certain cases JP Morgan on their behalf, or prepay the outstanding amount under the TLA Credit Agreement.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failure to comply with the covenants or other terms of the TLA Credit Agreement, including as a result of events beyond our control, could result in a default under the TLA Credit Agreement that could materially and adversely affect the ongoing viability of our business.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JPMorgan Chase Bank, N.A. and the other Lenders may elect to accelerate the repayment of all unpaid principal of the Loans, accrued interest and other amounts owed under the TLA Credit Agreement upon consummation of a specified change of control transaction or the occurrence of certain events of default (as specified in the TLA Credit Agreement), including, among other things:</w:t>
      </w:r>
    </w:p>
    <w:p>
      <w:pPr>
        <w:spacing w:after="0" w:line="174" w:lineRule="exact"/>
        <w:rPr>
          <w:sz w:val="20"/>
          <w:szCs w:val="20"/>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default in a payment obligation under the TLA Credit Agreement;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breach of the covenants or other terms of the TLA Credit Agreement;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properly maintain the collateral;</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occurrence of a specified change of control transaction occurring;</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one or more judgments resulting in liability greater than $20.0 million;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certain specified insolvency and bankruptcy-related events.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Subject to any applicable cure period set forth in the TLA Credit Agreement, all amounts outstanding with respect to the Loans (principal and accrued interest), as well as any applicable prepayment premiums or interest “make-whole” payments, would become due and payable. Our assets or cash flow may not be sufficient to fully repay our obligations under the Loans if the obligations thereunder are accelerated upon any events of default. Further, if we are unable to repay, refinance or restructure our obligations under the Loans, the Administrative Agent on behalf of the Lenders could proceed to protect and enforce their rights under the TLA Credit Agreement and other loan documents by exercising such remedies (including foreclosure on the assets securing our obligations under the TLA Credit Agreement and the other loan documents) as are available to the Administrative Agent and the Lenders and in respect thereof under applicable law, either by suit in equity or by action at law, or both, whether for specific performance of any covenant or other agreement contained in the TLA Credit Agreement or other loan documents or in aid of the exercise of any power granted in the TLA Credit Agreement or other loan documents. Such repayment could have a material adverse effect on our business, operating results and financial condition.</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obligations under the TLA Credit Agreement are secured by all of our assets, with certain exceptions. We may not be able to generate sufficient cash flow or sales to meet the financial covenants or pay the principal and interest under the TLA Credit Agreement. Furthermore, our future working capital, borrowings or equity financing could be unavailable to repay or refinance the amounts outstanding under the TLA Credit Agreement. In the event of a liquidation, the lenders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lenders under the TLA Credit Agreement, were first repaid in full.</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never paid dividends on our common stock, and we do not intend to pay dividends for the foreseeable future. Consequently, any gains from an investment in our common stock will likely depend on whether the price of our common stock increases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To the extent that we raise additional capital by issuing equity securities, our existing shareholders’ ownership may experience substantial dilution, and the terms of these securities may include liquidation or other preferences that could adversely affect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 which could adversely affect our ability to conduct our business.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2024, we had U.S. federal net operating loss carryforwards of $220.2 million and we had state net operating loss carryforwards of approximately $111.1 million. Utilization of the federal and state net operating loss carryforwards may be subject to a substantial limitation due to federal and state provisions. If we have experienced an ownership change at any time since our incorporation, we may be subject to limitations on our ability to utilize our existing net operating loss carryforwards to offset taxable income. In addition, future changes in our stock ownership, which may be outside of our control, may trigger an ownership change and, consequently, the limitations under Section 382 of the Code. As a result, if or when we earn net taxable income, our ability to use our pre-change net operating loss carryforwards to offset such taxable income may be subject to limitations, which could adversely affect our future cash flows.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tax laws or regulations could adversely affect our results of operations, business and financial condition.</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or our customers, each of which could adversely affect our results of operations, business and financial condition.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This tax law change will continue to have an adverse effect on our income tax liability, which could be material. In addition, the IRA, among other things, imposes a new 15% alternative minimum tax on the adjusted financial statement income of certain large corporations for tax years beginning after December 31, 2022. Changes in tax laws or regulations could materially increase our tax provision, cash tax liabilities, and effective tax rate, which may adversely affect our results of operations, business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regulatory approval process of the FDA is costly, lengthy and inherently unpredictable, and our business may be substantially harmed if we experience insufficient results in the course of our clinical development or are ultimately unable to obtain regulatory approval for any of our ongoing development programs in other potential indications.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Although the commercialization of WAKIX is our primary focus, as part of our longer-term growth strategy, we plan to evaluate pitolisant in other indications and develop other product candidates. The research, testing, manufacturing, labeling, approval, selling, import, export, pricing and reimbursement marketing and distribution of drug products are subject to extensive regulation by the FDA and other regulatory agencies in the United States. Although we have obtained regulatory approval for WAKIX in the United States for the treatment of EDS or cataplexy in adult patients with narcolepsy, it is possible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that we may not obtain regulatory approval for pitolisant for other indications, or for any other product candidates we may seek to develop in the future.</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FDA or comparable regulatory authorities can delay, limit or deny approval of a drug candidate for many reasons or require us to conduct additional preclinical or clinical testing, including, but not limited to, the following:</w:t>
      </w:r>
    </w:p>
    <w:p>
      <w:pPr>
        <w:spacing w:after="0" w:line="154" w:lineRule="exact"/>
        <w:rPr>
          <w:sz w:val="20"/>
          <w:szCs w:val="20"/>
          <w:color w:val="auto"/>
        </w:rPr>
      </w:pPr>
    </w:p>
    <w:p>
      <w:pPr>
        <w:ind w:left="1000" w:right="2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drug candidate may not be deemed safe or effective, or the clinical and other benefits may be deemed to not outweigh the candidate’s risks;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disagree with the design or execution of our clinical trials plan;</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clinical trials may not be sufficiently broad or representative to assure safety in the full population for which we seek approval;</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not find the data from nonclinical and clinical studies and trials sufficient or may disagree with our interpretation of data from nonclinical or clinical studies;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 or other products containing the active ingredient in our product candidates;</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disagree with us regarding the formulation, labeling and/or the product specifications of our product candidates;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 inspection(s) by the FDA or other regulatory authorities may result in unacceptable findings that could negatively impact approval of pitolisant;</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might not accept or deem acceptable a third-party manufacturers’ processes or facilities; or</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change their approval policies or adopt new regulations.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Prior to obtaining approval to commercialize a drug candidate in the United States, we or our collaborators must demonstrate with substantial evidence from well-controlled clinical trials, and to the satisfaction of the FDA, that such drug candidates are safe and effective for their intended uses. The number of nonclinical and clinical studies and trials that will be required for FDA approval varies depending on the drug candidate, the disease or condition that the drug candidate is designed to address, and the regulations applicable to any particular drug candidate. In addition, data obtained from preclinical trials and clinical trials are susceptible to varying interpretations, and regulatory authorities may not interpret our data as favorably as we do, which may further delay, limit or prevent development efforts, clinical trials or marketing approval. Furthermore, as more competing drug candidates within a particular class of drugs proceed through clinical development to regulatory review and approval, the amount and type of clinical data that may be required by regulatory authorities may increase or change. Even if we believe the preclinical or clinical data for our product candidates are promising, such data may not be sufficient to support approval by the FDA and other regulatory authorities. If pitolisant fails to demonstrate safety and efficacy in clinical trials or does not gain regulatory approval for other indications, our business and results of operations will be materially and adversely harmed. Additionally, if the FDA requires that we conduct additional clinical trials, places limitations on pitolisant in our label, delays approval to market pitolisant or limits the use of pitolisant, our business and results of operations may be harmed.</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obtain and sustain an adequate level of coverage and reimbursement for WAKIX and other product candidates by third-party payors, sales would be adversely affected.</w:t>
      </w:r>
    </w:p>
    <w:p>
      <w:pPr>
        <w:spacing w:after="0" w:line="1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Successful sales of WAKIX and any other product candidates that may receive regulatory approval depend on the availability of coverage and adequate reimbursement from third-party payors. Patients who are prescribed medications for the treatment of their conditions generally rely on third- party payors to reimburse all or part of the costs associated with their prescription drugs. There is significant uncertainty related to third-party payor coverage and reimbursement of newly approved drugs. Regulatory approvals, pricing and reimbursement for new drug products vary widely from country to country. In the United States, the principal decisions about reimbursement for new medicines are typically made by CMS, an agency within HHS. CMS decides whether and to what extent a new medicine will be covered and reimbursed under Medicare. Private payors tend to follow CMS to a substantial degree. Commercial third-party payors, such as private health insurers and health maintenance organizations, also decide which medications they will pay for and establish reimbursement levels, though commercial third-party payors often follow CMS’ reimbursement determinations. The availability of coverage and the extent of reimbursement by governmental and private payors is essential for most patients to be able to afford treatments. Sales of WAKIX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54"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cannot be sure that reimbursement will be available for WAKIX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Obtaining coverage and reimbursement approval for a product from a government or other third- party payor can be an expensive and time-consuming process that could require us to provide supporting scientific, clinical and cost effectiveness data for the use of our products to the payor. The industry competition to be included in third-party payors’ drug formularies, or lists of medications for which third- party payors provide coverage and reimbursement, often leads to downward pricing pressures on pharmaceutical products. In addition, third-party payors may refuse to include a particular branded drug in their formularies or otherwise restrict patient access through formulary controls or otherwise to a branded drug when a less costly generic equivalent or other alternative is available.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In addition, many pharmaceutical manufacturers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must calculate and report certain price reporting metrics to the government, such as average manufacture price and best price. Penalties may apply in some cases when such metrics are not submitted accurately and timely. We cannot be sure that reimbursement will be available for any product candidate that we commercialize and, if reimbursement is available, the level of reimbursement.</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addition,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have obtained coverage for WAKIX from certain third-party payors, the resulting reimbursement payment rates might not be adequate or may require co-payments that patients find unacceptably high. Patients are unlikely to use WAKIX unless coverage is provided and reimbursement is adequate to cover a significant portion of the cost of WAKIX.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We may suffer loss of corporate reputation due to industry-wide legislative or public scrutiny of our pricing decisions and practices within an increasingly price-sensitive environment.</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Despite obtaining formulary approval from certain third-party payors, sometimes with prior authorization or other formulary restrictions and requirements, including documented failure or inadequate response to alternative treatments, we expect to experience pricing pressures in connection with the sale of WAKIX due to the trend toward cost containment, managed healthcare, the increasing influence of health maintenance organizations and additional legislative changes. Large public and private payors, managed care organizations, group purchasing organizations and similar organizations are exerting increasing influence on decisions regarding the use of, and reimbursement levels for, particular treatments. Such third-party payors, including Medicare, are questioning the coverage of, and challenging the prices charged for medical products and services, and many third-party payors limit coverage of, or reimbursement for, newly approved health care products.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WAKIX.</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These cost-control initiatives could decrease the price we have established for WAKIX, which could result in product revenue being lower than anticipated. The pricing, coverage and reimbursement of WAKIX must be adequate to support a commercial infrastructure. If the price for WAKIX decreases or if governmental and other third-party payors do not provide adequate coverage and reimbursement levels, our revenue, gross margins and prospects for profitability will suffer.</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While we have not taken any steps to attain regulatory or patent approvals in any specific markets outside of the United States, we plan to explore obtaining additional licensing rights from Bioprojet to expand into international markets with WAKIX</w:t>
      </w:r>
      <w:r>
        <w:rPr>
          <w:rFonts w:ascii="Arial" w:cs="Arial" w:eastAsia="Arial" w:hAnsi="Arial"/>
          <w:sz w:val="18"/>
          <w:szCs w:val="18"/>
          <w:b w:val="1"/>
          <w:bCs w:val="1"/>
          <w:color w:val="auto"/>
        </w:rPr>
        <w:t>.</w:t>
      </w:r>
      <w:r>
        <w:rPr>
          <w:rFonts w:ascii="Arial" w:cs="Arial" w:eastAsia="Arial" w:hAnsi="Arial"/>
          <w:sz w:val="18"/>
          <w:szCs w:val="18"/>
          <w:color w:val="auto"/>
        </w:rPr>
        <w:t xml:space="preserve"> Outside the United States, international operations are generally subject to extensive governmental price controls and other market regulations, and we believe the increasing emphasis on cost-containment initiatives in Europe and other countries will likely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WAKIX. Accordingly, in markets outside the United States, the reimbursement for WAKIX may be reduced compared with the United States and may be insufficient to generate commercially reasonable revenue and profits.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WAKIX has been approved by the FDA for the treatment of EDS and cataplexy in adult patients with narcolepsy, and for the treatment of EDS in children six years and older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7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received approval for the indications of the treatment of EDS and cataplexy in adult patients with narcolepsy and for EDS in children six years and older with narcolepsy, WAKIX is not indicated to treat any other conditions. We are prohibited from promoting WAKIX for any other indication unless we are granted FDA approval for such indication. The FDA strictly regulates the promotional claims that may be made about prescription products, and WAKIX may not be promoted for uses that are not approved by the FDA as reflected in its approved labeling. If we are not able to obtain FDA approval for any desired future indications for our products and product candidates, our ability to effectively market and sell our products may be reduced and our business may be adversely affected.</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WAKIX or any of our future product candidates may cause undesirable side effects or have other properties that could delay or prevent their regulatory approval, reduce the commercial attractiveness of a prescribing label or result in significant negative consequences following regulatory approval, if approved.</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Clinical trials of WAKIX or other product candidates we may develop could reveal a high and unacceptable incidence and severity of undesirable side effects. Undesirable side effects could adversely affect patient enrollment in clinical studies, cause us or regulatory authorities to interrupt, delay or halt clinical studies or result in the delay, denial or withdrawal of regulatory approval by the FDA or other regulatory authorities. Undesirable or adverse side effects also could result in regulatory authorities mandating a more restrictive prescribing label for the product, which, in turn, could limit the market acceptance of the product even if approved for marketing and commercialization.</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Drug-related side effects could result in potential product liability claims. We believe our product liability insurance coverage is sufficient in light of our clinical programs; however, we may not be able to maintain insurance coverage at a reasonable cost or in sufficient amounts or maintain coverage at all to protect us against losses due to liability. A successful product liability claim or series of claims brought against us could cause our stock price to decline and, if judgments exceed our insurance coverage, could adversely affect our results of operations, business and financial condition. In addition, regardless of merit or eventual outcome, product liability claims may result in impairment of our business reputation, significant negative media attention, withdrawal of clinical study participants, costs due to related litigation, distraction of management’s attention from our primary business, initiation of investigations by regulators, substantial monetary awards to patients or other claimants, the inability to commercialize our current product candidate or any future product candidate, product recalls, restrictions on labeling, marketing or promotion, decreased demand for our product candidates, if approved for marketing, and loss of revenue.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if we or others later identify undesirable side effects caused by WAKIX, either in the post-marketing setting or in clinical trials in other potential indications for which we develop pitolisant, or in clinical trials for other product candidates, a number of potentially significant negative consequences could result, including but not limited to:</w:t>
      </w:r>
    </w:p>
    <w:p>
      <w:pPr>
        <w:spacing w:after="0" w:line="169" w:lineRule="exact"/>
        <w:rPr>
          <w:sz w:val="20"/>
          <w:szCs w:val="20"/>
          <w:color w:val="auto"/>
        </w:rPr>
      </w:pPr>
    </w:p>
    <w:p>
      <w:pPr>
        <w:ind w:left="4860" w:right="3100" w:hanging="4177"/>
        <w:spacing w:after="0" w:line="787" w:lineRule="auto"/>
        <w:tabs>
          <w:tab w:leader="none" w:pos="1003"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delay, prevention or withdrawal of approvals by regulatory authorities;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to suspend marketing of a product or withdraw it from the marketplace;</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additional warnings on the prescribing label or limitations on product access;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costly post-marketing studies;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change the manner in which a product is administered;</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 REMS plan, which could include a medication guide outlining the risks of such side effects for distribution to patients, a communication plan for healthcare providers and/or other elements to assure safe use;</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designation as a controlled substance by the DEA;</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may become less competitive;</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fines, injunctions or civil and criminal penalties;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and the potential to be held liable for harm caused to patients;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an adverse effect on our reputation.</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pitolisant and could significantly harm our business, results of operations, financial condition and prospects.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exclusivity before approving generic versions of our products, the sales of our products could be adversely affected.</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(“NCE”).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we have received five years of NCE exclusivity for WAKIX, manufacturers may seek to launch generic products following the expiration of the applicable exclusivity period we obtain, even if we still have patent protection for our product.</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Competition that our products may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 candidates are safe and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169" w:lineRule="exact"/>
        <w:rPr>
          <w:sz w:val="20"/>
          <w:szCs w:val="20"/>
          <w:color w:val="auto"/>
        </w:rPr>
      </w:pPr>
    </w:p>
    <w:p>
      <w:pPr>
        <w:ind w:left="1000" w:right="20" w:hanging="317"/>
        <w:spacing w:after="0" w:line="270"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generate sufficient preclinical, toxicology, or other in vivo or in vitro data to support the initiation or continuation of clinical trials;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other reviewing bodies may not authorize us or our investigators to commence a clinical trial, or to conduct or continue a clinical trial at a prospective or specific trial site;</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not agree as to the design or implementation of our clinical trials;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identify, recruit and train suitable clinical investigators;</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or patients required for clinical trials of pitolisant in additional indications or any other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170"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to amend clinical trial protocols submitted to regulatory authorities or conduct additional studies to reflect changes in regulatory requirements or guidance, which we may be required to resubmit to an IRB and regulatory authorities for re-examination;</w:t>
      </w:r>
    </w:p>
    <w:p>
      <w:pPr>
        <w:spacing w:after="0" w:line="170"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other reviewing bodies may fail to approve or subsequently find fault with the manufacturing processes or facilities of third-party manufacturers with which we enter into agreement for clinical and commercial supplies;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pitolisant or any other product candidate or other materials necessary to conduct clinical trials of our product candidates may be insufficient, inadequate or not available at an acceptable cost, or we may experience interruptions in supply; and</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failure to demonstrate a benefit from using a drug, changes in governmental regulations or administrative actions or lack of adequate funding to continue the clinical trial.</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Negative or inconclusive results from our ongoing clinical trials of pitolisant for the treatment of narcolepsy, or any other clinical trial or preclinical studies in animals that we conduct, could mandate repeated or additional clinical trials and could result in changes to or delays in clinical trials in other indications. We do not know whether any clinical trials that we may conduct will demonstrate adequate efficacy and safety to result in regulatory approval to market pitolisant for our initial or potential additional indications, or any other product candidate. If later stage clinical trials do not produce favorable results, our ability to obtain regulatory approval for pitolisant for initial or potential additional indications, or any other product candidate, may be adversely impacted.</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failure to successfully initiate and complete clinical trials of pitolisant for potential additional indications or any other product candidate and to demonstrate the efficacy and safety necessary to obtain regulatory approval to market pitolisant or any other product candidate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pitolisant or any other product candidate.</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prior to our acquisition of the rights to pitolisant, we had no involvement with or control over the nonclinical or clinical development of pitolisant. Additionally, pursuant to our collaboration agreement with Bioprojet, we will rely on data generated by Bioprojet in connection with seeking regulatory approval of pitolisant in the territories in which we have rights to develop and commercialize pitolisant. We are dependent on Bioprojet having conducted such research and development in accordance with the applicable protocols and legal, regulatory and scientific standards, having accurately reported the results of all clinical trials and other research they conducted prior to our acquisition of the rights to pitolisant, having correctly collected and interpreted the data from these trials and other research, and having supplied us with complete information, data sets and reports required to adequately demonstrate the results reported through the date of our acquisition of these assets. Problems related to predecessors could result in increased costs and delays in the development of pitolisant for additional indications, which could adversely affect our ability to generate any future revenue from sales of pitolisant, if approved for additional indications.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Fast Track designation from the FDA, even if granted for any of our product candidates, may not lead to a faster development or regulatory review or approval process, and does not increase the likelihood that our product candidates will receive regulatory approval.</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During the development of certain of our product candidates, we received Fast Track designation from the FDA and we may also seek further designations for some or all of our other product candidates. The Fast Track program is intended to expedite or facilitate the process for reviewing product candidates that meet certain criteria. Specifically, drugs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designation does not increase the likelihood that any product candidate that may be granted Fast Track designation will receive regulatory approval in the United States. Many product candidates that have received Fast Track designation have ultimately failed to obtain approval.</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topline data, and the results and related findings and conclusions are subject to change following completion of the study or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may encounter delays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Patient enrollment and retention in clinical trials depends on many factors, including the size of the patient population, the nature of the trial protocol, our ability to recruit clinical trial investigators with the appropriate competencies and experience,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the risk that patients enrolled in clinical trials will drop out of the trials before completion.</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Furthermore, any negative results or new safety signals we or third parties may report in clinical trials of our product candidates may make it difficult or impossible to recruit and retain patients in our clinical trials. Similarly, negative results reported by our competitors about their drug candidates may negatively affect patient recruitment in our clinical trials. In addition, marketing authorization of competitors in this same class of drugs may impair our ability to enroll patients into our clinical trials, delaying or potentially preventing us from completing recruitment of one or more of our trials. Delays or failures in planned patient enrollment or retention may result in increased costs, program delays or both, which could have a harmful effect on our ability to develop pitolisant or any future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Even if we receive orphan drug designation for our product candidates, we may not be able to maintain the benefits associated with orphan drug designation, including marketing exclusivity, which may cause our product revenue to be reduced.</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biologic will be recovered from sales in the United States. For example, the FDA granted orphan drug designation to pitolisant for the treatment of narcolepsy in 2010, and for the treatment of IH in 2023.</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for clinical trial costs, tax advantages and user-fee waivers. In addition, generally, if a drug with an orphan drug designation subsequently receives the first marketing approval for the disease or condition for which it has such designation, the drug is entitled to a seven-year period of marketing exclusivity, which precludes the FDA from approving another marketing application for the same drug for the same disease or condition for that time period. Under the FDA’s regulations, the FDA will deny orphan drug exclusivity to a designated drug upon approval if the FDA has already approved another drug with the same active ingredient for the same indication, except in limited circumstances, such as a showing of clinical superiority to the product with orphan drug exclusivity or where the manufacturer is unable to assure sufficient product quantity. In connection with WAKIX’s approvals, we received orphan drug exclusivities for the treatment of excessive daytime sleepiness in adult patients with narcolepsy, and for the treatment of cataplexy in adult patients with narcolepsy, and for the treatment of excessive daytime sleepiness in pediatric patients 6 years of age and older with narcolepsy.</w:t>
      </w:r>
    </w:p>
    <w:p>
      <w:pPr>
        <w:spacing w:after="0" w:line="186" w:lineRule="exact"/>
        <w:rPr>
          <w:sz w:val="20"/>
          <w:szCs w:val="20"/>
          <w:color w:val="auto"/>
        </w:rPr>
      </w:pPr>
    </w:p>
    <w:p>
      <w:pPr>
        <w:jc w:val="both"/>
        <w:ind w:firstLine="738"/>
        <w:spacing w:after="0" w:line="253" w:lineRule="auto"/>
        <w:rPr>
          <w:sz w:val="20"/>
          <w:szCs w:val="20"/>
          <w:color w:val="auto"/>
        </w:rPr>
      </w:pPr>
      <w:r>
        <w:rPr>
          <w:rFonts w:ascii="Arial" w:cs="Arial" w:eastAsia="Arial" w:hAnsi="Arial"/>
          <w:sz w:val="18"/>
          <w:szCs w:val="18"/>
          <w:color w:val="auto"/>
        </w:rPr>
        <w:t>Orphan drug exclusivity in the United States may be unavailable where the indication for which the product candidate is approved is broader than the orphan-designated indication or is otherwise different from the orphan-designated disease or condition.</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candidate from competition. WAKIX may face additional competition because different drugs with a different active moiety can still be approved for the same condition. Even after an approved drug is granted orphan exclusivity, exclusivity may be lost if the FDA later determines that the request for designation was materially defective or if we are unable to assure sufficient quantities of the drug to meet the needs of patients with the rare disease or condition following approval. In addition, the FDA can subsequently approve products with the same active moiety for the same condition if the FDA concludes that the later drug is safer, more effective, or makes a major contribution to patient care. Orphan drug designation neither shortens the development or regulatory review time of a drug nor gives the drug any advantage in the regulatory review or approval process.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ongoing regulatory obligations and continued regulatory review with respect to WAKIX, which will result in significant additional expense. Additionally, WAKIX could be subject to labeling and other restrictions and market withdrawal, and we may be subject to penalties if we fail to comply with regulatory requirements or experience unanticipated problems with WAKIX.</w:t>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WAKIX is subject to extensive and ongoing regulatory requirements for manufacturing, labeling, packaging, storage, advertising, promotion, sampling, distribution, import, export, record keeping and submission of safety and other post-market information, including both federal and state requirements in the United States. In addition, manufacturers and manufacturers’ facilities are required to comply with extensive FDA requirements, including ensuring that quality control and manufacturing procedures conform to cGMP. As such, we and our contract manufacturers are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regulatory approval for WAKIX for the treatment of EDS or cataplexy in adult patients with narcolepsy, and for EDS in children six years and older with narcolepsy, and any other regulatory approvals we may receive for pitolisant or any future product candidates may be subject to limitations on the approved indicated uses for which the product may be marketed or to the conditions of approval, or contain requirements for potentially costly post-marketing testing, which must comply with applicable GCP regulations. We could also be asked to conduct post marketing clinical studies to verify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safety and efficacy of future product candidates in general or in specific patient subsets. For example, as a part of the regulatory approval for WAKIX for the treatment of EDS in adult patients with narcolepsy, we are required to conduct post-marketing studies in women exposed to pitolisant in pregnancy, including a registry-based observational cohort study to assess maternal, fetal, and infant outcomes of women exposed to pitolisant during pregnancy, and another study of a different design such as a case control study or a retrospective cohort study using electronic medical record data, and a lactation study.</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are also required to report certain adverse events and production problems, if any, to the FDA, and to comply with requirements concerning advertising and promotion for WAKIX. Promotional communications with respect to prescription drugs are subject to a variety of legal and regulatory restrictions and must be consistent with the information in the product’s approved label. As such, we may not promote WAKIX for indications or uses for which it does not have FDA approval. The holder of an approved NDA must submit new or supplemental applications and obtain approval for certain changes to the approved product, product labeling or manufacturing process.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If a regulatory agency discovers previously unknown problems with WAKIX, such as adverse events of unanticipated severity or frequency, or problems with the facility where the product is manufactured, or disagrees with the promotion, marketing, or labeling of a product, the regulatory agency may impose restrictions on the product or us, including requiring withdrawal of the product from the market. If we fail to comply with applicable regulatory requirements, a regulatory agency or enforcement authority may, among other things:</w:t>
      </w:r>
    </w:p>
    <w:p>
      <w:pPr>
        <w:spacing w:after="0" w:line="176" w:lineRule="exact"/>
        <w:rPr>
          <w:sz w:val="20"/>
          <w:szCs w:val="20"/>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issue warning or untitled letters;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impose civil or criminal penalties, including product seizures and injunctions;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limit or suspend regulatory approval;</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place clinical holds on any of our proposed or ongoing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pending applications or supplements to approved applications;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impose restrictions on our operations, including closing our contract manufacturers’ facilities, on the manufacturing of our products, or on the labeling or marketing of our products; or</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products, refuse to import or export products, or require or request a product recall or withdrawal of the products from the market.</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WAKIX or future product candidates. If regulatory sanctions are applied or if regulatory approval is withdrawn, the value of our company and our operating results will be adversely affected.</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are subject to applicable healthcare regulatory laws, which could expose us to penalties.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federal and state healthcare laws and regulations pertaining to fraud and abuse and patients’ rights. These laws may constrain the business or financial arrangements and relationships through which we conduct our operations, including how we research,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sell and distribute our product candidates, if approved. The laws that affect our current and future operations include, but are not limited to:</w:t>
      </w:r>
    </w:p>
    <w:p>
      <w:pPr>
        <w:spacing w:after="0" w:line="154" w:lineRule="exact"/>
        <w:rPr>
          <w:sz w:val="20"/>
          <w:szCs w:val="20"/>
          <w:color w:val="auto"/>
        </w:rPr>
      </w:pPr>
    </w:p>
    <w:p>
      <w:pPr>
        <w:jc w:val="both"/>
        <w:ind w:left="1000" w:hanging="317"/>
        <w:spacing w:after="0" w:line="239"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receiving, offering or paying any remuneration (including any kickback, bribe, or certain rebate), directly or indirectly, overtly or covertly, in cash or in kind, in exchange for, or to induce or reward, or in return for, either the referral of an individual for, or the purchase, lease, order or recommendation of, any good, facility, item, or service for which payment may be made, in whole or in part, under any U.S. federal healthcare programs, such as the Medicare and Medicaid programs. This statute has been interpreted to apply to arrangements between pharmaceutical manufacturers on the one hand, and prescribers, purchasers and formulary managers, among others, on the other. A person or entity does not need to have actual knowledge of the statute or specific intent to violate it in order to have committed a violation;</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37"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civil and criminal false claims laws, such as the False Claims Act (“FCA”), which imposes significant penalties and can be enforced by private citizens through civil qui tam actions, and prohibits individuals or entities from, among other things, knowingly presenting, or causing to be presented, to the U.S. federal government, false, fictitious or fraudulent claims for payment of federal funds, and knowingly making, using or causing to be made or used a false record or statement material to a false or fraudulent claim, or from knowingly making a false statement to avoid, decrease or conceal an obligation to pay money to the U.S.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FCA;</w:t>
      </w:r>
    </w:p>
    <w:p>
      <w:pPr>
        <w:spacing w:after="0" w:line="19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76" w:lineRule="exact"/>
        <w:rPr>
          <w:rFonts w:ascii="Times New Roman" w:cs="Times New Roman" w:eastAsia="Times New Roman" w:hAnsi="Times New Roman"/>
          <w:sz w:val="18"/>
          <w:szCs w:val="18"/>
          <w:color w:val="auto"/>
        </w:rPr>
      </w:pPr>
    </w:p>
    <w:p>
      <w:pPr>
        <w:jc w:val="both"/>
        <w:ind w:left="1000" w:hanging="317"/>
        <w:spacing w:after="0" w:line="242"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77"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state law equivalents of each of the above federal laws, such as state anti-kickback and false claims laws which may apply to items or services reimbursed by any third-party payor, including commercial insurers, and may be broader in scope than their federal equivalents;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federal transparency requirements detailing interactions with and payments to healthcare providers, such as the federal reporting requirements under the Physician Payments Sunshine Act, which requires, among other things, certain manufacturers of drugs, devices, biologics and medical supplies reimbursed under Medicare, Medicaid, or the Children’s Health Insurance Program, with specific exceptions, to report annually to the HHS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spacing w:after="0" w:line="242" w:lineRule="auto"/>
        <w:rPr>
          <w:sz w:val="20"/>
          <w:szCs w:val="20"/>
          <w:color w:val="auto"/>
        </w:rPr>
      </w:pPr>
      <w:r>
        <w:rPr>
          <w:rFonts w:ascii="Arial" w:cs="Arial" w:eastAsia="Arial" w:hAnsi="Arial"/>
          <w:sz w:val="18"/>
          <w:szCs w:val="18"/>
          <w:color w:val="auto"/>
        </w:rPr>
        <w:t>information related to payments and other transfers of value provided to physicians (defined to include doctors, dentists, optometrists, podiatrists and chiropractors), certain other health care professionals (physician assistants, nurse practitioners, clinical nurse specialists, certified registered nurse anesthetists, anesthesiologist assistants, and certified nurse midwives), and teaching hospitals and physician ownership and investment interests, including such ownership and investment interests held by a physician’s immediate family members. Failure to submit required information may result in civil monetary penalties;</w:t>
      </w:r>
    </w:p>
    <w:p>
      <w:pPr>
        <w:spacing w:after="0" w:line="179" w:lineRule="exact"/>
        <w:rPr>
          <w:sz w:val="20"/>
          <w:szCs w:val="20"/>
          <w:color w:val="auto"/>
        </w:rPr>
      </w:pPr>
    </w:p>
    <w:p>
      <w:pPr>
        <w:jc w:val="both"/>
        <w:ind w:left="1000" w:hanging="317"/>
        <w:spacing w:after="0" w:line="242" w:lineRule="auto"/>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potential referral sources, state laws that require drug manufacturers to file reports relating to pricing information and marketing expenditures, state and local laws requiring the registration of pharmaceutical sales representatives;</w:t>
      </w:r>
    </w:p>
    <w:p>
      <w:pPr>
        <w:spacing w:after="0" w:line="177"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79"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similar healthcare laws in the European Union and EEA and other jurisdictions, including reporting requirements detailing interactions with and payments to healthcare providers.</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Ensuring that our business operations and current and future arrangements with third parties comply with applicable healthcare laws and regulations will likely be costly. It is possible that governmental authorities will conclude that our business practices, including, without limitation, our patient support and financial assistance programs, do not comply with current or future statutes, regulations, agency guidance or case law involving applicable fraud and abuse or other healthcare laws. If our operations are found to be in violation of any of the laws described above or any other governmental laws and regulations that apply to us, we may be subject to penalties, including civil, administrative and criminal penalties, damages, fines, the curtailment or restructuring of our operations, contractual damages, disgorgement, reputational harm, additional oversight and reporting obligations if we become subject to a corporate integrity agreement or similar agreement to resolve allegations of non-compliance with these laws, the exclusion from participation in federal and state healthcare programs and individual imprisonment, any of which could adversely affect our ability to market pitolisant, if approved, and adversely impact our financial results. Further, defending against any such actions can be costly, time-consuming and may require significant personnel resources.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Therefore, even if we are successful in defending against any such actions that may be brought against us, our business may be impaired. The risk of our being found in violation of these laws is increased by the fact that many of them have not been fully interpreted by the applicable regulatory agencies or the courts, and their provisions are open to a variety of interpretations.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Actual or perceived failure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and damage to our reputation, any of which could have a material adverse effect on our operations, financial performance and business.</w:t>
      </w:r>
    </w:p>
    <w:p>
      <w:pPr>
        <w:spacing w:after="0" w:line="15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of 2018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as amended by HITECH. While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In July 2020, the Court of Justice of the European Union (“CJEU”) invalidated the Privacy Shield for purposes of international transfers and imposed further restrictions on the use of standard contractual clauses (“SCCs”). The European Commission issued revised SCCs in June 2021 to account for the decision of the CJEU and recommendations made by the European Data Protection Board. The revised SCCs must be used for relevant new data transfers from September 27, 2021; existing</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 from January 2021, companies have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If we or third-party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Clinical practice guidelines and recommendations published by various organizations could have significant influence on the use of WAKIX.</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Professional societies, practice management groups, private health and science foundations and organizations involved in various diseases from time to time may publish guidelines or recommendations to the healthcare and patient communities. The recommendations of these groups or organizations may relate to such matters as usage, dosage, route of administration and use of concomitant therapies. Recommendations or guidelines suggesting the reduced use of WAKIX or the use of competitive or alternative products as the standard of care to be followed by patients and healthcare providers could result in decreased use of WAKIX.</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Product candidates we develop in the future may be classified as controlled substances, the making, use, sale, importation, exportation and distribution of which are subject to regulation by state, federal and foreign law enforcement and other regulatory agencies.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Product candidates we develop in the future may be classified as controlled substances, which are subject to state, federal and foreign laws and regulations regarding their manufacture, use, sale, importation, exportation and distribution. Controlled substances are regulated under CSA and regulations of the DEA.</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Various states also independently regulate controlled substances. Though state-controlled substances laws often mirror federal law, because the states are separate jurisdictions, they may separately schedule drugs as well. While some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case of our approved products, the ability to produce and distribute our products in the volume needed to meet commercial demand.</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approved products or product candidates that are classified as controlled substances.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Enacted and future healthcare legislative changes may increase the difficulty and cost for us to obtain marketing approval for and commercialize our product candidates and affect the prices we may obtain.</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United States, the European Union and other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to broaden access to health insurance, reduce or constrain the growth of healthcare spending, enhance remedies against fraud and abuse, add new transparency requirements for health care and health insurance industries, impose new taxes and fees on the healthcare industry, and impose additional healthcare policy reforms. The law has continued the downward pressure on pharmaceutical pricing, especially under the Medicare program, and increased the industry’s regulatory burdens and operating costs. Among the provisions of the ACA of importance to the pharmaceutical industry and our potential product candidates are the following:</w:t>
      </w:r>
    </w:p>
    <w:p>
      <w:pPr>
        <w:spacing w:after="0" w:line="180" w:lineRule="exact"/>
        <w:rPr>
          <w:sz w:val="20"/>
          <w:szCs w:val="20"/>
          <w:color w:val="auto"/>
        </w:rPr>
      </w:pPr>
    </w:p>
    <w:p>
      <w:pPr>
        <w:jc w:val="both"/>
        <w:ind w:left="1000" w:right="20" w:hanging="317"/>
        <w:spacing w:after="0" w:line="252" w:lineRule="auto"/>
        <w:tabs>
          <w:tab w:leader="none" w:pos="10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 (other than those designated as orphan drugs), which is apportioned among these entities according to their market share in certain government healthcare programs;</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 for branded and generic drugs;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Medicare Part D coverage gap discount program, in which manufacturers must agree to offer 70% point-of-sale discounts off negotiated prices of applicable brand drugs to eligible beneficiaries under their coverage gap period, as a condition for the manufacturer’s outpatient drugs to be covered under Medicare Part 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20" w:hanging="317"/>
        <w:spacing w:after="0" w:line="270" w:lineRule="auto"/>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 Center for Medicare and Medicaid Innovation at the CMS to test innovative payment and service delivery models to lower Medicare and Medicaid spending, potentially including prescription drug spending; and</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Since its enactment, there have been numerous judicial, executive and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For example, in August 2011, the Budget Control Act of 2011, among other things, led to aggregate reductions to Medicare payments to providers, which went into effect in April 2013 and, due to subsequent legislative amendments to the statute, will stay in effect through 2032, with the exception of a temporary suspension from May 1, 2020 through March 31, 2022, unless additional Congressional action is taken. Additionally, in January 2013, the American Taxpayer Relief Act of 2012 was signed into law, which, among other things, reduced Medicare payments to several types of providers, including hospitals and cancer treatment centers, and increased the statute of limitations period in which the government may recover overpayments to providers from three to five years. The Inflation Reduction Act of 2022, or IRA, which was signed into law on August 16, 2022, included several provisions to reduce drug spending by the federal government and reduce out-of-pocket costs for patients on Medicare. This legislation requires that the federal government negotiate prices for some drugs covered under Medicare Part B and Part D with the highest total spending, beginning in 2026. It also requires manufacturers to pay rebates back to the federal government if the price of their medications for Medicare beneficiaries rises faster than inflation. The legislation also placed a cap on out-of-pocket costs for Medicare Part D enrollees and shifted the cost of supplying these medications to manufacturers and plans. Eligibility for the Medicare Part D Low-Income Subsidy Program was also expanded under the legislation, and it further delayed the implementation of the Trump Administration’s drug rebate rule to 2027. CMS has published the negotiated prices for the initial ten drugs, which will first be effective in 2026, and the list of the subsequent 15 drugs that will be subject to negotiation, although the drug price negotiation program is currently subject to legal challenges. For that and other reasons, it is currently unclear how the IRA will be effectuated, or the impact of the IRA on our business.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will require authorization through additional legislation to become effective, the probability of their success is uncertain.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reforms could reduce the ultimate demand for our commercial products and product candidates, once approved, or put pressure on our product pricing.</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that we participate in, we could be subject to additional reimbursement requirements, penalties, sanctions and fines, which could have a material adverse effect on our business, financial condition, results of operations and growth prospects.</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we have to report on a monthly and quarterly basis to the CMS, the federal agency that administers the Medicaid Drug Rebate Program. These data include, among other things, the average manufacturer price (“AMP”) and, in the case of innovator products, the best price (“BP”) for each drug which, in general, represents the lowest price available from the manufacturer to any entity in the United States in any pricing structure, calculated to include all sales and associated rebates, discounts and other price concessions. We are liable for errors associated with our submission of pricing data and for any overcharging of government payors. For example, failure to submit monthly and/or quarterly AMP and BP data on a timely basis could result in a civil monetary penalty for each day the submission is late beyond the due date. Failure to make necessary disclosures and/or to identify overpayments could result in allegations against us under the Federal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340B program in order for federal funds to be available for the manufacturer’s drugs under Medicaid and Medicare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or other legislation or regulation could affect our 340B ceiling price calculations and negatively impact our results of operations commercializing pitolisant.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To be eligible to have our products that we successfully commercialize paid for with federal funds under the Medicaid program and purchased by certain federal agencies and grantees, we have to participate in the U.S. Department of Veterans Affairs (“VA”), Federal Supply Schedule (“FSS”) pricing program. As part of this program, we are obligated to make our products available for procurement on an FSS contract under which we must comply with standard government terms and conditions and charge a price that is no higher than the statutory Federal Ceiling Price (“FCP”) to four federal agencies (VA, U.S. Department of Defense (“DOD”), Public Health Service, and U.S. Coast Guard).</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antimony laundering laws and regulations. Compliance with these legal standards could impair our ability to compete in domestic markets. We can face criminal liability and other serious consequences for violations, which can harm our business.</w:t>
      </w:r>
    </w:p>
    <w:p>
      <w:pPr>
        <w:spacing w:after="0" w:line="1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United States domestic bribery statute contained in 18 U.S.C. § 201, the United States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have direct or indirect interactions with officials and employees of government agencies or government- affiliated hospitals, universities, and other organizations. We can be held liable for the corrupt or other illegal activities of our employees, agents, contractors and other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7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in recent years, the U.S. government has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shut down several times and certain regulatory agencies, such as the FDA, have had to furlough critical FDA employees and stop critical activities.</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Separately, in response to the COVID-19 pandemic, the FDA postponed most inspections at domestic and foreign manufacturing facilities at various points. If a prolonged government shutdown occurs, or if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obtained a rare pediatric disease designation for EPX100 for the treatment of Dravet Syndrome, however, there is no guarantee that FDA approval of will result in issuance of a priority review voucher.</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have obtained a rare pediatric disease designation for EPX100 for the treatment of Dravet Syndrome, however, there is no guarantee that we will be able to obtain a priority review voucher, even if EPX100 is approved by the FDA. For example, the FDA may determine that an NDA, even if ultimately approved, does not meet the eligibility criteria for a priority review voucher, including for the following reasons:</w:t>
      </w:r>
    </w:p>
    <w:p>
      <w:pPr>
        <w:spacing w:after="0" w:line="174" w:lineRule="exact"/>
        <w:rPr>
          <w:sz w:val="20"/>
          <w:szCs w:val="20"/>
          <w:color w:val="auto"/>
        </w:rPr>
      </w:pPr>
    </w:p>
    <w:p>
      <w:pPr>
        <w:ind w:left="1340" w:hanging="333"/>
        <w:spacing w:after="0"/>
        <w:tabs>
          <w:tab w:leader="none" w:pos="13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 no longer meets the definition of a rare pediatric disease;</w:t>
      </w:r>
    </w:p>
    <w:p>
      <w:pPr>
        <w:spacing w:after="0" w:line="224" w:lineRule="exact"/>
        <w:rPr>
          <w:rFonts w:ascii="Times New Roman" w:cs="Times New Roman" w:eastAsia="Times New Roman" w:hAnsi="Times New Roman"/>
          <w:sz w:val="18"/>
          <w:szCs w:val="18"/>
          <w:color w:val="auto"/>
        </w:rPr>
      </w:pPr>
    </w:p>
    <w:p>
      <w:pPr>
        <w:ind w:left="1340" w:right="20" w:hanging="333"/>
        <w:spacing w:after="0" w:line="270" w:lineRule="auto"/>
        <w:tabs>
          <w:tab w:leader="none" w:pos="13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 contains an active ingredient (including any ester or salt of the active ingredient) that has been previously approved in another marketing application;</w:t>
      </w:r>
    </w:p>
    <w:p>
      <w:pPr>
        <w:spacing w:after="0" w:line="154" w:lineRule="exact"/>
        <w:rPr>
          <w:rFonts w:ascii="Times New Roman" w:cs="Times New Roman" w:eastAsia="Times New Roman" w:hAnsi="Times New Roman"/>
          <w:sz w:val="18"/>
          <w:szCs w:val="18"/>
          <w:color w:val="auto"/>
        </w:rPr>
      </w:pPr>
    </w:p>
    <w:p>
      <w:pPr>
        <w:ind w:left="1340" w:right="20" w:hanging="333"/>
        <w:spacing w:after="0" w:line="270" w:lineRule="auto"/>
        <w:tabs>
          <w:tab w:leader="none" w:pos="13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application does not rely on clinical data derived from studies examining a pediatric population and dosages of the drug intended for that population;</w:t>
      </w:r>
    </w:p>
    <w:p>
      <w:pPr>
        <w:spacing w:after="0" w:line="154" w:lineRule="exact"/>
        <w:rPr>
          <w:rFonts w:ascii="Times New Roman" w:cs="Times New Roman" w:eastAsia="Times New Roman" w:hAnsi="Times New Roman"/>
          <w:sz w:val="18"/>
          <w:szCs w:val="18"/>
          <w:color w:val="auto"/>
        </w:rPr>
      </w:pPr>
    </w:p>
    <w:p>
      <w:pPr>
        <w:ind w:left="1340" w:right="20" w:hanging="333"/>
        <w:spacing w:after="0" w:line="270" w:lineRule="auto"/>
        <w:tabs>
          <w:tab w:leader="none" w:pos="13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application is approved for a different adult indication than the rare pediatric disease for which the product is designated</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Moreover, Congress included a sunset provision in the statute authorizing the rare pediatric disease priority review voucher program. Under the current statutory sunset provisions, after December 20, 2024, FDA may only award a voucher for an approved rare pediatric disease product application if the sponsor has rare pediatric disease designation for the product candidate, and that designation was granted by December 20, 2024. After September 30, 2026, FDA may not award any rare pediatric disease priority review vouchers, regardless of any rare pediatric disease designation.</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Any proprietary name we intend to use for our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 overstatement of product efficacy, minimization of risk, broadening of product indications or unsubstantiated superiority. If the FDA objects to any of our proposed product names, we may be required to adopt an alternative name for our product candidates. If we adopt an alternative name, we would lose the benefit of our existing trademark applications for such product candidate, and may be required to expend significant additional resources in an effort to identify a suitable product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rely, and will continue to rely, on a combination of patents, trademarks and confidentiality agreements with employees, consultants, collaborators, advisors and other third parties to protect the intellectual property related to our current and future product candidates. Our success depends in large part on our licensor’s ability to obtain and maintain patent protection in the United States with respect to WAKIX and our ability to obtain and maintain patent protection in the United States and any other relevant foreign jurisdictions with respect to any future product candidates that we develop. We seek to ensure that our current and future licensors obtain appropriate patent protection to all product candidates that we license from them. The patent prosecution process is expensive and time- consuming, and we and our licensors may not be able to file and prosecute all necessary or desirable patent applications at a reasonable cost or in a timely manner.</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in-licensed patent portfolio comprises four U.S. patents and a U.S. patent application exclusively licensed to us from Bioprojet. One U.S. patent, No. 8,207,197 has claims directed to the polymorph, i.e., a specific crystalline form, of pitolisant and, methods for preparing that polymorph of pitolisant in WAKIX, which is expected to expire in in March 2030 based on a granted request for patent term extension, and patent term adjustment, but without taking into consideration any possible pediatric exclusivity. A second U.S. patent, No. 8,486,947, has claims directed to methods of treating EDS by administering pitolisant, which is expected to expire in September 2029 based on patent term adjustment. U.S. Patent No. 12,145,916 has composition claims directed to a second polymorph of pitolisant, and is expected to expire in March 2044, not including any possible extension of patent term. We also license three pending U.S. patent applications from Bioprojet that claim the pitolisant GR and pitolisant HD formulations. Any patents that issue from these applications are expected to expire in October 2044, without taking into any consideration any possible adjustment of patent term.</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patents and patent applications that we in-license now or the patents and patent applications that we own or in-license in the future may not have patentable claims that protect our current and future product candidates in the relevant jurisdictions where we intend to commercialize such products. There is no assurance that we and our licensor are aware of all potentially relevant prior art relating to future patent applications. As such, the patent examiner may find prior art that can prevent a patent from issuing from a pending patent application. During the patent examination process, we or our licensor may be required to narrow the pending claims to overcome prior art, a process that may limit the scope of patent protection. Even if patents do successfully issue based on our future patent applications, and even if the issued patents cover our current and future product candidates, including their compositions formulation, method of manufacture, and method of use, third parties may challenge our issued patents’ validity, enforceability or scope, which may result in such patents being narrowed, invalidated or held unenforceable. Any successful opposition to these patents or any other patents owned by or licensed to us in the future could deprive us of rights necessary for the successful commercialization of any of our current or future product candidates, if approved. Further, if we encounter delays in regulatory approvals, the period of time during which we could market a product candidate under patent protection could be reduced.</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the patent applications we may own or in-license in the future with respect to our current and future product candidates fail to issue, if their breadth or strength of protection is threatened, or if they fail to provide meaningful exclusivity for any of our current or future product candidates, it could dissuade other companies from collaborating with us to develop future product candidates, and threaten our ability to commercialize our current and future product candidates. Notably, pending patent applications cannot be enforced against third parties practicing the technology claimed in such applications unless and until a patent issues from such applications. Any such outcome could have an adverse effect on our business.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U.S. law does.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Publications of discoveries in scientific literature often lag behind the actual discoveries, and patent applications in the United States and other jurisdictions are typically not published until 18 months after filing, or in some cases not at all.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made a number of significant changes to United States patent laws. These include provisions that affect the way patent applications are prosecuted and challenged at the USPTO and may also affect patent litigation. The USPTO has developed and continues to develop new regulations and procedures to govern administration of the Leahy-Smith Act, and many of the substantive changes to patent law associated with the Leahy-Smith Act, and in particular, the first to file provisions, only became effective on March 16, 2013. Accordingly, it remains unclear what impact the Leahy-Smith Act, subsequent rulemaking, and judicial interpretation of the Leahy-Smith Act and regulations will have on the operation of our business. However, the Leahy- Smith Act and its implementation could increase the uncertainties and costs surrounding the prosecution of our patent applications and the enforcement or defense of our issued patents, all of which could have an adverse effect on our business and financial condition. Moreover, future changes to the patent laws of the United States and foreign jurisdictions may adversely affect the term, scope, validity and enforceability of our or our licensor’s patent rights. For example, a new bill (Terminating the Extension of Rights Misappropriated Act, or TERM Act, H.R. 3199) percolating through the United States Congress aims to reduce the term of certain drug patents in order to ease generic entry and increase competition.</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inventorship and ownership rights for patents that we in-license or may own or in-license in the future may be challenged by third parties. Such challenges could result in loss of exclusive rights to such patents, which could limit our ability to stop others from using or commercializing similar or identical technology and products, or require us to obtain a license from such third parties on commercially reasonable terms to secure exclusive rights. If any such challenges to inventorship or ownership were asserted, there is no assurance that a court would find in our favor or that, if we choose to seek a license, such license would be available to us on acceptable terms or at all.</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pre- and post-issuance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whether owned or in-licensed now or in the future, is threatened, it could dissuade companies from collaborating with us to license, develop or commercialize current or future product candidates.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licensed patents may be challenged in U.S. Federal Courts or the United States Patent and Trademark Office.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the filing of the earliest non-provisional application to which the patent claims priority. Various extensions may be available; however, the life of a patent, and the protection it affords, is limited. We may be required to disclaim a portion of patent term in order to overcome double patenting rejections from the patent office, thus potentially shortening our exclusivity period.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licensed patent portfolio may not provide us with sufficient rights to exclude others from commercializing products similar or identical to ours.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licensed certain intellectual property rights covering pitolisant and related compositions from Bioprojet, and we may license intellectual property rights from others in the future. If, for any reason, our license agreement with Bioprojet or any future licensor is terminated or we otherwise lose the rights associated with a license, it could adversely affect our business. Our license agreement with Bioprojet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current and future product candidates, our business may be harmed.</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commercial success will largely depend on our licensor’s ability to obtain and maintain patent and other intellectual property in the United States for pitolisant, and our target indications, and our ability to obtain and maintain patent and other intellectual property in the United States for any product candidates. Given the amount of time required for the development, testing and regulatory review of new product candidates, patents protecting product candidates might expire before or shortly after such candidates begin to be commercialized. We expect to seek extensions of patent terms in the United States.</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our current and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If we or our licensor are unable to extend the expiration date of our or their existing patents or obtain new patents with longer expiry dates, as applicable,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our current and future product candidates can be challenged by third parties.</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One or more third parties may challenge the current patents, or future patents within our portfolio, which could result in the invalidation of, or render unenforceable, some or all of the relevant patent claims or a finding of non-infringement. For example, if a third party files an ANDA for a generic drug containing pitolisant, and relies in whole or in part on studies conducted by or for us, the third party will be required to certify to the FDA that either: (1) there is no patent information listed in the FDA’s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Moreover, a third party may challenge the current patents, or future patents within our portfolio, which could result in the invalidation of some or all of the patents that might otherwise be eligible for listing in the Orange Book for one of our products. If a third party successfully challenges all of the patents that might otherwise be eligible for listing in the Orange Book for one of our products, we will not be entitled to the 30-month stay of FDA approval upon the filing of an ANDA for a generic drug containing, for example, pitolisant, that relies in whole or in part on studies conducted by or for us.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current and future product candidates.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 -payment of fees and failure to properly legalize and submit formal documents. If we or our licensors fail to maintain patents and patent applications, whether owned or in-licensed now or in the future, covering any of our current or future product candidates, our competitors might be able to enter the market, which would have an adverse effect on our business.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need to acquire or license intellectual property from third parties, and such licenses may not be available or may not be available on commercially reasonable terms.</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current and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 needed or on commercially reasonable terms, our ability to commercialize our current and future product candidates, if approved, would likely be delayed.</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risks described elsewhere pertaining to our intellectual property rights also apply to the intellectual property rights that we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current or future product candidates.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pharmaceutical and biotechnology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are or may in the future be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Third parties may assert that we are infringing their patents or employing their proprietary technology without authorization.</w:t>
      </w:r>
    </w:p>
    <w:p>
      <w:pPr>
        <w:spacing w:after="0" w:line="15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current and future product candidates. Because patent applications can take many years to issue, there may be currently pending patent applications that may later result in issued patents that our current and future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and we have done so from time to time. We may fail to obtain any of these licenses at a reasonable cost or on reasonable terms, if at all. In that event, we would be unable to further develop and commercialize our current and future product candidates, which could harm our business significantly. Claims that we have misappropriated the confidential information or trade secrets of third parties could have a similar negative impact on our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current and future product candidates, resulting in either an injunction prohibiting our sales, or, with respect to our sales, an obligation on our part to pay royalties or other forms of compensation to third parties.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product candidate in any jurisdiction.</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It is possible that we and our current and future licensors will fail to identify patentable aspects of research and development output before it is too late to obtain patent protection. The patent applications that we may own or in-license in the future may fail to result in issued patents with claims that cover our current and future product candidates. We and our current and future licensors may also inadvertently make statements to regulatory agencies during the regulatory approval process that may be inconsistent with positions that have been taken during prosecution of the patent applications, which may result in such patents being narrowed, invalidated or held unenforceable.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affect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affect our ability to develop and market our products.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Competitors may infringe or otherwise violate the patents of our licensor or our other intellectual property rights. To counter infringement or unauthorized use, we may be required to file legal claims, which can be expensive and time-consuming. In addition, in an infringement proceeding, a court may decide that an asserted patent is not valid or is unenforceable, or may refuse to stop the other party from using the technology at issue on the grounds that the asserted patent does not cover the technology in question. An adverse result in any litigation or defense proceedings could put one or more of asserted patents at risk of being invalidated or interpreted narrowly and could put a related patent application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may not be able to detect or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7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United States has recently enacted and implemented wide-ranging patent reform legislation. The U.S. Supreme Court and the U.S. Court of Appeals for the Federal Circuit have issued numerous precedential opinions in recent years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 executing or may be breached, and we may be forced to bring claims against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third parties, or defend claims they may bring against us, to determine the ownership of what we regard as our intellectual property.</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or our licensors fail in prosecuting or defending any such claims, in addition to paying monetary damages, we may lose valuable intellectual property rights or personnel. Even if we and our licensors are successful in prosecuting or defending against such claims, litigation could result in substantial costs and be a distraction to management.</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be successfully challenged, resulting in harm to our business.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expect to rely on trademarks as one means to distinguish any of our current and future product candidates that are approved for marketing from the products of our competitors. For example, we are marketing pitolisant for the treatment of EDS or cataplexy in adult patients with narcolepsy under the brand name WAKIX, which we have licensed from Bioprojet. We may design or create new trademarks and apply to register them, our trademark applications may not be approved in the United States or any relevant foreign jurisdiction.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directors, officers and principal stockholders beneficially own a significant percentage of our stock and are able to exert significant control over matters subject to stockholder approval.</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2024, our directors, officers, five percent or greater stockholders, and their respective affiliates beneficially owned in the aggregate approximately 55% of our outstanding voting stock. As a result,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and approval of any merger, sale of assets or other major corporate transaction. This may prevent or discourage unsolicited acquisition proposals or offers for our common stock that you may feel are in your best interest as one of our stockholders</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sales of our common stock in the public market, including sales by our directors, officers, or significant shareholders, could cause our share price to fall.</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 Subject to compliance with applicable securities laws, our officers, directors and other shareholders and their respective affiliates may sell some or all of their common shares in the future. No prediction can be made as to the effect, if any, such future sales will have on the market price of the common shares prevailing from time to time.</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21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Our operating results are subject to quarterly fluctuations. Our net income and other operating results are affected by numerous factors, including:</w:t>
      </w:r>
    </w:p>
    <w:p>
      <w:pPr>
        <w:spacing w:after="0" w:line="154" w:lineRule="exact"/>
        <w:rPr>
          <w:sz w:val="20"/>
          <w:szCs w:val="20"/>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expenses related to our development programs;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addition or termination of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in which we may become involved;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pitolisant;</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execution of any collaborative, licensing or similar arrangements, and the timing of payments we may make or receive under these arrangements;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achievement and timing of milestone payments under our existing collaboration and license agreements;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underlying demand for WAKIX and customers’ buying patterns.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our common stock, including pursuant to our equity incentive plans, could result in additional dilution of the percentage ownership of our stockholders and could cause the stock price of our common stock to decline.</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the future, we may sell common stock, convertible securities or other equity securities in one or more transactions at prices and in a manner we determine from time to time. We also expect to issue common stock to employees, consultants and directors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amended and restated certificate of incorporation (the “Certificate of Incorporation”) and our amended and restated bylaws (the “Bylaws”) contain provisions that could delay or prevent a change in control of the Company. These provisions could also make it more difficult for stockholders to elect directors and take other corporate actions. These provisions include:</w:t>
      </w:r>
    </w:p>
    <w:p>
      <w:pPr>
        <w:spacing w:after="0" w:line="174" w:lineRule="exact"/>
        <w:rPr>
          <w:sz w:val="20"/>
          <w:szCs w:val="20"/>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for a classified board of directors with staggered, three-year terms;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cumulative voting in the election of directors;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hanging="317"/>
        <w:spacing w:after="0" w:line="252" w:lineRule="auto"/>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the adoption, amendment or repeal of our Bylaws or Certificate of Incorporation regarding the election and removal of directors without the required approval of at least 66.67% of the shares entitled to vote at an election of directors;</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stockholder action by written consent;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limiting the persons who may call special meetings of stockholders;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advance notification of stockholder nominations and proposals.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we are subject to the anti-takeover provisions contained in Section 203 of the Delaware General Corporation Law (the “DGCL”). Under Section 203 of the DGCL,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and other provisions in our Certificate of Incorporation, Bylaws and under Delaware law could discourage potential takeover attempts, reduce the price investors are willing to pay for shares of our common stock and result in the market price of our common stock being lower than it would be without these provisions.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94"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owed by, or other wrongdoing by, any of our current or former directors, officers, employees or our stockholders;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(as either may be amended from time to time) or as to which the DGCL confers jurisdiction on the Court of Chancery of the State of Delaware; and</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stockholders are deemed to have notice of and have consented to the provisions of our amended and restated certificate of incorporation related to choice of forum.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Our Certificate of Incorporation and Bylaws provide that we will indemnify our directors and officers, in each case to the fullest extent permitted by Delaware law.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154" w:lineRule="exact"/>
        <w:rPr>
          <w:sz w:val="20"/>
          <w:szCs w:val="20"/>
          <w:color w:val="auto"/>
        </w:rPr>
      </w:pPr>
    </w:p>
    <w:p>
      <w:pPr>
        <w:jc w:val="both"/>
        <w:ind w:left="1000" w:hanging="317"/>
        <w:spacing w:after="0" w:line="243"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9"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global data protection landscape is rapidly evolving, and we may be impacted by or subject to new, amended, or existing laws and regulations in the future, including as our operations continue to expand or if we begin to operate in foreign jurisdictions. 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collect and maintain data and information necessary to conduct our business, and we are increasingly dependent on information technology systems and infrastructure to operate our business, including systems infrastructure operated and maintained by third-party service providers. In the ordinary course of business, we collect, store, and transmit confidential information, including intellectual property, proprietary business information and personal information. It is critical that we do so in a secure manner to maintain the privacy, security, confidentiality, and integrity of such confidential information.</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have established physical, electronic, and organizational measures to safeguard and secure our systems and facilities to prevent an information compromise. We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cost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and information technology systems, our efforts to address these potential risks may not be successful, and could result in unexpected interruptions, delays, cessation of service and other harm to our business and competitive position.</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such an event were to occur and cause interruptions in our operations, it could result in a material disruption of our product development programs.</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For example, the loss of clinical trial data from completed or ongoing or planned clinical trials could delay our regulatory approval efforts and significantly increase our costs as a result of efforts to recover or reproduce the lost data. Moreover, if a real or perceived security breach affects our systems (or those of our third-party service providers), or result in the loss of or accidental, unlawful, or unauthorized access to, use of, release of or other processing of personally identifiable information or clinical trial data, our reputation could be materially damaged.</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a breach may require notification to governmental agencies, the media, or individuals pursuant to applicable data privacy and security laws. We would also be exposed to a risk of loss, negative publicity, harm to our reputation, governmental investigation and/or enforcement actions, claims or litigation and potential liability, which could materially adversely affect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Governance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Audit Committee is a sub-committee of our Board of Directors and is delegated to the role of cyber risk oversight for the Company.</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management team, including the CIO,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The CIO reports the progress of cyber risk reduction initiatives to the Audit Committee on a periodic basis. The CIO has extensive information technology experience in the corporate environment.</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February 2024, we chartered the Information Systems, Data and Cybersecurity Governance Committee (the “Cybersecurity Committee”), which is comprised of the Company’s business unit leaders and is responsible for the management of our cyber risk exposure and monitoring the effectiveness of the cybersecurity program. The Cybersecurity Committee reports the progress of cyber risk reduction initiatives to our senior leadership and the Audit Committee on a periodic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Management Strategy</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 cyber risk management policy and asset-based cyber risk management methodology for the continuous identification, assessment, and management of our cyber risk exposure. Our cyber risk managers have been trained in our cyber risk management policy and methodology. The methodology is as follows:</w:t>
      </w:r>
    </w:p>
    <w:p>
      <w:pPr>
        <w:spacing w:after="0" w:line="169" w:lineRule="exact"/>
        <w:rPr>
          <w:sz w:val="20"/>
          <w:szCs w:val="20"/>
          <w:color w:val="auto"/>
        </w:rPr>
      </w:pPr>
    </w:p>
    <w:p>
      <w:pPr>
        <w:ind w:left="1000" w:right="20" w:hanging="317"/>
        <w:spacing w:after="0" w:line="270" w:lineRule="auto"/>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an up-to-date and accurate inventory of all assets (e.g., data, systems, hardware, software, and vendors).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Categorization of all assets based on the criticality of the data processed and the assets criticality to the continuity of business operations.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profile is maintained of the most likely threats, their intent, and the impact the threat may have on the confidentiality, integrity, and availability of Company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Evaluation of relevant risk-based scenarios or vulnerability of an asset and how a threat may exploit the asset.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Implemented security controls or “mitigating factors” are considered for each scenario.</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Considering the asset, threat, risk-based scenario or vulnerability, and the mitigating factors, a likelihood and impact determination is made to calculate the final risk level.</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Risk reduction plans are determined and used to prioritize security program initiatives.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Risk mitigations are tracked and monitored in a risk register.</w:t>
      </w:r>
    </w:p>
    <w:p>
      <w:pPr>
        <w:spacing w:after="0" w:line="22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Exposure</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top cyber risks have been grouped into genericized categories to avoid disclosure of sensitive information but include sufficient detail for a reasonable investor to understand our cyber risks and maintain confidence we act in good faith to reduce our cyber risk exposure. In the fourth quarter of 2024, we performed a risk analysis of all critical assets, determining the following are our current top cyber risks, none of which are material:</w:t>
      </w:r>
    </w:p>
    <w:p>
      <w:pPr>
        <w:spacing w:after="0" w:line="174" w:lineRule="exact"/>
        <w:rPr>
          <w:sz w:val="20"/>
          <w:szCs w:val="20"/>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of intellectual property.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and integrity of financial records.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of employee records.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integrity, and availability of core business systems.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integrity, and availability of critical third-party vendors supporting the continuity of business operations.</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We have not identified any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w:t>
      </w:r>
      <w:r>
        <w:rPr>
          <w:rFonts w:ascii="Arial" w:cs="Arial" w:eastAsia="Arial" w:hAnsi="Arial"/>
          <w:sz w:val="18"/>
          <w:szCs w:val="18"/>
          <w:i w:val="1"/>
          <w:iCs w:val="1"/>
          <w:color w:val="auto"/>
        </w:rPr>
        <w:t>We depend on our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technology systems, and any failure of these systems could harm our business. Any real or perceived security breach,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Risk Management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leverage multiple third parties to support our business operations. Throughout the lifecycle of the vendor relationship, security is integrated as part of each process. We maintain a vendor inventory, categorized based in risk tiers, and perform due diligence of the vendor’s security practices commensurate with the risk tier. Vendor contracts and security practices are monitored to ensure an accurate assessment of risk is maintained.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Support of the Cyber Risk Management Program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employ third parties to support our cyber risk management program in the following ways:</w:t>
      </w:r>
    </w:p>
    <w:p>
      <w:pPr>
        <w:spacing w:after="0" w:line="212" w:lineRule="exact"/>
        <w:rPr>
          <w:sz w:val="20"/>
          <w:szCs w:val="20"/>
          <w:color w:val="auto"/>
        </w:rPr>
      </w:pPr>
    </w:p>
    <w:p>
      <w:pPr>
        <w:ind w:left="4860" w:right="1760" w:hanging="4177"/>
        <w:spacing w:after="0" w:line="787" w:lineRule="auto"/>
        <w:tabs>
          <w:tab w:leader="none" w:pos="1003"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Use of internal and external auditors to maintain compliance with regulatory requirements.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140" w:hanging="317"/>
        <w:spacing w:after="0" w:line="270"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Use of cybersecurity consultants and managed security services providers to supplement the security program practices and evaluate the program’s effectiveness, specifically:</w:t>
      </w:r>
    </w:p>
    <w:p>
      <w:pPr>
        <w:spacing w:after="0" w:line="13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Governance, risk, and compliance services.</w:t>
      </w:r>
    </w:p>
    <w:p>
      <w:pPr>
        <w:spacing w:after="0" w:line="195" w:lineRule="exact"/>
        <w:rPr>
          <w:rFonts w:ascii="Times New Roman" w:cs="Times New Roman" w:eastAsia="Times New Roman" w:hAnsi="Times New Roman"/>
          <w:sz w:val="18"/>
          <w:szCs w:val="18"/>
          <w:color w:val="auto"/>
        </w:rPr>
      </w:pPr>
    </w:p>
    <w:p>
      <w:pPr>
        <w:ind w:left="1000" w:right="4580"/>
        <w:spacing w:after="0" w:line="450"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Penetration testing and vulnerability management.</w:t>
      </w:r>
      <w:r>
        <w:rPr>
          <w:rFonts w:ascii="Courier New" w:cs="Courier New" w:eastAsia="Courier New" w:hAnsi="Courier New"/>
          <w:sz w:val="18"/>
          <w:szCs w:val="18"/>
          <w:color w:val="auto"/>
        </w:rPr>
        <w:t xml:space="preserve"> o </w:t>
      </w:r>
      <w:r>
        <w:rPr>
          <w:rFonts w:ascii="Arial" w:cs="Arial" w:eastAsia="Arial" w:hAnsi="Arial"/>
          <w:sz w:val="18"/>
          <w:szCs w:val="18"/>
          <w:color w:val="auto"/>
        </w:rPr>
        <w:t>Continuous security event monitoring.</w:t>
      </w:r>
    </w:p>
    <w:p>
      <w:pPr>
        <w:spacing w:after="0" w:line="16" w:lineRule="exact"/>
        <w:rPr>
          <w:sz w:val="20"/>
          <w:szCs w:val="20"/>
          <w:color w:val="auto"/>
        </w:rPr>
      </w:pPr>
    </w:p>
    <w:p>
      <w:pPr>
        <w:ind w:left="1340" w:hanging="333"/>
        <w:spacing w:after="0"/>
        <w:tabs>
          <w:tab w:leader="none" w:pos="1340" w:val="left"/>
        </w:tabs>
        <w:numPr>
          <w:ilvl w:val="0"/>
          <w:numId w:val="43"/>
        </w:numPr>
        <w:rPr>
          <w:rFonts w:ascii="Courier New" w:cs="Courier New" w:eastAsia="Courier New" w:hAnsi="Courier New"/>
          <w:sz w:val="18"/>
          <w:szCs w:val="18"/>
          <w:color w:val="auto"/>
        </w:rPr>
      </w:pPr>
      <w:r>
        <w:rPr>
          <w:rFonts w:ascii="Arial" w:cs="Arial" w:eastAsia="Arial" w:hAnsi="Arial"/>
          <w:sz w:val="18"/>
          <w:szCs w:val="18"/>
          <w:color w:val="auto"/>
        </w:rPr>
        <w:t>Data loss prevention.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Incident Management</w:t>
      </w:r>
    </w:p>
    <w:p>
      <w:pPr>
        <w:spacing w:after="0" w:line="21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color w:val="auto"/>
        </w:rPr>
        <w:t>We make continuous efforts to maintain the ability to respond quickly and effectively to security incidents to minimize their impact. We implement an incident response policy, incident response plan, and deploy comprehensive continuous security monitoring solutions to monitor events occurring across its assets. Additionally, a material risk determination model enables our cyber incident response team and senior leadership to determine materiality.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own any real property. Our corporate headquarters, located in Plymouth Meeting, Pennsylvania, has a footprint of approximately 35,781 square feet of space pursuant to a lease that expires in 2025. We believe that our facilities are suitable to meet our current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55"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Refer to Part II, Item 8, Note 13 “Commitments and Contingencies,” of this Annual Report for a full description of our material pending legal matters.</w:t>
      </w:r>
    </w:p>
    <w:p>
      <w:pPr>
        <w:spacing w:after="0" w:line="154" w:lineRule="exact"/>
        <w:rPr>
          <w:sz w:val="20"/>
          <w:szCs w:val="20"/>
          <w:color w:val="auto"/>
        </w:rPr>
      </w:pPr>
    </w:p>
    <w:p>
      <w:pPr>
        <w:jc w:val="center"/>
        <w:ind w:right="7180"/>
        <w:spacing w:after="0"/>
        <w:rPr>
          <w:sz w:val="20"/>
          <w:szCs w:val="20"/>
          <w:color w:val="auto"/>
        </w:rPr>
      </w:pPr>
      <w:r>
        <w:rPr>
          <w:rFonts w:ascii="Arial" w:cs="Arial" w:eastAsia="Arial" w:hAnsi="Arial"/>
          <w:sz w:val="17"/>
          <w:szCs w:val="17"/>
          <w:b w:val="1"/>
          <w:bCs w:val="1"/>
          <w:color w:val="auto"/>
        </w:rPr>
        <w:t>Item 4. Mine Safety Disclosures.</w:t>
      </w:r>
    </w:p>
    <w:p>
      <w:pPr>
        <w:spacing w:after="0" w:line="2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and traded on the Nasdaq Global Market under the symbol “HRMY.”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February 21, 2025, we had 43 holders of record of our common stock. Because many of our shares of common stock are held by brokers and other institutions on behalf of shareholders, we are unable to estimate the total number of beneficial owners of our common stock represented by these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following graph shows a comparison of the total cumulative shareholder returns of an investment of $100 in cash from August 19, 2020, the day we began trading, through December 31, 2024, in (i) our common stock, (ii) the Nasdaq Biotechnology Index, and (iii) the Nasdaq Composite Index. The shareholder returns in the graph below are based on historical data and are not indicative of, nor intended to forecast,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122555</wp:posOffset>
            </wp:positionV>
            <wp:extent cx="5434965" cy="28803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3496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potential repurchase of our common stock and to repay our debt obligations, therefore we do not anticipate declaring or paying any cash dividends on our common stock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of directors may deem relevant.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 A discussion of the year ended December 31, 2023, compared to the year ended December 31, 2022, has been reported previously under “Management’s Discussion and Analysis of Financial Condition and Results of Operations” in our Annual Report on Form 10-K for the year ended December 31, 2023, filed with the SEC on February 22,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At Harmony, 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Sleep/Wake Franchise</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 In August 2019, WAKIX was approved by the U.S. Food and Drug Administration (the “FDA”) for the treatment of EDS in adult patients with narcolepsy, and its U.S. commercial launch was initiated in November 2019. In October 2020, WAKIX was approved by the FDA for the treatment of cataplexy in adult patients with narcolepsy.</w:t>
      </w:r>
    </w:p>
    <w:p>
      <w:pPr>
        <w:spacing w:after="0" w:line="3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14"/>
          <w:szCs w:val="14"/>
          <w:color w:val="auto"/>
          <w:vertAlign w:val="subscript"/>
        </w:rPr>
        <w:t>3</w:t>
      </w:r>
      <w:r>
        <w:rPr>
          <w:rFonts w:ascii="Arial" w:cs="Arial" w:eastAsia="Arial" w:hAnsi="Arial"/>
          <w:sz w:val="18"/>
          <w:szCs w:val="18"/>
          <w:color w:val="auto"/>
        </w:rPr>
        <w:t xml:space="preserve"> receptors and histamine signaling. We have taken a mechanism-based approach to managing the life cycle of pitolisant and identified idiopathic hypersomnia (“IH”), another central disorder of hypersomnolence like narcolepsy, as our next potential new indication for WAKIX, which received orphan drug designation by the FDA in September 2023 and Fast Track Designation in November 2023. In April 2022, we initiated a Phase 3 registrational trial, the INTUNE Study, to evaluate the efficacy and safety of pitolisant in adult patients with IH. We completed enrollment in the INTUNE study in May 2023 and we announced topline data in October 2023. While the primary endpoint did not meet statistical significance, we believe the totality of the data showed favorable numerical trends for pitolisant in the treatment of adult patients with IH and we met with the FDA in March 2024 to discuss the path forward for IH. Following our meeting with the FDA, submitted a supplemental NDA (“sNDA”) for IH in the fourth quarter of 2024 based on the totality of the data obtained from the INTUNE study and from other sources. In February 2025, we received a Refusal to File letter from the FDA for pitolisant in IH.</w:t>
      </w:r>
    </w:p>
    <w:p>
      <w:pPr>
        <w:spacing w:after="0" w:line="3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are focusing our development efforts on other rare neurological disorders in which EDS is a prominent symptom, including Prader-Willi Syndrome (“PWS”) and myotonic dystrophy type 1, otherwise known as dystrophia myotonica (“DM1”). Based on the positive signals from the data from our Phase 2 proof-of-concept signal detection clinical trial to evaluate pitolisant for the treatment of EDS and other key behavioral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study design for the Phase 3 TEMPO study in patients with PWS, which has the potential to serve as a the registrational trial and support our efforts to seek pediatric exclusivity for pitolisant. In February 2024, the FDA granted Orphan Drug designation to pitolisant for the treatment of PWS. The Phase 3 registrational trial,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TEMPO study, was initiated in the first quarter of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two most prominent non-muscular symptoms in patients with DM1. The safety and tolerability profile of pitolisant in adult patients with DM1 was consistent with the established safety profile of pitolisant with no new safety signals detected and no serious adverse events reported.</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In January 2023, Bioprojet received a positive opinion from the EMA’s Committee for Medicinal Products for Human Use (“CHMP”)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In June 2024, we announced that the FDA approved our sNDA for WAKIX for the treatment of EDS in pediatric patients six years of age and older with narcolepsy. In addition, in June 2024, the FDA did not approve our sNDA seeking to expand the WAKIX label for the treatment of pediatric patients with cataplexy. In October 2024, we held a Type A meeting with the FDA to discuss the pediatric cataplexy indication and reached alignment on a path to sNDA resubmission, which is planned for the second quarter of 2025.</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remain committed to obtaining pediatric exclusivity for WAKIX. We believe the initiation of the PWS Phase 3 registrational trial, the TEMPO study, and our current data in pediatric narcolepsy, which resulted in the FDA’s approval of WAKIX in its current pediatric indication, are supportive of our efforts in obtaining pediatric exclusivity for WAKIX.</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expanding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pitolisant GR and pitolisant HD. Both formulations entered clinical studies in the fourth quarter of 2023. We received data from the pitolisant GR pilot bioequivalence study, which supports further development of pitolisant GR. We are on-track to initiate a pivotal bioequivalence study in the first quarter of 2025, with an anticipated data readout in the third quarter of 2025. Our anticipated PDUFA date for pitolisant GR is in 2026. We received data from the pitolisant HD pilot pharmacokinetics study in June 2024, which also supports advancing this development program toward pivotal trials. The formulation optimization and technical operations work is ongoing, with a goal to initiate a Phase 3 registrational study in narcolepsy and IH in the fourth quarter of 2025. A Phase 1b study was conducted to evaluate the safety and tolerability of pitolisant at repeat doses of up to 180mg and the initial results are consistent with the known safety profile of pitolisant and support advancement of the pitolisant HD development program. Our anticipated PDUFA date for the pitolisant HD narcolepsy and IH programs is in 2028. Non-provisional patents have been filed for both of these formulations, with the potential for patent protection to the mid-2040’s.</w:t>
      </w:r>
    </w:p>
    <w:p>
      <w:pPr>
        <w:spacing w:after="0" w:line="33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(“BP1.15205”) to be evaluated for the treatment of narcolepsy and other potential indications (the “Sublicense”). Under the Sublicense, we have obtained the exclusive right to develop, manufacture and commercialize BP1.15205 in the United States and Latin American territories, which are rights that Bioprojet originally licensed from Teijin Pharma, the innovator of BP1.15205. We believe the pre-clinical data from BP1.15205 is promising and we plan to file an investigational medicinal product dossier (“IMPD”) with the EMA in mid-2025 and begin first-in-human studies in the second half of 2025.</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2021, we acquired HBS-102, a Melanin-concentrating hormone receptor type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results are consistent with the expected results. In addition, a 13-week toxicology study has been completed, and we believe the preliminary results are encouraging.</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Neurobehavioral Franchise</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October 2023, we completed the acquisition of Zynerba Pharmaceuticals, Inc. (“Zynerba”), a clinical-stage pharmaceutical company focused on innovative pharmaceutically manufactured transdermal cannabidiol therapies for orphan neurobehavioral disorders. Zynerba’s drug candidate is ZYN-002, a pharmaceutically manufactured 100% synthetic, patent protected permeation enhanced cannabidiol gel for transdermal delivery. Transdermal delivery is thought to provide better gastrointestinal tolerability and minimize the potential for drug interactions or impacts on liver function tests by avoiding first-pass metabolism in the liver. The most common adverse effect observed in clinical studies has been application site pain, which has occurred in less than 7% of patients. ZYN-002 is currently in a Phase 3 registrational trial, the RECONNECT study, for the treatment of Fragile X Syndrome (“FXS”). We believe the total addressable market for ZYN-002 among patients with FXS is approximately 25,000 people based on an estimated current FXS prevalence of up to 87,000 cases and up to 40,000 diagnosed FXS cases. Topline data from our ZYN-002 Phase 3 registrational trial is anticipated in the third quarter of 2025. ZYN-002 has patent protection for the treatment of FXS until 2038. Based on the positive proof-of-concept (“PoC”) study data obtained by Zynerba in 22q deletion syndrome, another rare disorder with prominent neurobehavioral symptoms, we plan to initiate a Phase 3 registrational study in 2025 in 22q deletion syndrome.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Rare Epilepsy Franchise</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April 2024, we acquired all of the outstanding capital stock of Epygenix Therapeutics, Inc. (“Epygenix”), pursuant to the terms of a stock purchase agreement (the “Epygenix Agreement”). As a result, we now have an exclusive license relating to the use of clemizole (“EPX-100”) for the treatment of Dravet Syndrome (“DS”), Lennox-Gastaut Syndrome (“LGS”) and other developmental and epileptic encephalopathies (“DEEs”). Patients with both conditions often encounter severe refractory epilepsy and extreme co-morbidities or mortality without effective treatments, even with polypharmacy. As such, there is a recognized need for improved treatment options for both conditions. We believe the total addressable market for EPX-100 among patients with DS is approximately 5,000 people based on an estimated current DS prevalence of approximately 8,600 cases and approximately 7,000 diagnosed DS cases. We believe the total addressable market for EPX-100 among patients with LGS is approximately 35,000 people based on an estimated current LGS prevalence of approximately 48,000 cases and 44,000 diagnosed LGS cases. EPX-100 has been granted orphan drug designation by the FDA for treatment of both DS and LGS. EPX-100 is currently in a Phase 3 registrational clinical trial for DS and we initiated a Phase 3 registrational clinical trial in patients with LGS in the fourth quarter of 2024.</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Additionally, we are currently developing EPX-200, a selective 5HT-2C agonist for DEEs (“EPX-200”), another asset acquired pursuant to the terms of the Epygenix Agreement. EPX-200 is currently in the pre-IND phase.</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operations are conducted by our wholly owned subsidiaries, Harmony Biosciences, LLC and Harmony Biosciences Management, Inc., formerly known as Zynerba prior to July 1,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As of December 31, 2024, we continued to see growth in the number of unique healthcare professional (“HCP”) prescribers of WAKIX since it became available in November 2019. There are approximately 9,000 HCPs who treat patients living with narcolepsy, with approximately 4,000 enrolled in oxybate risk-evaluation and mitigation strategies. The average number of patients on WAKIX for the year ended December 31, 2024, was approximately 7,100. Additionally, as of December 31, 2024, we have secured formulary access for more than 80% of all insured lives (Commercial, Medicare and Medicaid)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product revenue includes gross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different customer segments and/or changes in our estimates. For further discussion of the components of Revenue, see “— Critical Accounting Policies and Significant Judgments and Estimates.”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Cost of product sales includes manufacturing and distribution costs, the cost of API, FDA program fees, royalties due to third parties on net product sales, freight, shipping, handling, storage costs and salaries of employees involved with oversight of production. We expect the cost of product sales to increase as we continue to ramp up production in order to meet future demand for WAKIX and diversify our supply chain for WAKIX.</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shelf life of WAKIX is four years from the date of manufacture, with the earliest expiration of current inventory expected to be October 2025. We regularly review our inventory levels and expect write-offs from time to time. We will continue to assess inventory levels in future periods as demand for WAKIX and the rate of inventory turnover evolves. We currently have adequate supply of WAKIX to cover demand into the first quarter of 2027, with additional API on-hand inventory to support at least 24 months beyond this time frame.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and DM1 and the development of our product candidates ZYN002, EPX100, Pitolisant GR, Pitolisant HD, BP1.15205 and HBS-102.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add product candidates to expand our pipeline. Research and development expenses also include:</w:t>
      </w:r>
    </w:p>
    <w:p>
      <w:pPr>
        <w:spacing w:after="0" w:line="183" w:lineRule="exact"/>
        <w:rPr>
          <w:sz w:val="20"/>
          <w:szCs w:val="20"/>
          <w:color w:val="auto"/>
        </w:rPr>
      </w:pPr>
    </w:p>
    <w:p>
      <w:pPr>
        <w:ind w:left="1000" w:right="20" w:hanging="317"/>
        <w:spacing w:after="0" w:line="270" w:lineRule="auto"/>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clinical research organizations (“CROs”), and contract manufacturing organizations (“CMOs”);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labeling of clinical supplies;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acquired in-process research and development;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as we advance our current clinical development programs and prepare to seek regulatory approval for additional indications for pitolisant, complete the Phase 3 clinical trials for ZYN002 and EPX100 and advance the development of Pitolisant GR, Pitolisant HD, BP1.15205 and HBS-102 toward new indications.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00" w:right="20" w:hanging="317"/>
        <w:spacing w:after="0" w:line="270" w:lineRule="auto"/>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and for EDS in children six years and older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the treatment of EDS in pediatric patients 6 years of age and older with narcolepsy and to expand our portfolio with the anticipated growth from potential additional indications.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00" w:right="20" w:hanging="317"/>
        <w:spacing w:after="0" w:line="270" w:lineRule="auto"/>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line="270" w:lineRule="auto"/>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party to a right-of-use agreement with Paragon Biosciences, LLC (“Paragon”) whereby we have access to and the right to use certain office space leased by Paragon in Chicago, Illinois. For the year ended December 31, 2024, we paid fees of $0.3 million pursuant to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Loss on Debt Extinguishment</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Loss on debt extinguishment consists primarily of costs of extinguishment of debt during the applicable period related to the prepayment of our credit agreements.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items in our consolidated statements of operations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714,734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156,815</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557,919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145,825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110,916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97,404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110,352</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95,289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367,093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268,756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190,826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debt extinguishment</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(17,496)</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18,542</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191,804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(46,311)</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(44,543)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145,493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product revenue increased by $132.7 million, or 22.8%, for the year ended December 31, 2024, compared to the same period in 2023. The increase was primarily due to a 17.4% increase in units shipped, and the impact of a 7% price increase partially offset by higher rebates of approximately 3%. The price increase occurred in January 2024.</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Cost of product sales increased by $35.6 million, or 29.3%, for the year ended December 31, 2024, compared to the same period in 2023. Cost of product sales as a percentage of net product revenue was 21.9% for the year ended December 31, 2024, compared to 20.8% for the year ended December 31, 2023. The increase in cost of product sales and cost of sales as a percentage of net revenue was due to triggering a higher royalty tier under the 2017 LCA earlier in 2024 compared to 2023.</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our research and development expenses: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6"/>
        </w:trPr>
        <w:tc>
          <w:tcPr>
            <w:tcW w:w="3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r>
      <w:tr>
        <w:trPr>
          <w:trHeight w:val="196"/>
        </w:trPr>
        <w:tc>
          <w:tcPr>
            <w:tcW w:w="3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Pitolisant</w:t>
            </w:r>
          </w:p>
        </w:tc>
        <w:tc>
          <w:tcPr>
            <w:tcW w:w="1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32,139</w:t>
            </w:r>
          </w:p>
        </w:tc>
        <w:tc>
          <w:tcPr>
            <w:tcW w:w="7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34,982</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ZYN002</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19,594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16,667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EPX100</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IPR&amp;D</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43,595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40,585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25,068</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6,682</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w:t>
            </w:r>
          </w:p>
        </w:tc>
        <w:tc>
          <w:tcPr>
            <w:tcW w:w="10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13,134</w:t>
            </w:r>
          </w:p>
        </w:tc>
        <w:tc>
          <w:tcPr>
            <w:tcW w:w="1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196"/>
        </w:trPr>
        <w:tc>
          <w:tcPr>
            <w:tcW w:w="37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145,825</w:t>
            </w:r>
          </w:p>
        </w:tc>
        <w:tc>
          <w:tcPr>
            <w:tcW w:w="18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76,063</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69,762</w:t>
            </w:r>
          </w:p>
        </w:tc>
      </w:tr>
      <w:tr>
        <w:trPr>
          <w:trHeight w:val="20"/>
        </w:trPr>
        <w:tc>
          <w:tcPr>
            <w:tcW w:w="3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35"/>
        </w:trPr>
        <w:tc>
          <w:tcPr>
            <w:tcW w:w="3720" w:type="dxa"/>
            <w:vAlign w:val="bottom"/>
          </w:tcPr>
          <w:p>
            <w:pPr>
              <w:spacing w:after="0"/>
              <w:rPr>
                <w:sz w:val="24"/>
                <w:szCs w:val="24"/>
                <w:color w:val="auto"/>
              </w:rPr>
            </w:pPr>
          </w:p>
        </w:tc>
        <w:tc>
          <w:tcPr>
            <w:tcW w:w="1520" w:type="dxa"/>
            <w:vAlign w:val="bottom"/>
            <w:gridSpan w:val="2"/>
          </w:tcPr>
          <w:p>
            <w:pPr>
              <w:jc w:val="right"/>
              <w:ind w:right="90"/>
              <w:spacing w:after="0"/>
              <w:rPr>
                <w:sz w:val="20"/>
                <w:szCs w:val="20"/>
                <w:color w:val="auto"/>
              </w:rPr>
            </w:pPr>
            <w:r>
              <w:rPr>
                <w:rFonts w:ascii="Arial" w:cs="Arial" w:eastAsia="Arial" w:hAnsi="Arial"/>
                <w:sz w:val="18"/>
                <w:szCs w:val="18"/>
                <w:color w:val="auto"/>
              </w:rPr>
              <w:t>82</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43"/>
        </w:trPr>
        <w:tc>
          <w:tcPr>
            <w:tcW w:w="3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Research and development expenses increased by $69.8 million, or 91.7%, for the year ended December 31, 2024, compared to the same period in 2023. The increase was primarily driven by $43.6 million in IPR&amp;D charges related to the Bioprojet Sublicense Agreement, the acquisition of Epygenix and a preclinical milestone achieved for HBS-102, a combined $22.3 million increase in research and development expenses for the recently acquired product candidates, ZYN002 and EPX100, a $5.3 million increase in personnel costs associated with higher headcount, a $2.7 million increase in stock compensation associated with new awards, and a $1.7 million increase in other research and development, primarily due to preclinical work related to BP1.1520, partially offset by a $2.8 million decrease in clinical development associated with pitolisant, driven by a decrease for the IH indication, a $2.3 million IPR&amp;D charge related to the acquisition of Zynerba for the year ended December 31, 2023, and a $0.8 million IPR&amp;D charge related to preclinical milestones achieved for HBS-102 during the year ended December 31, 2023.</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Sales and marketing expenses increased by $13.5 million, or 13.9%, for the year ended December 31, 2024, compared to the same period in 2023. The increase was primarily due to a $10.0 million increase in patient engagement and marketing activities, a $2.3 million increase in stock compensation associated with new awards, and a $1.2 million increase in personnel costs. The increase in patient engagement and marketing activities was driven by our continued growth of WAKIX and the increase in personnel costs was related to increased headcount.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General and administrative expenses increased by $15.1 million, or 15.8%, for the year ended December 31, 2024, compared to the same period in 2023. The increase was primarily due to an $ 10.9 million increase in legal and professional fees, primarily associated with patent lawsuits, and a $6.5 million increase in stock compensation associated with new awards, partially offset by a $ 2.0 million decrease in insurance and a $1.0 million decrease in personnel costs driven by the severance charge associated with the acquisition of Zynerba for the year ended December 31, 2023.</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Loss on Debt Extinguishment</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There was no loss on debt extinguishment for the year ended December 31, 2024. Loss on debt extinguishment was $9.8 million for the year ended December 31, 2023.</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expense decreased by $6.3 million, or 26.4%, for the year ended December 31, 2024, compared to the same period in 2023. The decrease was primarily due to lower interest rates as a result of refinancing into the TLA Credit Agreement (defined below).</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income increased by $3.8 million, or 25.9%, for the year ended December 31, 2024, compared to the same period in 2023. The increase was primarily a result of having higher invested balances, and higher investment yields on those balances, compared to the prior year.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Income tax expense was $46.3 million, representing a 24.1% effective tax rate, for the year ended December 31, 2024, compared to income tax expense of $44.5 million for the year ended December 31, 2023, representing a 25.7% effective tax rate. The decrease in our effective tax rate for the year ended December 31, 2024 was primarily due to an increase in research and development and orphan drug credits, partially offset by an increase in nondeductible IPR&amp;D expenses in the current year. The effective tax rate of 24.1% for the year ended December 31, 2024, included 21.0% for the provision of federal income taxes and 6.4% for the provision of state income taxes, partially offset by a 4.7% benefit from research and development and orphan drug credits, partially offset by 1.8% related to nondeductible IPR&amp;D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of December 31, 2024, we had cash, cash equivalents, and investments of $576.1 million and retained earnings of $2.2 million. As of December 31, 2024, we had outstanding debt of $181.3 million.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consolidated financial statements have been prepared as though we will continue as a going concern, which contemplates the realization of assets and satisfaction of liabilities in the normal course of business.</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believe that our existing cash, cash equivalents and investments on hand as of December 31, 2024, will enable us to meet our operational liquidity needs and fund our potential investing activities for the next 12 months. We have based our liquidity and cash flow projections on assumptions that may prove to be incorrect, and we could use our capital resources sooner than we expect.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July 2023, we entered into a Credit Agreement (the “TLA Credit Agreement”) with JPMorgan Chase Bank, N.A., as “Administrative Agent”, and certain lenders. The TLA Credit Agreement provides for a five-year senior secured term loan (the “TLA Term Loan”) in an aggregate principal amount of $185.0 million.</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September 2023, we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 million.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$3.8 million quarterly principal payments, which commence on December 31, 2023, increasing to $5.0 million quarterly principal payments beginning on December 31, 2025, with a $115.0 million payment due on the maturity date of July 26, 2028.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December 31, 2024.</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August 2021, we entered into the Blackstone Credit Agreement which provided for (i) a senior secured term loan facility in an aggregate original principal amount of $200.0 million (the “Initial Term Loan”) and (ii) a senior secured delayed draw term loan facility in an aggregate principal amount up to $100.0 million (the “DDTL”). The DDTL was initially available to draw down through August 9, 2022. In August 2022, we entered into an agreement to extend the expiration date of the DDTL to August 9, 2023, for which we would pay a ticking fee at a rate of 1% per annum on the undrawn portion of the DDTL (the “Ticking Fee”), commencing August 10, 2022.</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received from the Initial Term Loan was $ 191.8 million, net of debt issuance costs of $8.2 million. In addition, we paid $1.0 million in debt issuance costs relating to the DDTL, which was initially recorded in other current assets within the consolidated balance sheet for the year ended December 31, 2021.</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connection with the TLA Credit Agreement, we extinguished the Blackstone Credit Agreement, which required a payoff amount of $207.3 million consisting of principal repayment, interest, exit fees, payment of the Ticking Fee and a prepayment premium. We recognized a loss on extinguishment of debt of $9.8 million relating to the Blackstone Credit Agreement within our consolidated statement of operations and comprehensive income for the year ended December 31,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2023. In addition, we recognized $2.0 million relating to unamortized debt issuance costs relating to the DDTL and the Ticking Fee, which was recorded in interest expense within the consolidated statement of operations and comprehensive income for the year ended December 31, 2023.</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212529"/>
        </w:rPr>
        <w:t>In August 2023, our Board of Directors approved a program (the “August 2023 Repurchase Program”) providing for the repurchase of shares of common stock in an aggregate amount of up to $125.0 million, excluding commissions and transaction fees. The repurchase program may be suspended, terminated or modified at any time for any reason. During the year ended December 31, 2023, we repurchased and retired 1,439,792 shares of common stock at an aggregate cost of approximately $50.0 million, excluding commissions and transaction fees, under the August 2023 Repurchase Program.</w:t>
      </w:r>
    </w:p>
    <w:p>
      <w:pPr>
        <w:spacing w:after="0" w:line="1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October 2023, our Board of Directors terminated the August 2023 Repurchase Program and approved a share repurchase program (the “October 2023 Repurchase Program”) providing for the repurchase of shares of common stock in an aggregate amount of up to $200.0 million, excluding commissions and transaction fees. The October 2023 Repurchase Program may be suspended, terminated, or modified at any time for any reason. During the year ended December 31, 2024, no shares of common stock were repurchased and cancelled by the Company under the October 2023 Repurchase Program. As of December 31, 2024, the remaining amount of common stock authorized for repurchases was $150.0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Zynerba Acquisition</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October 2023, we completed a tender offer (the “Tender Offer”) to acquire all of the outstanding shares of common stock of Zynerba (“Zynerba Common Stock”).</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the terms of the Tender Offer, we paid (i) $1.1059 per share of Zynerba Common Stock (the “Common Cash Amount”), the aggregate amount of which was $60.0 million and was paid at closing,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consideration we paid to acquire the Zynerba Common Stock upon completion of the Tender Offer was $60.0 million, exclusive of transaction-related fees. We financed the acquisition with cash on hand.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1, 2024, we announced the change of the name of our wholly owned subsidiary from “Zynerba Pharmaceuticals, Inc.” to “Harmony Biosciences Management, Inc.” As of July 1, 2024, Zynerba Pharmaceuticals, Inc. is now known as Harmony Biosciences Management, Inc.</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Epygenix Acquisition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April 2024, we acquired all of the outstanding capital stock of Epygenix, pursuant to the terms of a stock purchase agreement. In connection with the closing of the transaction, we paid the former stockholders of Epygenix up front consideration of $35.0 million less a working capital adjustment. In addition, we will also be obligated to pay up to $130.0 million upon the achievement of development and regulatory milestones and up to $515.0 million upon the achievement of certain sales-based milestones, in each case to Epygenix’s former stockholders. As a result, the Company now has an exclusive license relating to the use of clemizole, initially for the treatment of DS and LGS.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potential first-in-class molecule with a novel mechanism of action. Under the terms of the APA, we acquired full development and commercialization rights globally, with the exception of Greater China, for $3.5 million. In March 2023, we achieved a preclinical milestone, which triggered a $0.8 million payment under the provisions of the APA, which we recognized as an IPR&amp;D charge recorded in research and development within the consolidated statement of operations and comprehensive income for the year ended December 31, 2023. In September 2024, we achieved a milestone for preclinical proof-of concept, which triggered a $1.0 million payment under the provisions of the APA, which we recognized as an IPR&amp;D charge recorded in research and development within the consolidated statement of operations and comprehensive income for the year ended December 31, 2024. There are additional payments due upon the achievement of certain milestones, including $19.0 million for development milestones, $44.0 million for regulatory milestones and $110.0 million for sales milestones.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Bioprojet Agreements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 Clinical Trial Application currently anticipated in mid-2025. Under the Sublicense, the Company paid Bioprojet an upfront license fee of $25.5 million and will also be obligated to pay up to $127.5 million upon achievement of development and regulatory milestones and up to $240.0 million upon achievement of sales-based milestones, as well as royalty rates in the mid-teens on potential sales in the Licensed Territories.</w:t>
      </w:r>
    </w:p>
    <w:p>
      <w:pPr>
        <w:spacing w:after="0" w:line="27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Milestone Payments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September 2024, we achieved a preclinical milestone, which triggered a $1.0 million payment under the provisions of the APA, which was paid in October 2024.</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March 2023, we made a final $40.0 million milestone payment to Bioprojet upon WAKIX attaining $500.0 million in life-to-date aggregate net sales in the United States.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years ended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Selected cash flow data</w:t>
            </w:r>
          </w:p>
        </w:tc>
        <w:tc>
          <w:tcPr>
            <w:tcW w:w="3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29"/>
        </w:trPr>
        <w:tc>
          <w:tcPr>
            <w:tcW w:w="3540" w:type="dxa"/>
            <w:vAlign w:val="bottom"/>
            <w:gridSpan w:val="3"/>
            <w:vMerge w:val="continue"/>
          </w:tcPr>
          <w:p>
            <w:pPr>
              <w:spacing w:after="0"/>
              <w:rPr>
                <w:sz w:val="11"/>
                <w:szCs w:val="11"/>
                <w:color w:val="auto"/>
              </w:rPr>
            </w:pPr>
          </w:p>
        </w:tc>
        <w:tc>
          <w:tcPr>
            <w:tcW w:w="3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gridSpan w:val="4"/>
          </w:tcPr>
          <w:p>
            <w:pPr>
              <w:jc w:val="right"/>
              <w:ind w:right="675"/>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20" w:type="dxa"/>
            <w:vAlign w:val="bottom"/>
            <w:gridSpan w:val="2"/>
          </w:tcPr>
          <w:p>
            <w:pPr>
              <w:spacing w:after="0" w:line="196" w:lineRule="exact"/>
              <w:rPr>
                <w:sz w:val="20"/>
                <w:szCs w:val="20"/>
                <w:color w:val="auto"/>
              </w:rPr>
            </w:pPr>
            <w:r>
              <w:rPr>
                <w:rFonts w:ascii="Arial" w:cs="Arial" w:eastAsia="Arial" w:hAnsi="Arial"/>
                <w:sz w:val="18"/>
                <w:szCs w:val="18"/>
                <w:color w:val="auto"/>
              </w:rPr>
              <w:t>Cash provided by (used in):</w:t>
            </w:r>
          </w:p>
        </w:tc>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4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219,821</w:t>
            </w: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219,387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(67,484)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(46,439)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3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(10,996)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(105,552)</w:t>
            </w: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60" w:type="dxa"/>
            <w:vAlign w:val="bottom"/>
          </w:tcPr>
          <w:p>
            <w:pPr>
              <w:jc w:val="right"/>
              <w:ind w:right="225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Net cash provided by operating activities for the year ended December 31, 2024, primarily consisted of net income of $143.8 million adjusted for non-cash items of $43.6 million related to acquired IPR&amp;D, $42.7 million related to stock-based compensation expense, and $24.1 million related to intangible amortization and depreciation, offset by $29.3 million related to deferred tax assets. Net working capital excluding cash increased by $7.3 million, primarily driven by increases in accounts receivable due to higher net product revenue in the current period and decreases in accounts payable due to the timing of payments.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provided by operating activities for the year ended December 31, 2023, consisted of our net income of $128.9 million adjusted for non-cash items of $24.4 million related to intangible amortization and depreciation and $31.2 million related to stock-based compensation expense. Net working capital excluding cash decreased by $35.0 million.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Net cash used in investing activities for the year ended December 31, 2024, was $67.5 million, which was primarily attributable to $105.3 million in purchases of debt securities, a $25.5 million license fee paid to Bioprojet, a $1.0 million milestone payment related to HBS-102, $33.1 million net cash consideration paid for the acquisition of Epygenix and $1.2 million in purchases of property and equipment, partially offset by $98.5 million from maturities of investments.</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Net cash used in investing activities for the year ended December 31, 2023, was $46.4 million, which was primarily attributable to $127.5 million in purchases of debt securities, $37.0 million related to the acquisition of Zynerba, net of cash received, and $0.3 million in purchases of property and equipment, partially offset by $118.3 million in proceeds from sales and maturities of investments.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Net cash used in financing activities for the year ended December 31, 2024, was $11.0 million, which primarily consisted of $15.0 million in principal payments associated with the TLA Credit Agreement, partially offset by $ 6.5 million in proceeds from the exercise of stock options, and $2.5 million of employee withholding tax payments related to stock-based awards.</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Net cash used in financing activities for the year ended December 31, 2023, was $105.6 million, which primarily consisted of $202.3 million in payments of principal and exit fees associated with the extinguishment of the Blackstone Credit Agreement, $100 million in share repurchases, $1.0 million in principal payments associated with the Blackstone Credit Agreement, and $3.8 million principal payments related to the TLA Credit Agreement, partially offset by $ 197.0 million in proceeds associated with the TLA Credit Agreement, net of issuance costs, and $5.1 million in proceeds from the exercise of employee stock options.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the measurement of compensation expense pursuant to stock-based awards, the calculation of our income tax provision, and the determination of accounting treatment for our business combinations.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year covered by this report, there were no material changes to the accounting policies and assumptions previously disclosed, except as disclosed in Note 3 to the consolidated financial statements contained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See Note 3 to our consolidated financial statements included herein under “Part II—Item 8. Financial Statements and Supplementary Data.”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$426.6 million of investments in money market funds, U.S. treasury notes, corporate bonds and municipal obligations as of December 31, 2024, an immediate 10% change in market interest rates would not have a material impact on the fair market value of our investment portfolio or on our financial position or results of operations.</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As of December 31, 2024, we had $ 181.3 million in borrowings outstanding.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$181.3 million of principal outstanding as of December 31, 2024, an immediate 10% change in the SOFR would not have a material impact on our debt-related obligations, financial position or results of operations.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and Australia. Our operations may be subject to fluctuations in foreign currency exchange rates in the future.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years ended December 31,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44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80" w:type="dxa"/>
            <w:vAlign w:val="bottom"/>
          </w:tcPr>
          <w:p>
            <w:pPr>
              <w:spacing w:after="0"/>
              <w:rPr>
                <w:sz w:val="21"/>
                <w:szCs w:val="21"/>
                <w:color w:val="auto"/>
              </w:rPr>
            </w:pPr>
          </w:p>
        </w:tc>
      </w:tr>
      <w:tr>
        <w:trPr>
          <w:trHeight w:val="366"/>
        </w:trPr>
        <w:tc>
          <w:tcPr>
            <w:tcW w:w="844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34)</w:t>
            </w:r>
          </w:p>
        </w:tc>
        <w:tc>
          <w:tcPr>
            <w:tcW w:w="1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0"/>
        </w:trPr>
        <w:tc>
          <w:tcPr>
            <w:tcW w:w="23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9"/>
              </w:rPr>
              <w:t>Consolidated Balance Sheets</w:t>
            </w:r>
          </w:p>
        </w:tc>
        <w:tc>
          <w:tcPr>
            <w:tcW w:w="2240" w:type="dxa"/>
            <w:vAlign w:val="bottom"/>
            <w:tcBorders>
              <w:top w:val="single" w:sz="8" w:color="0000EE"/>
            </w:tcBorders>
            <w:gridSpan w:val="3"/>
          </w:tcPr>
          <w:p>
            <w:pPr>
              <w:spacing w:after="0"/>
              <w:rPr>
                <w:sz w:val="18"/>
                <w:szCs w:val="18"/>
                <w:color w:val="auto"/>
              </w:rPr>
            </w:pPr>
          </w:p>
        </w:tc>
        <w:tc>
          <w:tcPr>
            <w:tcW w:w="3820" w:type="dxa"/>
            <w:vAlign w:val="bottom"/>
            <w:gridSpan w:val="3"/>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0"/>
        </w:trPr>
        <w:tc>
          <w:tcPr>
            <w:tcW w:w="8440" w:type="dxa"/>
            <w:vAlign w:val="bottom"/>
            <w:gridSpan w:val="7"/>
          </w:tcPr>
          <w:p>
            <w:pPr>
              <w:spacing w:after="0"/>
              <w:rPr>
                <w:sz w:val="20"/>
                <w:szCs w:val="20"/>
                <w:color w:val="auto"/>
              </w:rPr>
            </w:pPr>
            <w:r>
              <w:rPr>
                <w:rFonts w:ascii="Arial" w:cs="Arial" w:eastAsia="Arial" w:hAnsi="Arial"/>
                <w:sz w:val="18"/>
                <w:szCs w:val="18"/>
                <w:color w:val="0000EE"/>
              </w:rPr>
              <w:t>Consolidated Statements of Operations and Comprehensive Income (Loss</w:t>
            </w:r>
            <w:r>
              <w:rPr>
                <w:rFonts w:ascii="Arial" w:cs="Arial" w:eastAsia="Arial" w:hAnsi="Arial"/>
                <w:sz w:val="18"/>
                <w:szCs w:val="18"/>
                <w:color w:val="000000"/>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8440" w:type="dxa"/>
            <w:vAlign w:val="bottom"/>
            <w:gridSpan w:val="7"/>
          </w:tcPr>
          <w:p>
            <w:pPr>
              <w:spacing w:after="0"/>
              <w:rPr>
                <w:sz w:val="20"/>
                <w:szCs w:val="20"/>
                <w:color w:val="auto"/>
              </w:rPr>
            </w:pPr>
            <w:r>
              <w:rPr>
                <w:rFonts w:ascii="Arial" w:cs="Arial" w:eastAsia="Arial" w:hAnsi="Arial"/>
                <w:sz w:val="18"/>
                <w:szCs w:val="18"/>
                <w:color w:val="0000EE"/>
              </w:rPr>
              <w:t>Consolidated Statements of Convertible Preferred Stock and Stockholders’ Equity (Deficit)</w:t>
            </w:r>
          </w:p>
        </w:tc>
        <w:tc>
          <w:tcPr>
            <w:tcW w:w="1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71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Cash Flows</w:t>
            </w:r>
          </w:p>
        </w:tc>
        <w:tc>
          <w:tcPr>
            <w:tcW w:w="1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35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920" w:type="dxa"/>
            <w:vAlign w:val="bottom"/>
            <w:gridSpan w:val="4"/>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713"/>
        </w:trPr>
        <w:tc>
          <w:tcPr>
            <w:tcW w:w="5940" w:type="dxa"/>
            <w:vAlign w:val="bottom"/>
            <w:gridSpan w:val="5"/>
          </w:tcPr>
          <w:p>
            <w:pPr>
              <w:ind w:left="4860"/>
              <w:spacing w:after="0"/>
              <w:rPr>
                <w:sz w:val="20"/>
                <w:szCs w:val="20"/>
                <w:color w:val="auto"/>
              </w:rPr>
            </w:pPr>
            <w:r>
              <w:rPr>
                <w:rFonts w:ascii="Arial" w:cs="Arial" w:eastAsia="Arial" w:hAnsi="Arial"/>
                <w:sz w:val="18"/>
                <w:szCs w:val="18"/>
                <w:color w:val="auto"/>
              </w:rPr>
              <w:t>88</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43"/>
        </w:trPr>
        <w:tc>
          <w:tcPr>
            <w:tcW w:w="2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Harmony Biosciences Holdings, Inc. and subsidiaries (the “Company”) as of December 31, 2024 and 2023, the related consolidated statements of operations and comprehensive income (loss), stockholders’ equity (deficit),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our report dated February 25, 2025,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0" w:lineRule="exact"/>
        <w:rPr>
          <w:sz w:val="20"/>
          <w:szCs w:val="20"/>
          <w:color w:val="auto"/>
        </w:rPr>
      </w:pPr>
    </w:p>
    <w:p>
      <w:pPr>
        <w:ind w:right="1580"/>
        <w:spacing w:after="0" w:line="444" w:lineRule="auto"/>
        <w:rPr>
          <w:sz w:val="20"/>
          <w:szCs w:val="20"/>
          <w:color w:val="auto"/>
        </w:rPr>
      </w:pPr>
      <w:r>
        <w:rPr>
          <w:rFonts w:ascii="Arial" w:cs="Arial" w:eastAsia="Arial" w:hAnsi="Arial"/>
          <w:sz w:val="18"/>
          <w:szCs w:val="18"/>
          <w:b w:val="1"/>
          <w:bCs w:val="1"/>
          <w:i w:val="1"/>
          <w:iCs w:val="1"/>
          <w:color w:val="auto"/>
        </w:rPr>
        <w:t xml:space="preserve">Rebate Accrual for Medicaid – Refer to “Note 3- Net Product Revenue”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more fully disclosed in Note 3 to the financial statements, the Company recognizes revenue on sales of WAKIX when the customer obtains control of the product, which occurs at a point in time, typically upon delivery. Product revenue is recorded at the product’s wholesale acquisition costs, net of applicable reserves for variable consideration that are offered within contracts between the Company and its customers, payors, and other indirect customers relating to the sale of WAKIX. Components of variable consideration include government and commercial contracts, product returns, commercial co-payment assistance program transactions, and distribution service fees.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rebate provision and related liability related to the Medicaid Drug Rebate Program (the “Medicaid rebate accrual”) involves the use of significant assumptions and judgments in the Company’s calculation. These significant assumptions and judgments include historical claims experience, payer channel mix, current contract prices, unbilled claims, claims submission time lags, and inventory levels in the distribution channel.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Given the complexity involved in determining the significant assumptions used in calculating the Medicaid rebate accrual, auditing these estimates involved especially subjective judgment.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Medicaid rebate accrual included the following, among others:</w:t>
      </w:r>
    </w:p>
    <w:p>
      <w:pPr>
        <w:spacing w:after="0" w:line="171" w:lineRule="exact"/>
        <w:rPr>
          <w:sz w:val="20"/>
          <w:szCs w:val="20"/>
          <w:color w:val="auto"/>
        </w:rPr>
      </w:pPr>
    </w:p>
    <w:p>
      <w:pPr>
        <w:ind w:left="680" w:right="20" w:hanging="321"/>
        <w:spacing w:after="0" w:line="270" w:lineRule="auto"/>
        <w:tabs>
          <w:tab w:leader="none" w:pos="68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appropriateness and consistency of the Company’s methods and assumptions used to calculate the Medicaid rebate accrual.</w:t>
      </w:r>
    </w:p>
    <w:p>
      <w:pPr>
        <w:spacing w:after="0" w:line="113" w:lineRule="exact"/>
        <w:rPr>
          <w:rFonts w:ascii="Times New Roman" w:cs="Times New Roman" w:eastAsia="Times New Roman" w:hAnsi="Times New Roman"/>
          <w:sz w:val="18"/>
          <w:szCs w:val="18"/>
          <w:color w:val="auto"/>
        </w:rPr>
      </w:pPr>
    </w:p>
    <w:p>
      <w:pPr>
        <w:ind w:left="680" w:hanging="321"/>
        <w:spacing w:after="0" w:line="270" w:lineRule="auto"/>
        <w:tabs>
          <w:tab w:leader="none" w:pos="68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effectiveness of internal controls over the review of the Company’s estimation model, including underlying assumptions and key inputs into the Company’s process to calculate the Medicaid rebate accrual.</w:t>
      </w:r>
    </w:p>
    <w:p>
      <w:pPr>
        <w:spacing w:after="0" w:line="1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mathematical accuracy of the Medicaid rebate accrual.</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significant assumptions and key inputs used to calculate the Medicaid rebate accrual.</w:t>
      </w:r>
    </w:p>
    <w:p>
      <w:pPr>
        <w:spacing w:after="0" w:line="183" w:lineRule="exact"/>
        <w:rPr>
          <w:rFonts w:ascii="Times New Roman" w:cs="Times New Roman" w:eastAsia="Times New Roman" w:hAnsi="Times New Roman"/>
          <w:sz w:val="18"/>
          <w:szCs w:val="18"/>
          <w:color w:val="auto"/>
        </w:rPr>
      </w:pPr>
    </w:p>
    <w:p>
      <w:pPr>
        <w:ind w:left="680" w:right="20" w:hanging="321"/>
        <w:spacing w:after="0" w:line="270" w:lineRule="auto"/>
        <w:tabs>
          <w:tab w:leader="none" w:pos="68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Company’s ability to estimate the Medicaid rebate accrual accurately by comparing the actual amounts incurred for the Medicaid rebate accrual to historical estimates.</w:t>
      </w:r>
    </w:p>
    <w:p>
      <w:pPr>
        <w:spacing w:after="0" w:line="127" w:lineRule="exact"/>
        <w:rPr>
          <w:rFonts w:ascii="Times New Roman" w:cs="Times New Roman" w:eastAsia="Times New Roman" w:hAnsi="Times New Roman"/>
          <w:sz w:val="18"/>
          <w:szCs w:val="18"/>
          <w:color w:val="auto"/>
        </w:rPr>
      </w:pPr>
    </w:p>
    <w:p>
      <w:pPr>
        <w:ind w:left="680" w:right="20" w:hanging="321"/>
        <w:spacing w:after="0" w:line="270" w:lineRule="auto"/>
        <w:tabs>
          <w:tab w:leader="none" w:pos="68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overall reasonableness of the Medicaid rebate accrual recorded at period end by developing an expectation for comparison to actual recorded balances.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HARMONY BIOSCIENCES HOLDINGS, INC. AND SUBSIDIARIES CONSOLIDATED BALANCE SHEETS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r>
      <w:tr>
        <w:trPr>
          <w:trHeight w:val="156"/>
        </w:trPr>
        <w:tc>
          <w:tcPr>
            <w:tcW w:w="70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700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453,001</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311,660</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14,185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41,800</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83,033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74,140</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7,198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5,363</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13,714</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12,570</w:t>
            </w:r>
          </w:p>
        </w:tc>
      </w:tr>
      <w:tr>
        <w:trPr>
          <w:trHeight w:val="162"/>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w:t>
            </w:r>
          </w:p>
        </w:tc>
      </w:tr>
      <w:tr>
        <w:trPr>
          <w:trHeight w:val="155"/>
        </w:trPr>
        <w:tc>
          <w:tcPr>
            <w:tcW w:w="70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579,252</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451,070</w:t>
            </w:r>
          </w:p>
        </w:tc>
      </w:tr>
      <w:tr>
        <w:trPr>
          <w:trHeight w:val="156"/>
        </w:trPr>
        <w:tc>
          <w:tcPr>
            <w:tcW w:w="7000" w:type="dxa"/>
            <w:vAlign w:val="bottom"/>
          </w:tcPr>
          <w:p>
            <w:pPr>
              <w:ind w:left="120"/>
              <w:spacing w:after="0" w:line="155" w:lineRule="exact"/>
              <w:rPr>
                <w:sz w:val="20"/>
                <w:szCs w:val="20"/>
                <w:color w:val="auto"/>
              </w:rPr>
            </w:pPr>
            <w:r>
              <w:rPr>
                <w:rFonts w:ascii="Arial" w:cs="Arial" w:eastAsia="Arial" w:hAnsi="Arial"/>
                <w:sz w:val="14"/>
                <w:szCs w:val="14"/>
                <w:color w:val="auto"/>
              </w:rPr>
              <w:t>NONCURRENT ASSETS: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108,874</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72,169</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113,263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137,108</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190,398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144,162</w:t>
            </w:r>
          </w:p>
        </w:tc>
      </w:tr>
      <w:tr>
        <w:trPr>
          <w:trHeight w:val="162"/>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5,886</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6,298</w:t>
            </w:r>
          </w:p>
        </w:tc>
      </w:tr>
      <w:tr>
        <w:trPr>
          <w:trHeight w:val="156"/>
        </w:trPr>
        <w:tc>
          <w:tcPr>
            <w:tcW w:w="70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419,948</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360,378</w:t>
            </w:r>
          </w:p>
        </w:tc>
      </w:tr>
      <w:tr>
        <w:trPr>
          <w:trHeight w:val="195"/>
        </w:trPr>
        <w:tc>
          <w:tcPr>
            <w:tcW w:w="70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999,200</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811,448</w:t>
            </w:r>
          </w:p>
        </w:tc>
      </w:tr>
      <w:tr>
        <w:trPr>
          <w:trHeight w:val="143"/>
        </w:trPr>
        <w:tc>
          <w:tcPr>
            <w:tcW w:w="7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2"/>
        </w:trPr>
        <w:tc>
          <w:tcPr>
            <w:tcW w:w="700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13,744</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17,730</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18,776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23,747</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120,640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99,494</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16,250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6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w:t>
            </w:r>
          </w:p>
        </w:tc>
      </w:tr>
      <w:tr>
        <w:trPr>
          <w:trHeight w:val="156"/>
        </w:trPr>
        <w:tc>
          <w:tcPr>
            <w:tcW w:w="70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175,082</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163,781</w:t>
            </w:r>
          </w:p>
        </w:tc>
      </w:tr>
      <w:tr>
        <w:trPr>
          <w:trHeight w:val="155"/>
        </w:trPr>
        <w:tc>
          <w:tcPr>
            <w:tcW w:w="700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NONCURRENT LIABILITIES:</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163,016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178,566</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6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2,109</w:t>
            </w:r>
          </w:p>
        </w:tc>
      </w:tr>
      <w:tr>
        <w:trPr>
          <w:trHeight w:val="155"/>
        </w:trPr>
        <w:tc>
          <w:tcPr>
            <w:tcW w:w="70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164,963</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180,675</w:t>
            </w:r>
          </w:p>
        </w:tc>
      </w:tr>
      <w:tr>
        <w:trPr>
          <w:trHeight w:val="155"/>
        </w:trPr>
        <w:tc>
          <w:tcPr>
            <w:tcW w:w="700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340,045</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344,456</w:t>
            </w:r>
          </w:p>
        </w:tc>
      </w:tr>
      <w:tr>
        <w:trPr>
          <w:trHeight w:val="155"/>
        </w:trPr>
        <w:tc>
          <w:tcPr>
            <w:tcW w:w="7000" w:type="dxa"/>
            <w:vAlign w:val="bottom"/>
          </w:tcPr>
          <w:p>
            <w:pPr>
              <w:ind w:left="120"/>
              <w:spacing w:after="0" w:line="155" w:lineRule="exact"/>
              <w:rPr>
                <w:sz w:val="20"/>
                <w:szCs w:val="20"/>
                <w:color w:val="auto"/>
              </w:rPr>
            </w:pPr>
            <w:r>
              <w:rPr>
                <w:rFonts w:ascii="Arial" w:cs="Arial" w:eastAsia="Arial" w:hAnsi="Arial"/>
                <w:sz w:val="14"/>
                <w:szCs w:val="14"/>
                <w:color w:val="auto"/>
              </w:rPr>
              <w:t>COMMITMENTS AND CONTINGENCIES (Note 13)</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7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STOCKHOLDERS’ EQUITY:</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3"/>
        </w:trPr>
        <w:tc>
          <w:tcPr>
            <w:tcW w:w="700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December 31, 2024 and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December 31, 2023, respectively; 57,144,887 and 56,769,081 shares issued and outstanding at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7000" w:type="dxa"/>
            <w:vAlign w:val="bottom"/>
          </w:tcPr>
          <w:p>
            <w:pPr>
              <w:ind w:left="220"/>
              <w:spacing w:after="0"/>
              <w:rPr>
                <w:sz w:val="20"/>
                <w:szCs w:val="20"/>
                <w:color w:val="auto"/>
              </w:rPr>
            </w:pPr>
            <w:r>
              <w:rPr>
                <w:rFonts w:ascii="Arial" w:cs="Arial" w:eastAsia="Arial" w:hAnsi="Arial"/>
                <w:sz w:val="14"/>
                <w:szCs w:val="14"/>
                <w:color w:val="auto"/>
              </w:rPr>
              <w:t>December 31, 2024 and December 31, 2023, respectively</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656,872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610,266</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Accumulated other comprehensive (loss) income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 (accumulated deficit)</w:t>
            </w:r>
          </w:p>
        </w:tc>
        <w:tc>
          <w:tcPr>
            <w:tcW w:w="6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(143,277)</w:t>
            </w:r>
          </w:p>
        </w:tc>
      </w:tr>
      <w:tr>
        <w:trPr>
          <w:trHeight w:val="155"/>
        </w:trPr>
        <w:tc>
          <w:tcPr>
            <w:tcW w:w="700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color w:val="auto"/>
              </w:rPr>
              <w:t>TOTAL STOCKHOLDERS’ EQUITY</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659,155</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55"/>
        </w:trPr>
        <w:tc>
          <w:tcPr>
            <w:tcW w:w="70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6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999,200</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811,448</w:t>
            </w:r>
          </w:p>
        </w:tc>
      </w:tr>
      <w:tr>
        <w:trPr>
          <w:trHeight w:val="20"/>
        </w:trPr>
        <w:tc>
          <w:tcPr>
            <w:tcW w:w="7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left="1100"/>
        <w:spacing w:after="0" w:line="281" w:lineRule="auto"/>
        <w:rPr>
          <w:sz w:val="20"/>
          <w:szCs w:val="20"/>
          <w:color w:val="auto"/>
        </w:rPr>
      </w:pPr>
      <w:r>
        <w:rPr>
          <w:rFonts w:ascii="Arial" w:cs="Arial" w:eastAsia="Arial" w:hAnsi="Arial"/>
          <w:sz w:val="18"/>
          <w:szCs w:val="18"/>
          <w:b w:val="1"/>
          <w:bCs w:val="1"/>
          <w:color w:val="auto"/>
        </w:rPr>
        <w:t>HARMONY BIOSCIENCES HOLDINGS, INC. AND SUBSIDIARIES CONSOLIDATED STATEMENTS OF OPERATIONS AND COMPREHENSIVE INCOME (LOSS) (In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r>
      <w:tr>
        <w:trPr>
          <w:trHeight w:val="156"/>
        </w:trPr>
        <w:tc>
          <w:tcPr>
            <w:tcW w:w="48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714,734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582,022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437,855</w:t>
            </w:r>
          </w:p>
        </w:tc>
      </w:tr>
      <w:tr>
        <w:trPr>
          <w:trHeight w:val="203"/>
        </w:trPr>
        <w:tc>
          <w:tcPr>
            <w:tcW w:w="4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156,815</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121,236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83,481</w:t>
            </w:r>
          </w:p>
        </w:tc>
      </w:tr>
      <w:tr>
        <w:trPr>
          <w:trHeight w:val="196"/>
        </w:trPr>
        <w:tc>
          <w:tcPr>
            <w:tcW w:w="486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557,919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460,786</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354,374</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145,825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76,063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70,886</w:t>
            </w:r>
          </w:p>
        </w:tc>
      </w:tr>
      <w:tr>
        <w:trPr>
          <w:trHeight w:val="203"/>
        </w:trPr>
        <w:tc>
          <w:tcPr>
            <w:tcW w:w="486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110,916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97,404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79,285</w:t>
            </w: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110,352</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95,289</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84,017</w:t>
            </w:r>
          </w:p>
        </w:tc>
      </w:tr>
      <w:tr>
        <w:trPr>
          <w:trHeight w:val="196"/>
        </w:trPr>
        <w:tc>
          <w:tcPr>
            <w:tcW w:w="4860" w:type="dxa"/>
            <w:vAlign w:val="bottom"/>
          </w:tcPr>
          <w:p>
            <w:pPr>
              <w:ind w:left="44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367,093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268,756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234,188</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190,826</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192,030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120,186</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Loss on debt extinguishment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(9,766)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(17,496)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(23,757)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(18,795)</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18,542</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14,730</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3,126</w:t>
            </w:r>
          </w:p>
        </w:tc>
      </w:tr>
      <w:tr>
        <w:trPr>
          <w:trHeight w:val="196"/>
        </w:trPr>
        <w:tc>
          <w:tcPr>
            <w:tcW w:w="486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191,804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173,396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104,686</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(46,311)</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(44,543)</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76,782</w:t>
            </w:r>
          </w:p>
        </w:tc>
      </w:tr>
      <w:tr>
        <w:trPr>
          <w:trHeight w:val="196"/>
        </w:trPr>
        <w:tc>
          <w:tcPr>
            <w:tcW w:w="486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145,493</w:t>
            </w:r>
          </w:p>
        </w:tc>
        <w:tc>
          <w:tcPr>
            <w:tcW w:w="28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128,853</w:t>
            </w:r>
          </w:p>
        </w:tc>
        <w:tc>
          <w:tcPr>
            <w:tcW w:w="22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181,468</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income on investments</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r>
      <w:tr>
        <w:trPr>
          <w:trHeight w:val="236"/>
        </w:trPr>
        <w:tc>
          <w:tcPr>
            <w:tcW w:w="48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145,557</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129,006</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181,317</w:t>
            </w:r>
          </w:p>
        </w:tc>
      </w:tr>
      <w:tr>
        <w:trPr>
          <w:trHeight w:val="183"/>
        </w:trPr>
        <w:tc>
          <w:tcPr>
            <w:tcW w:w="48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3"/>
        </w:trPr>
        <w:tc>
          <w:tcPr>
            <w:tcW w:w="486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4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5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w:t>
            </w:r>
          </w:p>
        </w:tc>
        <w:tc>
          <w:tcPr>
            <w:tcW w:w="44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5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r>
      <w:tr>
        <w:trPr>
          <w:trHeight w:val="184"/>
        </w:trPr>
        <w:tc>
          <w:tcPr>
            <w:tcW w:w="486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 -</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1"/>
        </w:trPr>
        <w:tc>
          <w:tcPr>
            <w:tcW w:w="486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56,885,455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59,469,648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59,173,121</w:t>
            </w:r>
          </w:p>
        </w:tc>
      </w:tr>
      <w:tr>
        <w:trPr>
          <w:trHeight w:val="184"/>
        </w:trPr>
        <w:tc>
          <w:tcPr>
            <w:tcW w:w="486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 -</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1"/>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57,869,915</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60,372,397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61,097,045</w:t>
            </w:r>
          </w:p>
        </w:tc>
      </w:tr>
    </w:tbl>
    <w:p>
      <w:pPr>
        <w:spacing w:after="0" w:line="186"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92" w:name="page93"/>
    <w:bookmarkEnd w:id="92"/>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HARMONY BIOSCIENCES HOLDINGS, INC. AND SUBSIDIARIES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8"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2"/>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9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5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Shares (1)</w:t>
            </w:r>
          </w:p>
        </w:tc>
        <w:tc>
          <w:tcPr>
            <w:tcW w:w="2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income (loss)</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Balance as of</w:t>
            </w: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58,825,769</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(453,598)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186,507</w:t>
            </w:r>
          </w:p>
        </w:tc>
        <w:tc>
          <w:tcPr>
            <w:tcW w:w="0" w:type="dxa"/>
            <w:vAlign w:val="bottom"/>
          </w:tcPr>
          <w:p>
            <w:pPr>
              <w:spacing w:after="0"/>
              <w:rPr>
                <w:sz w:val="1"/>
                <w:szCs w:val="1"/>
                <w:color w:val="auto"/>
              </w:rPr>
            </w:pPr>
          </w:p>
        </w:tc>
      </w:tr>
      <w:tr>
        <w:trPr>
          <w:trHeight w:val="202"/>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181,468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181,468</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Unrealized loss on</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84"/>
        </w:trPr>
        <w:tc>
          <w:tcPr>
            <w:tcW w:w="2520" w:type="dxa"/>
            <w:vAlign w:val="bottom"/>
          </w:tcPr>
          <w:p>
            <w:pPr>
              <w:ind w:left="220"/>
              <w:spacing w:after="0" w:line="183" w:lineRule="exact"/>
              <w:rPr>
                <w:sz w:val="20"/>
                <w:szCs w:val="20"/>
                <w:color w:val="auto"/>
              </w:rPr>
            </w:pPr>
            <w:r>
              <w:rPr>
                <w:rFonts w:ascii="Arial" w:cs="Arial" w:eastAsia="Arial" w:hAnsi="Arial"/>
                <w:sz w:val="18"/>
                <w:szCs w:val="18"/>
                <w:color w:val="auto"/>
              </w:rPr>
              <w:t>Issuance of common</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tcPr>
          <w:p>
            <w:pPr>
              <w:ind w:left="220"/>
              <w:spacing w:after="0"/>
              <w:rPr>
                <w:sz w:val="20"/>
                <w:szCs w:val="20"/>
                <w:color w:val="auto"/>
              </w:rPr>
            </w:pPr>
            <w:r>
              <w:rPr>
                <w:rFonts w:ascii="Arial" w:cs="Arial" w:eastAsia="Arial" w:hAnsi="Arial"/>
                <w:sz w:val="18"/>
                <w:szCs w:val="18"/>
                <w:color w:val="auto"/>
              </w:rPr>
              <w:t>stock</w:t>
            </w:r>
          </w:p>
        </w:tc>
        <w:tc>
          <w:tcPr>
            <w:tcW w:w="1000" w:type="dxa"/>
            <w:vAlign w:val="bottom"/>
          </w:tcPr>
          <w:p>
            <w:pPr>
              <w:jc w:val="right"/>
              <w:spacing w:after="0"/>
              <w:rPr>
                <w:sz w:val="20"/>
                <w:szCs w:val="20"/>
                <w:color w:val="auto"/>
              </w:rPr>
            </w:pPr>
            <w:r>
              <w:rPr>
                <w:rFonts w:ascii="Arial" w:cs="Arial" w:eastAsia="Arial" w:hAnsi="Arial"/>
                <w:sz w:val="18"/>
                <w:szCs w:val="18"/>
                <w:color w:val="auto"/>
              </w:rPr>
              <w:t>8,050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 of options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781,912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184"/>
        </w:trPr>
        <w:tc>
          <w:tcPr>
            <w:tcW w:w="2520" w:type="dxa"/>
            <w:vAlign w:val="bottom"/>
          </w:tcPr>
          <w:p>
            <w:pPr>
              <w:ind w:left="220"/>
              <w:spacing w:after="0" w:line="183" w:lineRule="exact"/>
              <w:rPr>
                <w:sz w:val="20"/>
                <w:szCs w:val="20"/>
                <w:color w:val="auto"/>
              </w:rPr>
            </w:pPr>
            <w:r>
              <w:rPr>
                <w:rFonts w:ascii="Arial" w:cs="Arial" w:eastAsia="Arial" w:hAnsi="Arial"/>
                <w:sz w:val="18"/>
                <w:szCs w:val="18"/>
                <w:color w:val="auto"/>
              </w:rPr>
              <w:t>Stock-based</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26,173</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Balance as of</w:t>
            </w: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59,615,731</w:t>
            </w:r>
          </w:p>
        </w:tc>
        <w:tc>
          <w:tcPr>
            <w:tcW w:w="10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(272,130)</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402,838</w:t>
            </w: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128,853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128,853</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Unrealized gain on</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84"/>
        </w:trPr>
        <w:tc>
          <w:tcPr>
            <w:tcW w:w="2520" w:type="dxa"/>
            <w:vAlign w:val="bottom"/>
          </w:tcPr>
          <w:p>
            <w:pPr>
              <w:ind w:left="220"/>
              <w:spacing w:after="0" w:line="183" w:lineRule="exact"/>
              <w:rPr>
                <w:sz w:val="20"/>
                <w:szCs w:val="20"/>
                <w:color w:val="auto"/>
              </w:rPr>
            </w:pPr>
            <w:r>
              <w:rPr>
                <w:rFonts w:ascii="Arial" w:cs="Arial" w:eastAsia="Arial" w:hAnsi="Arial"/>
                <w:sz w:val="18"/>
                <w:szCs w:val="18"/>
                <w:color w:val="auto"/>
              </w:rPr>
              <w:t>Repurchase of common</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tcPr>
          <w:p>
            <w:pPr>
              <w:ind w:left="220"/>
              <w:spacing w:after="0"/>
              <w:rPr>
                <w:sz w:val="20"/>
                <w:szCs w:val="20"/>
                <w:color w:val="auto"/>
              </w:rPr>
            </w:pPr>
            <w:r>
              <w:rPr>
                <w:rFonts w:ascii="Arial" w:cs="Arial" w:eastAsia="Arial" w:hAnsi="Arial"/>
                <w:sz w:val="18"/>
                <w:szCs w:val="18"/>
                <w:color w:val="auto"/>
              </w:rPr>
              <w:t>stock</w:t>
            </w:r>
          </w:p>
        </w:tc>
        <w:tc>
          <w:tcPr>
            <w:tcW w:w="1000" w:type="dxa"/>
            <w:vAlign w:val="bottom"/>
          </w:tcPr>
          <w:p>
            <w:pPr>
              <w:jc w:val="right"/>
              <w:spacing w:after="0"/>
              <w:rPr>
                <w:sz w:val="20"/>
                <w:szCs w:val="20"/>
                <w:color w:val="auto"/>
              </w:rPr>
            </w:pPr>
            <w:r>
              <w:rPr>
                <w:rFonts w:ascii="Arial" w:cs="Arial" w:eastAsia="Arial" w:hAnsi="Arial"/>
                <w:sz w:val="18"/>
                <w:szCs w:val="18"/>
                <w:color w:val="auto"/>
              </w:rPr>
              <w:t>(3,254,445)</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(101,097)</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Exercise of options and</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vesting of restricted stock</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 (2)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407,795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184"/>
        </w:trPr>
        <w:tc>
          <w:tcPr>
            <w:tcW w:w="2520" w:type="dxa"/>
            <w:vAlign w:val="bottom"/>
          </w:tcPr>
          <w:p>
            <w:pPr>
              <w:ind w:left="220"/>
              <w:spacing w:after="0" w:line="183" w:lineRule="exact"/>
              <w:rPr>
                <w:sz w:val="20"/>
                <w:szCs w:val="20"/>
                <w:color w:val="auto"/>
              </w:rPr>
            </w:pPr>
            <w:r>
              <w:rPr>
                <w:rFonts w:ascii="Arial" w:cs="Arial" w:eastAsia="Arial" w:hAnsi="Arial"/>
                <w:sz w:val="18"/>
                <w:szCs w:val="18"/>
                <w:color w:val="auto"/>
              </w:rPr>
              <w:t>Stock-based</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31,705</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Balance as of</w:t>
            </w: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56,769,081</w:t>
            </w:r>
          </w:p>
        </w:tc>
        <w:tc>
          <w:tcPr>
            <w:tcW w:w="10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(143,277)</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466,992</w:t>
            </w: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145,493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145,493</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Unrealized gain on</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4"/>
        </w:trPr>
        <w:tc>
          <w:tcPr>
            <w:tcW w:w="2520" w:type="dxa"/>
            <w:vAlign w:val="bottom"/>
          </w:tcPr>
          <w:p>
            <w:pPr>
              <w:ind w:left="220"/>
              <w:spacing w:after="0" w:line="183" w:lineRule="exact"/>
              <w:rPr>
                <w:sz w:val="20"/>
                <w:szCs w:val="20"/>
                <w:color w:val="auto"/>
              </w:rPr>
            </w:pPr>
            <w:r>
              <w:rPr>
                <w:rFonts w:ascii="Arial" w:cs="Arial" w:eastAsia="Arial" w:hAnsi="Arial"/>
                <w:sz w:val="18"/>
                <w:szCs w:val="18"/>
                <w:color w:val="auto"/>
              </w:rPr>
              <w:t>Repurchase of common</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tcPr>
          <w:p>
            <w:pPr>
              <w:ind w:left="220"/>
              <w:spacing w:after="0"/>
              <w:rPr>
                <w:sz w:val="20"/>
                <w:szCs w:val="20"/>
                <w:color w:val="auto"/>
              </w:rPr>
            </w:pPr>
            <w:r>
              <w:rPr>
                <w:rFonts w:ascii="Arial" w:cs="Arial" w:eastAsia="Arial" w:hAnsi="Arial"/>
                <w:sz w:val="18"/>
                <w:szCs w:val="18"/>
                <w:color w:val="auto"/>
              </w:rPr>
              <w:t>stock</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Exercise of options and</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vesting of restricted stock</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 (2)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375,806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184"/>
        </w:trPr>
        <w:tc>
          <w:tcPr>
            <w:tcW w:w="2520" w:type="dxa"/>
            <w:vAlign w:val="bottom"/>
          </w:tcPr>
          <w:p>
            <w:pPr>
              <w:ind w:left="220"/>
              <w:spacing w:after="0" w:line="183" w:lineRule="exact"/>
              <w:rPr>
                <w:sz w:val="20"/>
                <w:szCs w:val="20"/>
                <w:color w:val="auto"/>
              </w:rPr>
            </w:pPr>
            <w:r>
              <w:rPr>
                <w:rFonts w:ascii="Arial" w:cs="Arial" w:eastAsia="Arial" w:hAnsi="Arial"/>
                <w:sz w:val="18"/>
                <w:szCs w:val="18"/>
                <w:color w:val="auto"/>
              </w:rPr>
              <w:t>Stock-based</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42,602</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Balance as of</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57,144,887</w:t>
            </w:r>
          </w:p>
        </w:tc>
        <w:tc>
          <w:tcPr>
            <w:tcW w:w="1040" w:type="dxa"/>
            <w:vAlign w:val="bottom"/>
            <w:gridSpan w:val="2"/>
            <w:vMerge w:val="restart"/>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656,872</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4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659,155</w:t>
            </w: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2024</w:t>
            </w:r>
          </w:p>
        </w:tc>
        <w:tc>
          <w:tcPr>
            <w:tcW w:w="10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16198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86" w:lineRule="exact"/>
        <w:rPr>
          <w:sz w:val="20"/>
          <w:szCs w:val="20"/>
          <w:color w:val="auto"/>
        </w:rPr>
      </w:pPr>
    </w:p>
    <w:p>
      <w:pPr>
        <w:ind w:left="321" w:hanging="321"/>
        <w:spacing w:after="0"/>
        <w:tabs>
          <w:tab w:leader="none" w:pos="321"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Common stock of Harmony Biosciences Holdings, Inc.</w:t>
      </w:r>
    </w:p>
    <w:p>
      <w:pPr>
        <w:spacing w:after="0" w:line="11" w:lineRule="exact"/>
        <w:rPr>
          <w:rFonts w:ascii="Arial" w:cs="Arial" w:eastAsia="Arial" w:hAnsi="Arial"/>
          <w:sz w:val="13"/>
          <w:szCs w:val="13"/>
          <w:color w:val="auto"/>
        </w:rPr>
      </w:pPr>
    </w:p>
    <w:p>
      <w:pPr>
        <w:ind w:left="321" w:hanging="321"/>
        <w:spacing w:after="0"/>
        <w:tabs>
          <w:tab w:leader="none" w:pos="321"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Inclusive of fees and 1% excise tax on shares repurchased.</w:t>
      </w:r>
    </w:p>
    <w:p>
      <w:pPr>
        <w:spacing w:after="0" w:line="15" w:lineRule="exact"/>
        <w:rPr>
          <w:sz w:val="20"/>
          <w:szCs w:val="20"/>
          <w:color w:val="auto"/>
        </w:rPr>
      </w:pPr>
    </w:p>
    <w:p>
      <w:pPr>
        <w:ind w:left="2381"/>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8081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1"/>
          </w:cols>
          <w:pgMar w:left="839" w:top="661" w:right="8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r>
      <w:tr>
        <w:trPr>
          <w:trHeight w:val="156"/>
        </w:trPr>
        <w:tc>
          <w:tcPr>
            <w:tcW w:w="58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2022</w:t>
            </w:r>
          </w:p>
        </w:tc>
      </w:tr>
      <w:tr>
        <w:trPr>
          <w:trHeight w:val="155"/>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145,493</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128,853</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181,468</w:t>
            </w:r>
          </w:p>
        </w:tc>
      </w:tr>
      <w:tr>
        <w:trPr>
          <w:trHeight w:val="162"/>
        </w:trPr>
        <w:tc>
          <w:tcPr>
            <w:tcW w:w="58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419</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22,966</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Acquired in-process research &amp; development (IPR&amp;D) expense</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43,595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42,602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26,173</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732</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Deferred taxes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(29,298)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(13,419)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(85,943)</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9,766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expenses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r>
      <w:tr>
        <w:trPr>
          <w:trHeight w:val="162"/>
        </w:trPr>
        <w:tc>
          <w:tcPr>
            <w:tcW w:w="5800" w:type="dxa"/>
            <w:vAlign w:val="bottom"/>
          </w:tcPr>
          <w:p>
            <w:pPr>
              <w:spacing w:after="0"/>
              <w:rPr>
                <w:sz w:val="20"/>
                <w:szCs w:val="20"/>
                <w:color w:val="auto"/>
              </w:rPr>
            </w:pPr>
            <w:r>
              <w:rPr>
                <w:rFonts w:ascii="Arial" w:cs="Arial" w:eastAsia="Arial" w:hAnsi="Arial"/>
                <w:sz w:val="14"/>
                <w:szCs w:val="14"/>
                <w:color w:val="auto"/>
              </w:rPr>
              <w:t>Change in operating assets and liabilities: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(19,897)</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(7,548)</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(5,384)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8,949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2,785</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6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11,799</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46,478</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20,419</w:t>
            </w:r>
          </w:p>
        </w:tc>
      </w:tr>
      <w:tr>
        <w:trPr>
          <w:trHeight w:val="156"/>
        </w:trPr>
        <w:tc>
          <w:tcPr>
            <w:tcW w:w="58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219,821</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219,387</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144,466</w:t>
            </w:r>
          </w:p>
        </w:tc>
      </w:tr>
      <w:tr>
        <w:trPr>
          <w:trHeight w:val="155"/>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Purchase of investment securities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(105,289)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(127,469)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(110,729)</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98,527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118,309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9,069</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Purchase of property and equipment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Zynerba Pharmaceuticals, Inc., net of cash acquired</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(36,967)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Acquisition of Epygenix Therapeutics, Inc., net of cash acquired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license fee and milestone</w:t>
            </w:r>
          </w:p>
        </w:tc>
        <w:tc>
          <w:tcPr>
            <w:tcW w:w="6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(26,500)</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w:t>
            </w:r>
          </w:p>
        </w:tc>
      </w:tr>
      <w:tr>
        <w:trPr>
          <w:trHeight w:val="155"/>
        </w:trPr>
        <w:tc>
          <w:tcPr>
            <w:tcW w:w="58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(67,484)</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(46,439)</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(141,832)</w:t>
            </w:r>
          </w:p>
        </w:tc>
      </w:tr>
      <w:tr>
        <w:trPr>
          <w:trHeight w:val="155"/>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Proceeds from long-term debt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Extinguishment of debt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(196,500)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debt exit fees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Principal repayment of long-term debt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(4,750)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(2,497)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exercised options</w:t>
            </w:r>
          </w:p>
        </w:tc>
        <w:tc>
          <w:tcPr>
            <w:tcW w:w="6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6,501</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5,055</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8,841</w:t>
            </w:r>
          </w:p>
        </w:tc>
      </w:tr>
      <w:tr>
        <w:trPr>
          <w:trHeight w:val="155"/>
        </w:trPr>
        <w:tc>
          <w:tcPr>
            <w:tcW w:w="58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(10,996)</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(105,552)</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6,841</w:t>
            </w:r>
          </w:p>
        </w:tc>
      </w:tr>
      <w:tr>
        <w:trPr>
          <w:trHeight w:val="155"/>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6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141,341</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67,396</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9,475</w:t>
            </w:r>
          </w:p>
        </w:tc>
      </w:tr>
      <w:tr>
        <w:trPr>
          <w:trHeight w:val="155"/>
        </w:trPr>
        <w:tc>
          <w:tcPr>
            <w:tcW w:w="58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311,930</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244,534</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235,059</w:t>
            </w:r>
          </w:p>
        </w:tc>
      </w:tr>
      <w:tr>
        <w:trPr>
          <w:trHeight w:val="155"/>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6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453,271</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311,930</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244,534</w:t>
            </w:r>
          </w:p>
        </w:tc>
      </w:tr>
      <w:tr>
        <w:trPr>
          <w:trHeight w:val="155"/>
        </w:trPr>
        <w:tc>
          <w:tcPr>
            <w:tcW w:w="5800" w:type="dxa"/>
            <w:vAlign w:val="bottom"/>
          </w:tcPr>
          <w:p>
            <w:pPr>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17,317</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16,364</w:t>
            </w:r>
          </w:p>
        </w:tc>
      </w:tr>
      <w:tr>
        <w:trPr>
          <w:trHeight w:val="190"/>
        </w:trPr>
        <w:tc>
          <w:tcPr>
            <w:tcW w:w="5800" w:type="dxa"/>
            <w:vAlign w:val="bottom"/>
          </w:tcPr>
          <w:p>
            <w:pPr>
              <w:ind w:left="220"/>
              <w:spacing w:after="0"/>
              <w:rPr>
                <w:sz w:val="20"/>
                <w:szCs w:val="20"/>
                <w:color w:val="auto"/>
              </w:rPr>
            </w:pPr>
            <w:r>
              <w:rPr>
                <w:rFonts w:ascii="Arial" w:cs="Arial" w:eastAsia="Arial" w:hAnsi="Arial"/>
                <w:sz w:val="14"/>
                <w:szCs w:val="14"/>
                <w:color w:val="auto"/>
              </w:rPr>
              <w:t>Cash paid during the year for taxes</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79,635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48,233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12,645</w:t>
            </w:r>
          </w:p>
        </w:tc>
      </w:tr>
    </w:tbl>
    <w:p>
      <w:pPr>
        <w:spacing w:after="0" w:line="15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CONSOLIDATED FINANCIAL STATEMENTS (In thousands, except share and per share data)</w:t>
      </w:r>
    </w:p>
    <w:p>
      <w:pPr>
        <w:spacing w:after="0" w:line="159" w:lineRule="exact"/>
        <w:rPr>
          <w:sz w:val="20"/>
          <w:szCs w:val="20"/>
          <w:color w:val="auto"/>
        </w:rPr>
      </w:pPr>
    </w:p>
    <w:p>
      <w:pPr>
        <w:ind w:left="700" w:right="5340" w:hanging="692"/>
        <w:spacing w:after="0" w:line="485" w:lineRule="auto"/>
        <w:tabs>
          <w:tab w:leader="none" w:pos="21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firstLine="648"/>
        <w:spacing w:after="0"/>
        <w:rPr>
          <w:sz w:val="20"/>
          <w:szCs w:val="20"/>
          <w:color w:val="auto"/>
        </w:rPr>
      </w:pPr>
      <w:r>
        <w:rPr>
          <w:rFonts w:ascii="Arial" w:cs="Arial" w:eastAsia="Arial" w:hAnsi="Arial"/>
          <w:sz w:val="18"/>
          <w:szCs w:val="18"/>
          <w:color w:val="auto"/>
        </w:rPr>
        <w:t xml:space="preserve">Harmony Biosciences Holdings, Inc., and its consolidated subsidiaries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w:t>
      </w:r>
      <w:r>
        <w:rPr>
          <w:rFonts w:ascii="Arial" w:cs="Arial" w:eastAsia="Arial" w:hAnsi="Arial"/>
          <w:sz w:val="18"/>
          <w:szCs w:val="18"/>
          <w:color w:val="212529"/>
        </w:rPr>
        <w:t>The Company’s operations are conducted in its wholly owned subsidiaries, Harmony</w:t>
      </w:r>
      <w:r>
        <w:rPr>
          <w:rFonts w:ascii="Arial" w:cs="Arial" w:eastAsia="Arial" w:hAnsi="Arial"/>
          <w:sz w:val="18"/>
          <w:szCs w:val="18"/>
          <w:color w:val="auto"/>
        </w:rPr>
        <w:t xml:space="preserve"> </w:t>
      </w:r>
      <w:r>
        <w:rPr>
          <w:rFonts w:ascii="Arial" w:cs="Arial" w:eastAsia="Arial" w:hAnsi="Arial"/>
          <w:sz w:val="18"/>
          <w:szCs w:val="18"/>
          <w:color w:val="212529"/>
        </w:rPr>
        <w:t>Biosciences, LLC (“Harmony”), and Harmony Biosciences Management, Inc. The Company is a commercial-stage pharmaceutical company focused on developing and commercializing innovative therapies for patients living with rare neurological disorders as well as patients living with other neurological diseases who have unmet medical needs. The Company is headquartered in Plymouth Meeting, Pennsylvania</w:t>
      </w:r>
      <w:r>
        <w:rPr>
          <w:rFonts w:ascii="Arial" w:cs="Arial" w:eastAsia="Arial" w:hAnsi="Arial"/>
          <w:sz w:val="18"/>
          <w:szCs w:val="18"/>
          <w:color w:val="000000"/>
        </w:rPr>
        <w:t>.</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212529"/>
        </w:rPr>
        <w:t>On October 10, 2023, the Company completed a tender offer to acquire all of the outstanding shares of common stock of Zynerba Pharmaceuticals, Inc. (together with its subsidiary, Zynerba Pharmaceutical Pty, Ltd., “Zynerba”). Zynerba was a clinical-stage pharmaceutical company focused on innovative pharmaceutically produced transdermal cannabidiol therapies for orphan neurobehavioral disorders, including Fragile X Syndrome. As of July 1, 2024, Zynerba was renamed and is known as Harmony Biosciences Management, Inc.</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12529"/>
        </w:rPr>
        <w:t>On April 30, 2024, the Company acquired all of the issued and outstanding capital stock of Epygenix Therapeutics, Inc., a Wyoming corporation (“Epygenix”). As a result, the Company now has an exclusive license relating to the use of clemizole, initially for the treatment of Dravet Syndrome and Lennox-Gastaut Syndrome.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LIQUIDITY AND CAPITAL RESOURCES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consolidated financial statements have been prepared as though the Company will continue as a going concern, which contemplates the realization of assets and satisfaction of liabilities in the normal course of business. The Company had retained earnings and an accumulated deficit of $2,216 and $143,277, as of December 31, 2024, and 2023, respectively. As of December 31, 2024, the Company had cash, cash equivalents and investments of $576,060.</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The Company believes that its existing cash, cash equivalents and investments on hand as of December 31, 2024, as well as additional cash generated from operating and financing activities will meet its operational liquidity needs and fund potential investing activities for the next twelve months from the date of issuance of these consolidated financial statements.</w:t>
      </w:r>
    </w:p>
    <w:p>
      <w:pPr>
        <w:spacing w:after="0" w:line="169" w:lineRule="exact"/>
        <w:rPr>
          <w:sz w:val="20"/>
          <w:szCs w:val="20"/>
          <w:color w:val="auto"/>
        </w:rPr>
      </w:pPr>
    </w:p>
    <w:p>
      <w:pPr>
        <w:ind w:left="660" w:right="5140" w:hanging="652"/>
        <w:spacing w:after="0" w:line="485" w:lineRule="auto"/>
        <w:tabs>
          <w:tab w:leader="none" w:pos="21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648"/>
        <w:spacing w:after="0" w:line="253"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if approved; the Company’s ability to negotiate favorable licensing or other manufacturing and marketing agreements for its product candidates; and the Company’s ability to raise capital.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holds all its tangible assets, conducts its operations, and generates its revenue in the U.S. Operating segments which are defined as components of an entity for which separate financial information is available and that is regularly reviewed by the Chief Operating Decision Maker (“CODM”) in deciding how to allocate resources to an individual segment and in assessing performance. The Company has determined it operates in a single operating segment and, therefore, has one reportable segment.</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The Company’s consolidated financial statements include cash, cash equivalents, accounts payable, and accrued liabilities, all of which are short term in nature and, accordingly, approximate fair value. Additionally, prior to the initial public offering (the “IPO”), the Company’s consolidated financial statements included a warrant liability that was carried at fair value and was re-measured at each balance sheet date until it would be exercised or expired. In connection with the IPO, the Warrants were re-evaluated under the Financial Accounting Standards Board (“FASB”) Accounting Standards Codification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reclassified to equity. See Note 16 for a further discussion of the warrants.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2—Valuations based on observable inputs and quoted prices in active markets for similar assets and liabilities.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December 31, 2024, or December 31, 2023.</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in the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4"/>
                <w:szCs w:val="14"/>
                <w:b w:val="1"/>
                <w:bCs w:val="1"/>
                <w:color w:val="auto"/>
                <w:w w:val="97"/>
              </w:rPr>
              <w:t>As of</w:t>
            </w:r>
          </w:p>
        </w:tc>
      </w:tr>
      <w:tr>
        <w:trPr>
          <w:trHeight w:val="146"/>
        </w:trPr>
        <w:tc>
          <w:tcPr>
            <w:tcW w:w="740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7"/>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74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453,001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311,660</w:t>
            </w:r>
          </w:p>
        </w:tc>
      </w:tr>
      <w:tr>
        <w:trPr>
          <w:trHeight w:val="203"/>
        </w:trPr>
        <w:tc>
          <w:tcPr>
            <w:tcW w:w="7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r>
      <w:tr>
        <w:trPr>
          <w:trHeight w:val="196"/>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453,271</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311,930</w:t>
            </w: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The amortization of premiums and accretion of discounts adjust the carrying value of investments and are recorded in interest expense on the consolidated statements of operations and comprehensive income. Interest income and realized gains and losses, if any, are also recorded in interest income on the consolidated statement of operations and comprehensive income. Realized gains and losses that result from the sale of investments are determined on a specific identification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Substantially all of the Company’s cash and money market funds are held in five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is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December 31, 2024, three customers accounted for 100% of gross accounts receivable, Caremark LLC (“CVS Caremark”), which accounted for 39% of gross accounts receivable; PANTHERx Specialty Pharmacy LLC (“PANTHERx”), which accounted for 31% of gross accounts receivable; and Accredo Health Group, Inc. (“Accredo), which accounted for 30% of gross accounts receivable. As of December 31, 2023, three customers accounted for 100% of gross accounts receivable; Accredo, which accounted for 39% of gross accounts receivable, CVS Caremark, which accounted for 32% of gross accounts receivable and PANTHERx, which accounted for 29% of gross accounts receivable.</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For the year ended December 31, 2024, three customers accounted for 100% of gross product revenue; CVS Caremark accounted for 39% of gross product revenue; Accredo accounted for 34% of gross product revenue; and PANTHERx accounted for 27% of gross product revenue. For the year ended December 31, 2023, three customers accounted for 100% of gross product revenue; CVS Caremark accounted for 37% of gross product revenue; Accredo accounted for 32% of gross product revenue; and PANTHERx accounted for 31% of gross product revenue. For the year ended December 31, 2022, three customers accounted for 100% of gross product revenue; CVS Caremark accounted for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42% of gross product revenue; PANTHERx accounted for 29% of gross products revenue; and Accredo accounted for 29% of gross product revenue.</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depends on a single supplier of the active pharmaceutical ingredient (“API”) for its commercial product, WAKIX, and single API suppliers for each of its potential product candidates.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Inventory is valued at the lower of cost or net realizable value. Cost is determined using the specific identification method for all inventory. Our policy is to write down inventory that has become obsolete, that has a cost basis in excess of its expected net realizable value and/or that we have quantities in excess of expected future demand. The estimate of excess quantities is subjective and primarily dependent on our estimates of future demand. If our estimate of future demand changes, we consider the impact on the reserve for excess inventory and adjust the reserve as required. Inventory reserves are recorded as a component of cost of product sales in our consolidated statement of operations.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may capitalize inventory costs associated with products prior to regulatory approval when future commercialization is probable.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Property and Equipment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between three and ten years. Leasehold improvements are depreciated using the straight-line method over the shorter of the estimated useful life of the asset or the term of the lease. The Company’s leasehold improvements primarily relate to its corporate headquarters in Plymouth Meeting, PA, and have been fully depreciated as of December 31, 2024. When assets are retired or otherwise disposed of, the cost and accumulated depreciation are removed from the balance sheet and any resulting gain or loss is reflected in the consolidated statement of operations and comprehensive income (loss) in the period realized.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Intangible assets with finite useful lives consist primarily of purchased developed technology and are amortized on a straight-line basis over their estimated useful lives.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account for contracts with our customers in accordance with ASC 606, Revenue from Contracts with Customers (ASC 606), or ASC 606.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The amount of variable consideration which is included in the transaction price may be constrained and is included in the net sales price only to the extent that it is probable that a significant reversal in the amount of the cumulative revenue recognized under contracts will not occur in a future period. Our analyses contemplate the application of the constraint in accordance with ASC 606.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determined that the delivery of our product to our customer constitutes a single performance obligation as there are no other promises to deliver goods or services in contracts with our customers. Shipping and handling activities are considered to be fulfilment activities and are not considered to be a separate performance obligation. The payment terms with our customers do not exceed one year and therefore, no amount of consideration has been allocated as a financing component. Taxes collected related to product sales are remitted to governmental authorities and are excluded from revenue.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recognize revenue from sales of WAKIX when the customer obtains control of the product which occurs at a point in time, typically upon delivery. Product revenue is recorded at the product’s list price, net of applicable reserves for variable consideration that are offered within contracts between us and our customers, payors, and other indirect customers relating to the sale of WAKIX. Components of variable consideration include government (as detailed below) and commercial contracts, commercial co-payment assistance program, and distribution service fees. These deductions are based on the amounts earned, or to be claimed on the related sales, and are classified as a current liability or reduction of receivables in our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Contracts</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entered into contracts (i) to participate in the Medicaid Drug Rebate Program and the Medicare Part D program, and (ii) to sell to the U.S. Department of Veterans Affairs, 340b entities and other government agencies, or government payors, so that WAKIX will be eligible for purchase by, in partial or full reimbursement from, such government payors. We record reserves for rebates due pursuant to these contracts as a reduction of revenue in the same period in which the revenue is recognized. The liability for government rebates is included in accrued expenses in our consolidated balance sheet.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estimate rebates due pursuant to government contracts based upon our historical payment trends, information obtained from third parties estimating current payment trends, the government-mandated discounts applicable to government-funded programs, as well as information obtained from our customers. The liability for these government rebates consists of estimates of claims for WAKIX dispensed in the current period, plus an estimate for product which has shipped and has been recognized as revenue but remains in the distribution channel at the end of a reporting period.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Sold</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Cost of product sold includes manufacturing and distribution costs, the cost of drug substance, FDA program fees, royalties due to third parties on net product sales, freight, shipping, handling, storage costs, and salaries of employees involved with production.</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Research and development costs are expensed as incurred. Liabilities due to third parties in connection with research and development collaborations prior to regulatory approval are expensed as incurred.</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Upfront payments and pre-FDA approval milestone payments made for licensing of technology are expensed as research and development in the period in which they are incurred. Advance payments for goods and services to be received in the future for use in research and development activities are recorded as prepaid expenses. The prepaid amounts are expensed as the related goods are delivered or the services are performed.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Advertising Expenses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were $27,556, $21,544 and $22,428 for the years ended December 31, 2024, 2023 and 2022,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recognizes stock-based compensation expense in operating results using a fair value measurement method, in accordance with FASB ASC 718, Compensation-Stock Compensation. ASC 718 requires all stock-based payments to employees to be recognized in operating results as compensation expense based on fair value over the requisite service period of the awards. The vesting periods have a time-based provision consisting of one to five years and expire no more than 10 years after the date of grant. Upon a change of control, certain unvested awards will immediately vest. The Company determines the fair value of stock-based awards on their grant date using the Black-Scholes option-pricing model, which uses both historical and current market data to estimate fair value. The method incorporates various assumptions, such as the risk-free interest rate, expected volatility, expected dividend yield, and expected life of the options. The Company recognizes forfeitures as they occur.</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Basic and Diluted Net Income per Share</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Basic net income per share is determined using the weighted average number of shares of common stock outstanding during each period. Diluted net income per share includes the effect, if any, from the potential exercise or conversion of securities, such as stock options, and warrants which would result in the issuance of incremental shares of common stock.</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Our accounting for deferred tax consequences represents the best estimate of those future events. The Company presents deferred income taxes on the Consolidated Balance Sheet on a jurisdictional basis as either a net noncurrent asset or liability.</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sustainable, based solely on its technical merits and consideration of the relevant taxing authority’s widely understood administrative practices and precedents. Recognized income tax positions are measured at the largest amount that is greater than 50% likely of being realized. Changes in recognition or measurement are reflected in the period in which a change in judgment occurs. At December 31, 2024 and 2023, the Company did not have any unrecognized uncertain tax positions. The Company’s policy is to include any interest and penalties as a component of income tax expense.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Business Combinations. 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for a more detailed discussion of the Company’s acquisition of Zynerba and Epygenix.</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In November 2023, the FASB issued Accounting Standards Update (“ASU”) No. 2023-07, </w:t>
      </w:r>
      <w:r>
        <w:rPr>
          <w:rFonts w:ascii="Arial" w:cs="Arial" w:eastAsia="Arial" w:hAnsi="Arial"/>
          <w:sz w:val="18"/>
          <w:szCs w:val="18"/>
          <w:i w:val="1"/>
          <w:iCs w:val="1"/>
          <w:color w:val="auto"/>
        </w:rPr>
        <w:t>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 Disclosures </w:t>
      </w:r>
      <w:r>
        <w:rPr>
          <w:rFonts w:ascii="Arial" w:cs="Arial" w:eastAsia="Arial" w:hAnsi="Arial"/>
          <w:sz w:val="18"/>
          <w:szCs w:val="18"/>
          <w:color w:val="auto"/>
        </w:rPr>
        <w:t>(“ASU 2023-07”). ASU 2023-07 is intended to improve reportable segment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enhanced disclosure of reportable segment expenses and requires that a public entity that has a single reportable segment provide all the disclosures required by ASU 2023-07 and all existing segment disclosures in Topic 280. This ASU was effective for annual reporting periods beginning after December 15, 2023, and interim periods within fiscal years beginning after December 15, 2024. Early adoption was permitted. ASU 2023-07 was required to be applied retrospectively to all prior periods presented in the financial statements. The Company adopted this guidance in the fourth quarter of 2024. This pronouncement addresses disclosures only and had no impact on its consolidated financial results.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In December 2023, the FASB issued Accounting Standards Update (“ASU”) No 2023-09,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Income Tax Disclosures” </w:t>
      </w:r>
      <w:r>
        <w:rPr>
          <w:rFonts w:ascii="Arial" w:cs="Arial" w:eastAsia="Arial" w:hAnsi="Arial"/>
          <w:sz w:val="18"/>
          <w:szCs w:val="18"/>
          <w:color w:val="auto"/>
        </w:rPr>
        <w:t>(“ASU 2023-09”). ASU 2023-09 expands disclosures in the rate reconciliation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disclosure of income taxes paid by jurisdiction. ASU 2023-09 is effective for fiscal years beginning after December 15, 2024. Early adoption is permitted. The Company is currently evaluating the impact that ASU 2023-09 will have on its consolidated financial statements.</w:t>
      </w:r>
    </w:p>
    <w:p>
      <w:pPr>
        <w:spacing w:after="0" w:line="16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 Disaggregation Disclosures (Subtopic 220-40)</w:t>
      </w:r>
      <w:r>
        <w:rPr>
          <w:rFonts w:ascii="Arial" w:cs="Arial" w:eastAsia="Arial" w:hAnsi="Arial"/>
          <w:sz w:val="18"/>
          <w:szCs w:val="18"/>
          <w:color w:val="auto"/>
        </w:rPr>
        <w:t>. ASU 2024-03 requires disclosure, in the notes to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specified information about certain costs and expenses, including amounts of purchases of inventory, employee compensation, depreciation, and intangible asset amortization included in each relevant expense caption, as well as a qualitative description of amounts remaining in relevant expense captions that are not separately disaggregated quantitatively. ASU 2024-03 also requires disclosure of the total amount of selling expenses and, in annual periods, an entity’s definition of selling expenses. ASU 2024-03 is effective for fiscal years beginning after December 15, 2026, and interim periods within fiscal years beginning after December 15, 2027. The guidance may be applied prospectively or retrospectively. Early adoption is permitted. The Company is currently evaluating the impact that ASU 2024-03 will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Zynerba</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October 2023, the Company completed a tender offer to purchase the outstanding common stock of Zynerba (“Zynerba Common Stock”) for (i) $1.1059 per share of Zynerba Common Stock (the “Common Cash Amount”),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amount of consideration to acquire Zynerba Common Stock was $60,000, excluding transaction-related fees of $2,645 and was paid by the Company using cash on hand.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500" w:type="dxa"/>
            <w:vAlign w:val="bottom"/>
          </w:tcPr>
          <w:p>
            <w:pPr>
              <w:ind w:left="640"/>
              <w:spacing w:after="0"/>
              <w:rPr>
                <w:sz w:val="20"/>
                <w:szCs w:val="20"/>
                <w:color w:val="auto"/>
              </w:rPr>
            </w:pPr>
            <w:r>
              <w:rPr>
                <w:rFonts w:ascii="Arial" w:cs="Arial" w:eastAsia="Arial" w:hAnsi="Arial"/>
                <w:sz w:val="18"/>
                <w:szCs w:val="18"/>
                <w:color w:val="auto"/>
              </w:rPr>
              <w:t>The total purchase consideration for Zynerba was as follows:</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Cash consideration paid to selling shareholders (i)</w:t>
            </w:r>
          </w:p>
        </w:tc>
        <w:tc>
          <w:tcPr>
            <w:tcW w:w="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line="216" w:lineRule="exact"/>
              <w:rPr>
                <w:sz w:val="20"/>
                <w:szCs w:val="20"/>
                <w:color w:val="auto"/>
              </w:rPr>
            </w:pPr>
            <w:r>
              <w:rPr>
                <w:rFonts w:ascii="Arial" w:cs="Arial" w:eastAsia="Arial" w:hAnsi="Arial"/>
                <w:sz w:val="20"/>
                <w:szCs w:val="20"/>
                <w:color w:val="auto"/>
              </w:rPr>
              <w:t>Cash consideration paid to settle Zynerba restricted stock awards ("RSAs") as stock options (ii)</w:t>
            </w:r>
          </w:p>
        </w:tc>
        <w:tc>
          <w:tcPr>
            <w:tcW w:w="36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20"/>
                <w:szCs w:val="20"/>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Transaction costs</w:t>
            </w:r>
          </w:p>
        </w:tc>
        <w:tc>
          <w:tcPr>
            <w:tcW w:w="3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2,645</w:t>
            </w:r>
          </w:p>
        </w:tc>
        <w:tc>
          <w:tcPr>
            <w:tcW w:w="0" w:type="dxa"/>
            <w:vAlign w:val="bottom"/>
          </w:tcPr>
          <w:p>
            <w:pPr>
              <w:spacing w:after="0"/>
              <w:rPr>
                <w:sz w:val="1"/>
                <w:szCs w:val="1"/>
                <w:color w:val="auto"/>
              </w:rPr>
            </w:pPr>
          </w:p>
        </w:tc>
      </w:tr>
      <w:tr>
        <w:trPr>
          <w:trHeight w:val="210"/>
        </w:trPr>
        <w:tc>
          <w:tcPr>
            <w:tcW w:w="8520" w:type="dxa"/>
            <w:vAlign w:val="bottom"/>
            <w:gridSpan w:val="2"/>
          </w:tcPr>
          <w:p>
            <w:pPr>
              <w:spacing w:after="0" w:line="209" w:lineRule="exact"/>
              <w:rPr>
                <w:sz w:val="20"/>
                <w:szCs w:val="20"/>
                <w:color w:val="auto"/>
              </w:rPr>
            </w:pPr>
            <w:r>
              <w:rPr>
                <w:rFonts w:ascii="Arial" w:cs="Arial" w:eastAsia="Arial" w:hAnsi="Arial"/>
                <w:sz w:val="20"/>
                <w:szCs w:val="20"/>
                <w:color w:val="auto"/>
              </w:rPr>
              <w:t>Total purchase consideration</w:t>
            </w:r>
          </w:p>
        </w:tc>
        <w:tc>
          <w:tcPr>
            <w:tcW w:w="36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62,645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1340" w:hanging="657"/>
        <w:spacing w:after="0" w:line="271"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cash consideration paid to selling shareholders was determined based on the total number of Zynerba shares tendered at closing of 50,602,656 at a per share price of $1.1059.</w:t>
      </w:r>
    </w:p>
    <w:p>
      <w:pPr>
        <w:spacing w:after="0" w:line="153" w:lineRule="exact"/>
        <w:rPr>
          <w:rFonts w:ascii="Arial" w:cs="Arial" w:eastAsia="Arial" w:hAnsi="Arial"/>
          <w:sz w:val="18"/>
          <w:szCs w:val="18"/>
          <w:color w:val="auto"/>
        </w:rPr>
      </w:pPr>
    </w:p>
    <w:p>
      <w:pPr>
        <w:jc w:val="both"/>
        <w:ind w:left="1340" w:hanging="657"/>
        <w:spacing w:after="0" w:line="253"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cash consideration paid to settle Zynerba restricted stock awards (“RSAs”) and stock options under Zynerba equity incentive plans was determined based on the total number of underlying shares of 4,000,169 at a per share price of $1.1059, less exercise price for the stock options.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consideration was paid during the year ended December 31, 2023.</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212529"/>
        </w:rPr>
        <w:t>The Zynerba Acquisition was accounted for as an asset acquisition under ASC Topic 805, Business Combinations, because substantially all of the fair value of the gross assets acquired was concentrated in a single identifiable IPR&amp;D asset, ZYN002, Zynerba’s lead asset. ZYN002 is the first and only pharmaceutically manufactured, synthetic cannabidiol, devoid of THC, formulated as a patent-protected permeation-enhanced gel for transdermal delivery through the skin and into the circulatory system and is currently in Phase III clinical trial for the potential treatment of Fragile X Syndrome.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The guidance in ASC Topic 730 Research and Development requires that both tangible and intangible identifiable research and development assets with no alternative future use be allocated a portion of the consideration transferred and recorded as research and development expense at the acquisition date. As a result, the Company recorded a charge of $2,260 related to acquired in-process research and development expense related to the ZYN002 IPR&amp;D asset during the year ended December 31, 2023.</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12529"/>
        </w:rPr>
        <w:t>The following table shows the allocation of the purchase consideration based on the relative fair value of assets acquired and liabilities assumed by the Company, after reducing the excess fair value of the IPR&amp;D asset as described above: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Assets acquired</w:t>
            </w:r>
          </w:p>
        </w:tc>
        <w:tc>
          <w:tcPr>
            <w:tcW w:w="2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6"/>
        </w:trPr>
        <w:tc>
          <w:tcPr>
            <w:tcW w:w="5940" w:type="dxa"/>
            <w:vAlign w:val="bottom"/>
          </w:tcPr>
          <w:p>
            <w:pPr>
              <w:spacing w:after="0" w:line="216" w:lineRule="exact"/>
              <w:rPr>
                <w:sz w:val="20"/>
                <w:szCs w:val="20"/>
                <w:color w:val="auto"/>
              </w:rPr>
            </w:pPr>
            <w:r>
              <w:rPr>
                <w:rFonts w:ascii="Arial" w:cs="Arial" w:eastAsia="Arial" w:hAnsi="Arial"/>
                <w:sz w:val="20"/>
                <w:szCs w:val="20"/>
                <w:color w:val="auto"/>
              </w:rPr>
              <w:t>Cash and cash equivalents</w:t>
            </w:r>
          </w:p>
        </w:tc>
        <w:tc>
          <w:tcPr>
            <w:tcW w:w="2120" w:type="dxa"/>
            <w:vAlign w:val="bottom"/>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1860" w:type="dxa"/>
            <w:vAlign w:val="bottom"/>
          </w:tcPr>
          <w:p>
            <w:pPr>
              <w:jc w:val="right"/>
              <w:spacing w:after="0" w:line="216" w:lineRule="exact"/>
              <w:rPr>
                <w:sz w:val="20"/>
                <w:szCs w:val="20"/>
                <w:color w:val="auto"/>
              </w:rPr>
            </w:pPr>
            <w:r>
              <w:rPr>
                <w:rFonts w:ascii="Arial" w:cs="Arial" w:eastAsia="Arial" w:hAnsi="Arial"/>
                <w:sz w:val="20"/>
                <w:szCs w:val="20"/>
                <w:color w:val="auto"/>
              </w:rPr>
              <w:t>25,658</w:t>
            </w:r>
          </w:p>
        </w:tc>
      </w:tr>
      <w:tr>
        <w:trPr>
          <w:trHeight w:val="216"/>
        </w:trPr>
        <w:tc>
          <w:tcPr>
            <w:tcW w:w="59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Prepaid expenses and other current assets</w:t>
            </w:r>
          </w:p>
        </w:tc>
        <w:tc>
          <w:tcPr>
            <w:tcW w:w="2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3,540</w:t>
            </w:r>
          </w:p>
        </w:tc>
      </w:tr>
      <w:tr>
        <w:trPr>
          <w:trHeight w:val="216"/>
        </w:trPr>
        <w:tc>
          <w:tcPr>
            <w:tcW w:w="5940" w:type="dxa"/>
            <w:vAlign w:val="bottom"/>
          </w:tcPr>
          <w:p>
            <w:pPr>
              <w:spacing w:after="0" w:line="216" w:lineRule="exact"/>
              <w:rPr>
                <w:sz w:val="20"/>
                <w:szCs w:val="20"/>
                <w:color w:val="auto"/>
              </w:rPr>
            </w:pPr>
            <w:r>
              <w:rPr>
                <w:rFonts w:ascii="Arial" w:cs="Arial" w:eastAsia="Arial" w:hAnsi="Arial"/>
                <w:sz w:val="20"/>
                <w:szCs w:val="20"/>
                <w:color w:val="auto"/>
              </w:rPr>
              <w:t>Deferred tax asset</w:t>
            </w:r>
          </w:p>
        </w:tc>
        <w:tc>
          <w:tcPr>
            <w:tcW w:w="2120" w:type="dxa"/>
            <w:vAlign w:val="bottom"/>
          </w:tcPr>
          <w:p>
            <w:pPr>
              <w:spacing w:after="0"/>
              <w:rPr>
                <w:sz w:val="18"/>
                <w:szCs w:val="18"/>
                <w:color w:val="auto"/>
              </w:rPr>
            </w:pPr>
          </w:p>
        </w:tc>
        <w:tc>
          <w:tcPr>
            <w:tcW w:w="1860" w:type="dxa"/>
            <w:vAlign w:val="bottom"/>
          </w:tcPr>
          <w:p>
            <w:pPr>
              <w:jc w:val="right"/>
              <w:spacing w:after="0" w:line="216" w:lineRule="exact"/>
              <w:rPr>
                <w:sz w:val="20"/>
                <w:szCs w:val="20"/>
                <w:color w:val="auto"/>
              </w:rPr>
            </w:pPr>
            <w:r>
              <w:rPr>
                <w:rFonts w:ascii="Arial" w:cs="Arial" w:eastAsia="Arial" w:hAnsi="Arial"/>
                <w:sz w:val="20"/>
                <w:szCs w:val="20"/>
                <w:color w:val="auto"/>
              </w:rPr>
              <w:t>44,800</w:t>
            </w:r>
          </w:p>
        </w:tc>
      </w:tr>
      <w:tr>
        <w:trPr>
          <w:trHeight w:val="216"/>
        </w:trPr>
        <w:tc>
          <w:tcPr>
            <w:tcW w:w="59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Restricted cash</w:t>
            </w:r>
          </w:p>
        </w:tc>
        <w:tc>
          <w:tcPr>
            <w:tcW w:w="2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w:t>
            </w:r>
          </w:p>
        </w:tc>
      </w:tr>
      <w:tr>
        <w:trPr>
          <w:trHeight w:val="216"/>
        </w:trPr>
        <w:tc>
          <w:tcPr>
            <w:tcW w:w="594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Acquired in-process research and development</w:t>
            </w:r>
          </w:p>
        </w:tc>
        <w:tc>
          <w:tcPr>
            <w:tcW w:w="21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2,260</w:t>
            </w:r>
          </w:p>
        </w:tc>
      </w:tr>
      <w:tr>
        <w:trPr>
          <w:trHeight w:val="209"/>
        </w:trPr>
        <w:tc>
          <w:tcPr>
            <w:tcW w:w="594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Total assets acquired</w:t>
            </w:r>
          </w:p>
        </w:tc>
        <w:tc>
          <w:tcPr>
            <w:tcW w:w="2120" w:type="dxa"/>
            <w:vAlign w:val="bottom"/>
            <w:shd w:val="clear" w:color="auto" w:fill="CCEEFF"/>
          </w:tcPr>
          <w:p>
            <w:pPr>
              <w:jc w:val="right"/>
              <w:ind w:right="141"/>
              <w:spacing w:after="0" w:line="209" w:lineRule="exact"/>
              <w:rPr>
                <w:sz w:val="20"/>
                <w:szCs w:val="20"/>
                <w:color w:val="auto"/>
              </w:rPr>
            </w:pPr>
            <w:r>
              <w:rPr>
                <w:rFonts w:ascii="Arial" w:cs="Arial" w:eastAsia="Arial" w:hAnsi="Arial"/>
                <w:sz w:val="20"/>
                <w:szCs w:val="20"/>
                <w:color w:val="auto"/>
              </w:rPr>
              <w:t>$</w:t>
            </w:r>
          </w:p>
        </w:tc>
        <w:tc>
          <w:tcPr>
            <w:tcW w:w="186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76,278</w:t>
            </w:r>
          </w:p>
        </w:tc>
      </w:tr>
      <w:tr>
        <w:trPr>
          <w:trHeight w:val="210"/>
        </w:trPr>
        <w:tc>
          <w:tcPr>
            <w:tcW w:w="5940" w:type="dxa"/>
            <w:vAlign w:val="bottom"/>
          </w:tcPr>
          <w:p>
            <w:pPr>
              <w:spacing w:after="0" w:line="209" w:lineRule="exact"/>
              <w:rPr>
                <w:sz w:val="20"/>
                <w:szCs w:val="20"/>
                <w:color w:val="auto"/>
              </w:rPr>
            </w:pPr>
            <w:r>
              <w:rPr>
                <w:rFonts w:ascii="Arial" w:cs="Arial" w:eastAsia="Arial" w:hAnsi="Arial"/>
                <w:sz w:val="20"/>
                <w:szCs w:val="20"/>
                <w:b w:val="1"/>
                <w:bCs w:val="1"/>
                <w:color w:val="auto"/>
              </w:rPr>
              <w:t>Liabilities assumed</w:t>
            </w:r>
          </w:p>
        </w:tc>
        <w:tc>
          <w:tcPr>
            <w:tcW w:w="2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Accounts payable</w:t>
            </w:r>
          </w:p>
        </w:tc>
        <w:tc>
          <w:tcPr>
            <w:tcW w:w="2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4,995</w:t>
            </w:r>
          </w:p>
        </w:tc>
      </w:tr>
      <w:tr>
        <w:trPr>
          <w:trHeight w:val="216"/>
        </w:trPr>
        <w:tc>
          <w:tcPr>
            <w:tcW w:w="5940" w:type="dxa"/>
            <w:vAlign w:val="bottom"/>
          </w:tcPr>
          <w:p>
            <w:pPr>
              <w:spacing w:after="0" w:line="216" w:lineRule="exact"/>
              <w:rPr>
                <w:sz w:val="20"/>
                <w:szCs w:val="20"/>
                <w:color w:val="auto"/>
              </w:rPr>
            </w:pPr>
            <w:r>
              <w:rPr>
                <w:rFonts w:ascii="Arial" w:cs="Arial" w:eastAsia="Arial" w:hAnsi="Arial"/>
                <w:sz w:val="20"/>
                <w:szCs w:val="20"/>
                <w:color w:val="auto"/>
              </w:rPr>
              <w:t>Accrued expenses and accrued compensation</w:t>
            </w:r>
          </w:p>
        </w:tc>
        <w:tc>
          <w:tcPr>
            <w:tcW w:w="2120" w:type="dxa"/>
            <w:vAlign w:val="bottom"/>
          </w:tcPr>
          <w:p>
            <w:pPr>
              <w:spacing w:after="0"/>
              <w:rPr>
                <w:sz w:val="18"/>
                <w:szCs w:val="18"/>
                <w:color w:val="auto"/>
              </w:rPr>
            </w:pPr>
          </w:p>
        </w:tc>
        <w:tc>
          <w:tcPr>
            <w:tcW w:w="1860" w:type="dxa"/>
            <w:vAlign w:val="bottom"/>
          </w:tcPr>
          <w:p>
            <w:pPr>
              <w:jc w:val="right"/>
              <w:spacing w:after="0" w:line="216" w:lineRule="exact"/>
              <w:rPr>
                <w:sz w:val="20"/>
                <w:szCs w:val="20"/>
                <w:color w:val="auto"/>
              </w:rPr>
            </w:pPr>
            <w:r>
              <w:rPr>
                <w:rFonts w:ascii="Arial" w:cs="Arial" w:eastAsia="Arial" w:hAnsi="Arial"/>
                <w:sz w:val="20"/>
                <w:szCs w:val="20"/>
                <w:color w:val="auto"/>
              </w:rPr>
              <w:t>8,479</w:t>
            </w:r>
          </w:p>
        </w:tc>
      </w:tr>
      <w:tr>
        <w:trPr>
          <w:trHeight w:val="216"/>
        </w:trPr>
        <w:tc>
          <w:tcPr>
            <w:tcW w:w="59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Other current liabilities</w:t>
            </w:r>
          </w:p>
        </w:tc>
        <w:tc>
          <w:tcPr>
            <w:tcW w:w="212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159</w:t>
            </w:r>
          </w:p>
        </w:tc>
      </w:tr>
      <w:tr>
        <w:trPr>
          <w:trHeight w:val="210"/>
        </w:trPr>
        <w:tc>
          <w:tcPr>
            <w:tcW w:w="5940" w:type="dxa"/>
            <w:vAlign w:val="bottom"/>
            <w:tcBorders>
              <w:bottom w:val="single" w:sz="8" w:color="CCEEFF"/>
            </w:tcBorders>
          </w:tcPr>
          <w:p>
            <w:pPr>
              <w:spacing w:after="0" w:line="209" w:lineRule="exact"/>
              <w:rPr>
                <w:sz w:val="20"/>
                <w:szCs w:val="20"/>
                <w:color w:val="auto"/>
              </w:rPr>
            </w:pPr>
            <w:r>
              <w:rPr>
                <w:rFonts w:ascii="Arial" w:cs="Arial" w:eastAsia="Arial" w:hAnsi="Arial"/>
                <w:sz w:val="20"/>
                <w:szCs w:val="20"/>
                <w:color w:val="auto"/>
              </w:rPr>
              <w:t>Total liabilities assumed</w:t>
            </w:r>
          </w:p>
        </w:tc>
        <w:tc>
          <w:tcPr>
            <w:tcW w:w="2120" w:type="dxa"/>
            <w:vAlign w:val="bottom"/>
            <w:tcBorders>
              <w:bottom w:val="single" w:sz="8" w:color="CCEEFF"/>
            </w:tcBorders>
          </w:tcPr>
          <w:p>
            <w:pPr>
              <w:jc w:val="right"/>
              <w:ind w:right="141"/>
              <w:spacing w:after="0" w:line="209" w:lineRule="exact"/>
              <w:rPr>
                <w:sz w:val="20"/>
                <w:szCs w:val="20"/>
                <w:color w:val="auto"/>
              </w:rPr>
            </w:pPr>
            <w:r>
              <w:rPr>
                <w:rFonts w:ascii="Arial" w:cs="Arial" w:eastAsia="Arial" w:hAnsi="Arial"/>
                <w:sz w:val="20"/>
                <w:szCs w:val="20"/>
                <w:color w:val="auto"/>
              </w:rPr>
              <w:t>$</w:t>
            </w:r>
          </w:p>
        </w:tc>
        <w:tc>
          <w:tcPr>
            <w:tcW w:w="18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13,633</w:t>
            </w:r>
          </w:p>
        </w:tc>
      </w:tr>
      <w:tr>
        <w:trPr>
          <w:trHeight w:val="209"/>
        </w:trPr>
        <w:tc>
          <w:tcPr>
            <w:tcW w:w="5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spacing w:after="0"/>
              <w:rPr>
                <w:sz w:val="18"/>
                <w:szCs w:val="18"/>
                <w:color w:val="auto"/>
              </w:rPr>
            </w:pPr>
          </w:p>
        </w:tc>
      </w:tr>
      <w:tr>
        <w:trPr>
          <w:trHeight w:val="210"/>
        </w:trPr>
        <w:tc>
          <w:tcPr>
            <w:tcW w:w="5940" w:type="dxa"/>
            <w:vAlign w:val="bottom"/>
          </w:tcPr>
          <w:p>
            <w:pPr>
              <w:spacing w:after="0" w:line="209" w:lineRule="exact"/>
              <w:rPr>
                <w:sz w:val="20"/>
                <w:szCs w:val="20"/>
                <w:color w:val="auto"/>
              </w:rPr>
            </w:pPr>
            <w:r>
              <w:rPr>
                <w:rFonts w:ascii="Arial" w:cs="Arial" w:eastAsia="Arial" w:hAnsi="Arial"/>
                <w:sz w:val="20"/>
                <w:szCs w:val="20"/>
                <w:b w:val="1"/>
                <w:bCs w:val="1"/>
                <w:color w:val="auto"/>
              </w:rPr>
              <w:t>Net assets acquired</w:t>
            </w:r>
          </w:p>
        </w:tc>
        <w:tc>
          <w:tcPr>
            <w:tcW w:w="2120" w:type="dxa"/>
            <w:vAlign w:val="bottom"/>
          </w:tcPr>
          <w:p>
            <w:pPr>
              <w:jc w:val="right"/>
              <w:ind w:right="141"/>
              <w:spacing w:after="0" w:line="209" w:lineRule="exact"/>
              <w:rPr>
                <w:sz w:val="20"/>
                <w:szCs w:val="20"/>
                <w:color w:val="auto"/>
              </w:rPr>
            </w:pPr>
            <w:r>
              <w:rPr>
                <w:rFonts w:ascii="Arial" w:cs="Arial" w:eastAsia="Arial" w:hAnsi="Arial"/>
                <w:sz w:val="20"/>
                <w:szCs w:val="20"/>
                <w:color w:val="auto"/>
              </w:rPr>
              <w:t>$</w:t>
            </w:r>
          </w:p>
        </w:tc>
        <w:tc>
          <w:tcPr>
            <w:tcW w:w="18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62,645</w:t>
            </w:r>
          </w:p>
        </w:tc>
      </w:tr>
      <w:tr>
        <w:trPr>
          <w:trHeight w:val="20"/>
        </w:trPr>
        <w:tc>
          <w:tcPr>
            <w:tcW w:w="5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Acquisition of Epygenix</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212529"/>
        </w:rPr>
        <w:t>On April 30, 2024, the Company acquired all of the issued and outstanding capital stock of Epygenix pursuant to the terms of a stock purchase agreement. The Company paid the former stockholders of Epygenix up front consideration of $35,000 less a working capital adjustment. In addition, the Company will be obligated to pay up to $130,000 upon the achievement of development and regulatory milestones and up to $515,000 upon the achievement of certain sales-based milestones, in each case to Epygenix’s former stockholders. As a result, the Company now has an exclusive license relating to the use of clemizole, initially for the treatment of Dravet Syndrome and Lennox-Gastaut Syndrome.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212529"/>
              </w:rPr>
              <w:t>The total purchase consideration for Epygenix was as follows:</w:t>
            </w: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consideration paid to selling shareholders and to settle restricted stock units ("RSUs")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Transaction costs</w:t>
            </w:r>
          </w:p>
        </w:tc>
        <w:tc>
          <w:tcPr>
            <w:tcW w:w="6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purchase consideration</w:t>
            </w:r>
          </w:p>
        </w:tc>
        <w:tc>
          <w:tcPr>
            <w:tcW w:w="6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12529"/>
        </w:rPr>
        <w:t>The acquisition of Epygenix was accounted for as an asset acquisition under ASC Topic 805, Business Combinations. The Company did not acquire any outputs and there was not an acquired substantive process in place to create outputs. The Company recognized the acquired assets and assumed liabilities based on the consideration paid,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212529"/>
        </w:rPr>
        <w:t>including transaction costs, on a relative fair value basis, and after first allocating the preliminary excess of the fair value of net assets acquired over the purchase price consideration to certain qualifying assets, principally, the IPR&amp;D asset. In accordance with the accounting for asset acquisitions, an entity that acquires IPR&amp;D assets in an asset acquisition follows the guidance in ASC Topic 730, Research and Development, which requires that both tangible and intangible identifiable research and development assets with no alternative future use be allocated a portion of the consideration transferred and recorded as research and development expense at the acquisition date. As a result, the Company recorded a charge of $17,095 related to acquired in-process research and development expense during the year ended December 31, 2024.</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12529"/>
        </w:rPr>
        <w:t>The following table shows the allocation of the purchase consideration based on the relative fair value of assets acquired and liabilities assumed by the Company, after reducing the excess fair value of the IPR&amp;D asset as described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2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2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17,095</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w:t>
            </w:r>
          </w:p>
        </w:tc>
        <w:tc>
          <w:tcPr>
            <w:tcW w:w="2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18,268</w:t>
            </w:r>
          </w:p>
        </w:tc>
        <w:tc>
          <w:tcPr>
            <w:tcW w:w="0" w:type="dxa"/>
            <w:vAlign w:val="bottom"/>
          </w:tcPr>
          <w:p>
            <w:pPr>
              <w:spacing w:after="0"/>
              <w:rPr>
                <w:sz w:val="1"/>
                <w:szCs w:val="1"/>
                <w:color w:val="auto"/>
              </w:rPr>
            </w:pPr>
          </w:p>
        </w:tc>
      </w:tr>
      <w:tr>
        <w:trPr>
          <w:trHeight w:val="203"/>
        </w:trPr>
        <w:tc>
          <w:tcPr>
            <w:tcW w:w="6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w:t>
            </w:r>
          </w:p>
        </w:tc>
        <w:tc>
          <w:tcPr>
            <w:tcW w:w="24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 acquired</w:t>
            </w:r>
          </w:p>
        </w:tc>
        <w:tc>
          <w:tcPr>
            <w:tcW w:w="2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35,953</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Total liabilities assumed</w:t>
            </w:r>
          </w:p>
        </w:tc>
        <w:tc>
          <w:tcPr>
            <w:tcW w:w="24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Pr>
          <w:p>
            <w:pPr>
              <w:spacing w:after="0" w:line="196" w:lineRule="exact"/>
              <w:rPr>
                <w:sz w:val="20"/>
                <w:szCs w:val="20"/>
                <w:color w:val="auto"/>
              </w:rPr>
            </w:pPr>
            <w:r>
              <w:rPr>
                <w:rFonts w:ascii="Arial" w:cs="Arial" w:eastAsia="Arial" w:hAnsi="Arial"/>
                <w:sz w:val="18"/>
                <w:szCs w:val="18"/>
                <w:b w:val="1"/>
                <w:bCs w:val="1"/>
                <w:color w:val="auto"/>
              </w:rPr>
              <w:t>Net assets acquired</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33,136</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5. INVESTMENTS</w:t>
            </w:r>
          </w:p>
        </w:tc>
        <w:tc>
          <w:tcPr>
            <w:tcW w:w="24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0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Amortized</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Gains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2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7,670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0" w:type="dxa"/>
            <w:vAlign w:val="bottom"/>
          </w:tcPr>
          <w:p>
            <w:pPr>
              <w:spacing w:after="0"/>
              <w:rPr>
                <w:sz w:val="1"/>
                <w:szCs w:val="1"/>
                <w:color w:val="auto"/>
              </w:rPr>
            </w:pPr>
          </w:p>
        </w:tc>
      </w:tr>
      <w:tr>
        <w:trPr>
          <w:trHeight w:val="236"/>
        </w:trPr>
        <w:tc>
          <w:tcPr>
            <w:tcW w:w="3540" w:type="dxa"/>
            <w:vAlign w:val="bottom"/>
            <w:gridSpan w:val="2"/>
          </w:tcPr>
          <w:p>
            <w:pPr>
              <w:spacing w:after="0" w:line="196" w:lineRule="exact"/>
              <w:rPr>
                <w:sz w:val="20"/>
                <w:szCs w:val="20"/>
                <w:color w:val="auto"/>
              </w:rPr>
            </w:pPr>
            <w:r>
              <w:rPr>
                <w:rFonts w:ascii="Arial" w:cs="Arial" w:eastAsia="Arial" w:hAnsi="Arial"/>
                <w:sz w:val="18"/>
                <w:szCs w:val="18"/>
                <w:color w:val="auto"/>
              </w:rPr>
              <w:t>Total short-term investments</w:t>
            </w:r>
          </w:p>
        </w:tc>
        <w:tc>
          <w:tcPr>
            <w:tcW w:w="2060" w:type="dxa"/>
            <w:vAlign w:val="bottom"/>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14,165</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Long-term:</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securities</w:t>
            </w:r>
          </w:p>
        </w:tc>
        <w:tc>
          <w:tcPr>
            <w:tcW w:w="2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investments</w:t>
            </w:r>
          </w:p>
        </w:tc>
        <w:tc>
          <w:tcPr>
            <w:tcW w:w="2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108,828</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gridSpan w:val="3"/>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Amortized</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Gains</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Losses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8"/>
                <w:szCs w:val="18"/>
                <w:color w:val="auto"/>
              </w:rPr>
              <w:t>Short-term:</w:t>
            </w: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15,968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securities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36"/>
        </w:trPr>
        <w:tc>
          <w:tcPr>
            <w:tcW w:w="3540" w:type="dxa"/>
            <w:vAlign w:val="bottom"/>
            <w:gridSpan w:val="2"/>
          </w:tcPr>
          <w:p>
            <w:pPr>
              <w:spacing w:after="0" w:line="196" w:lineRule="exact"/>
              <w:rPr>
                <w:sz w:val="20"/>
                <w:szCs w:val="20"/>
                <w:color w:val="auto"/>
              </w:rPr>
            </w:pPr>
            <w:r>
              <w:rPr>
                <w:rFonts w:ascii="Arial" w:cs="Arial" w:eastAsia="Arial" w:hAnsi="Arial"/>
                <w:sz w:val="18"/>
                <w:szCs w:val="18"/>
                <w:color w:val="auto"/>
              </w:rPr>
              <w:t>Total short-term investments</w:t>
            </w:r>
          </w:p>
        </w:tc>
        <w:tc>
          <w:tcPr>
            <w:tcW w:w="20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41,740</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Long-term:</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42,688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securities</w:t>
            </w:r>
          </w:p>
        </w:tc>
        <w:tc>
          <w:tcPr>
            <w:tcW w:w="2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line="196" w:lineRule="exact"/>
              <w:rPr>
                <w:sz w:val="20"/>
                <w:szCs w:val="20"/>
                <w:color w:val="auto"/>
              </w:rPr>
            </w:pPr>
            <w:r>
              <w:rPr>
                <w:rFonts w:ascii="Arial" w:cs="Arial" w:eastAsia="Arial" w:hAnsi="Arial"/>
                <w:sz w:val="18"/>
                <w:szCs w:val="18"/>
                <w:color w:val="auto"/>
              </w:rPr>
              <w:t>Total long-term investments</w:t>
            </w:r>
          </w:p>
        </w:tc>
        <w:tc>
          <w:tcPr>
            <w:tcW w:w="20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72,227</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60" w:type="dxa"/>
            <w:vAlign w:val="bottom"/>
            <w:vMerge w:val="restart"/>
          </w:tcPr>
          <w:p>
            <w:pPr>
              <w:jc w:val="right"/>
              <w:ind w:right="390"/>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consolidated balance sheet. The investments classified as noncurrent have original maturity dates ranging from 1-2 years. The Company did not have any available-for-sale debt security investments in a continuous unrealized loss position of greater than 12 months as of December 31, 2024, and December 31, 2023,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December 31, 2024, or December 31, 2023.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December 31, 2024</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 2023</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303,545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303,545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244,569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243,685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93,257</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93,257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58,737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58,737</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0" w:type="dxa"/>
            <w:vAlign w:val="bottom"/>
          </w:tcPr>
          <w:p>
            <w:pPr>
              <w:spacing w:after="0"/>
              <w:rPr>
                <w:sz w:val="1"/>
                <w:szCs w:val="1"/>
                <w:color w:val="auto"/>
              </w:rPr>
            </w:pPr>
          </w:p>
        </w:tc>
      </w:tr>
      <w:tr>
        <w:trPr>
          <w:trHeight w:val="196"/>
        </w:trPr>
        <w:tc>
          <w:tcPr>
            <w:tcW w:w="278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6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426,604</w:t>
            </w:r>
          </w:p>
        </w:tc>
        <w:tc>
          <w:tcPr>
            <w:tcW w:w="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303,545</w:t>
            </w:r>
          </w:p>
        </w:tc>
        <w:tc>
          <w:tcPr>
            <w:tcW w:w="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123,059</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358,538</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243,685</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114,853</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rPr>
              <w:t>7. INVENTORY</w:t>
            </w: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7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560" w:type="dxa"/>
            <w:vAlign w:val="bottom"/>
            <w:gridSpan w:val="5"/>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4"/>
          </w:tcPr>
          <w:p>
            <w:pPr>
              <w:jc w:val="right"/>
              <w:ind w:right="230"/>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ind w:right="33"/>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944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3,489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2,765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196"/>
        </w:trPr>
        <w:tc>
          <w:tcPr>
            <w:tcW w:w="2780" w:type="dxa"/>
            <w:vAlign w:val="bottom"/>
          </w:tcPr>
          <w:p>
            <w:pPr>
              <w:spacing w:after="0" w:line="196" w:lineRule="exact"/>
              <w:rPr>
                <w:sz w:val="20"/>
                <w:szCs w:val="20"/>
                <w:color w:val="auto"/>
              </w:rPr>
            </w:pPr>
            <w:r>
              <w:rPr>
                <w:rFonts w:ascii="Arial" w:cs="Arial" w:eastAsia="Arial" w:hAnsi="Arial"/>
                <w:sz w:val="18"/>
                <w:szCs w:val="18"/>
                <w:color w:val="auto"/>
              </w:rPr>
              <w:t>Total inventory, net</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7,198</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$75,000 under the provisions of the 2017 LCA (defined below) which the Company capitalized as an intangible asset. The Company determined a useful life of 10 years for the intangible asset, and, as of December 31, 2024, the remaining useful life was 4.8 years.</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w:t>
      </w:r>
      <w:r>
        <w:rPr>
          <w:rFonts w:ascii="Arial" w:cs="Arial" w:eastAsia="Arial" w:hAnsi="Arial"/>
          <w:sz w:val="13"/>
          <w:szCs w:val="13"/>
          <w:color w:val="auto"/>
        </w:rPr>
        <w:t>®</w:t>
      </w:r>
      <w:r>
        <w:rPr>
          <w:rFonts w:ascii="Arial" w:cs="Arial" w:eastAsia="Arial" w:hAnsi="Arial"/>
          <w:sz w:val="18"/>
          <w:szCs w:val="18"/>
          <w:color w:val="auto"/>
        </w:rPr>
        <w:t xml:space="preserve">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the intangible asset, and, as of December 31, 2024, the remaining useful life was 4.8 years.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the intangible asset, and, as of December 31, 2024, the remaining useful life was 4.8 years.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Amortization expense was $23,845, $23,845 and $22,966 for the years ended December 31, 2024, 2023 and 2022, respectively, and is recorded in general and administrative expenses in the consolidated statements of operations and comprehensive income (loss).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annual amortization expense for the unamortized intangible assets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40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400" w:type="dxa"/>
            <w:vAlign w:val="bottom"/>
          </w:tcPr>
          <w:p>
            <w:pPr>
              <w:ind w:left="120"/>
              <w:spacing w:after="0" w:line="202" w:lineRule="exact"/>
              <w:rPr>
                <w:sz w:val="20"/>
                <w:szCs w:val="20"/>
                <w:color w:val="auto"/>
              </w:rPr>
            </w:pPr>
            <w:r>
              <w:rPr>
                <w:rFonts w:ascii="Arial" w:cs="Arial" w:eastAsia="Arial" w:hAnsi="Arial"/>
                <w:sz w:val="18"/>
                <w:szCs w:val="18"/>
                <w:color w:val="auto"/>
              </w:rPr>
              <w:t>2028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17,883</w:t>
            </w:r>
          </w:p>
        </w:tc>
        <w:tc>
          <w:tcPr>
            <w:tcW w:w="0" w:type="dxa"/>
            <w:vAlign w:val="bottom"/>
          </w:tcPr>
          <w:p>
            <w:pPr>
              <w:spacing w:after="0"/>
              <w:rPr>
                <w:sz w:val="1"/>
                <w:szCs w:val="1"/>
                <w:color w:val="auto"/>
              </w:rPr>
            </w:pPr>
          </w:p>
        </w:tc>
      </w:tr>
      <w:tr>
        <w:trPr>
          <w:trHeight w:val="203"/>
        </w:trPr>
        <w:tc>
          <w:tcPr>
            <w:tcW w:w="74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113,263</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660"/>
              <w:spacing w:after="0"/>
              <w:rPr>
                <w:sz w:val="20"/>
                <w:szCs w:val="20"/>
                <w:color w:val="auto"/>
              </w:rPr>
            </w:pPr>
            <w:r>
              <w:rPr>
                <w:rFonts w:ascii="Arial" w:cs="Arial" w:eastAsia="Arial" w:hAnsi="Arial"/>
                <w:sz w:val="18"/>
                <w:szCs w:val="18"/>
                <w:color w:val="auto"/>
              </w:rPr>
              <w:t>The gross carrying amount and net book value of the intangible asset is as follows:</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7"/>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Carrying Amount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203"/>
        </w:trPr>
        <w:tc>
          <w:tcPr>
            <w:tcW w:w="7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(101,737)</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(77,892)</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Book Value</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113,263</w:t>
            </w: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137,108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right="4140" w:hanging="647"/>
        <w:spacing w:after="0" w:line="485" w:lineRule="auto"/>
        <w:rPr>
          <w:sz w:val="20"/>
          <w:szCs w:val="20"/>
          <w:color w:val="auto"/>
        </w:rPr>
      </w:pPr>
      <w:r>
        <w:rPr>
          <w:rFonts w:ascii="Arial" w:cs="Arial" w:eastAsia="Arial" w:hAnsi="Arial"/>
          <w:sz w:val="18"/>
          <w:szCs w:val="18"/>
          <w:b w:val="1"/>
          <w:bCs w:val="1"/>
          <w:color w:val="auto"/>
        </w:rPr>
        <w:t>9. LICENSE AGREEMENTS AND ASSET PURCHASE AGREEMENTS Bioprojet Agreements</w:t>
      </w:r>
    </w:p>
    <w:p>
      <w:pPr>
        <w:jc w:val="both"/>
        <w:ind w:firstLine="648"/>
        <w:spacing w:after="0" w:line="237"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$100,000 milestone payment was paid in January 2021. A final $ 40,000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$146,978, $111,685 and $77,107 for the years ended December 31, 2024, 2023 and 2022, respectively, for sales-based, trademark and tiered royalties recognized as cost of product sold. As of December 31, 2024, and 2023, the Company had accrued $51,746 and $40,419, respectively, for sales-based, trademark and tiered royalties.</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July 2022, Harmony entered into a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 The $30,000 licensing fee was recorded in research and development within the consolidated statement of operations and comprehensive income (loss) for the year ended December 31, 2022.</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212529"/>
        </w:rPr>
        <w:t>In April 2024, the Company announced that it entered into a sublicense agreement with Bioprojet for an orexin-2 receptor agonist (OX2R) (“BP1.15205”) to be evaluated for the treatment of narcolepsy and other potential indications (the “Sublicense”). Under the Sublicense, the Company obtained the exclusive right to develop, manufacture and commercialize BP1.15205 in the United States and Latin American territories (the “Licensed Territories”), which are rights that Bioprojet originally licensed from Teijin Pharma, the innovator of BP1.15205. BP1.15205 is currently in pre-clinical development with a Clinical Trial Application currently anticipated in mid-2025. Under the Sublicense, the Company paid Bioprojet an upfront license fee of $25,500, which the Company recognized as an IPR&amp;D charge recorded in research and development within the consolidated statements of operations and comprehensive income for the year ended December 31, 2024, and will also be obligated to pay up to $127,500 upon achievement of development and regulatory milestones and up to $240,000 upon achievement of sales-based milestones, as well as royalty rates in the mid-teens on any sales of product using the Licensed Compound in the Licensed Territories.</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w:t>
      </w:r>
      <w:r>
        <w:rPr>
          <w:rFonts w:ascii="Arial" w:cs="Arial" w:eastAsia="Arial" w:hAnsi="Arial"/>
          <w:sz w:val="18"/>
          <w:szCs w:val="18"/>
          <w:color w:val="212529"/>
        </w:rPr>
        <w:t>The Company accounted for the transaction as an asset acquisition as substantially</w:t>
      </w:r>
      <w:r>
        <w:rPr>
          <w:rFonts w:ascii="Arial" w:cs="Arial" w:eastAsia="Arial" w:hAnsi="Arial"/>
          <w:sz w:val="18"/>
          <w:szCs w:val="18"/>
          <w:color w:val="auto"/>
        </w:rPr>
        <w:t xml:space="preserve"> </w:t>
      </w:r>
      <w:r>
        <w:rPr>
          <w:rFonts w:ascii="Arial" w:cs="Arial" w:eastAsia="Arial" w:hAnsi="Arial"/>
          <w:sz w:val="18"/>
          <w:szCs w:val="18"/>
          <w:color w:val="212529"/>
        </w:rPr>
        <w:t>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consolidated statement of operations and comprehensive income for the year ended December 31, 2023. In September 2024, the Company achieved a milestone for preclinical proof-of-concept, which triggered a $1,000 payment under the provisions of the APA, which the Company recognized as an IPR&amp;D charge recorded in research and development within the consolidated statement of operations and comprehensive income for the year ended December 31, 2024. There are additional payments due under the APA upon the achievement of certain milestones including $19,000 for development milestones, $44,000 for regulatory milestones and $110,000 for sales milestones</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w w:val="97"/>
              </w:rPr>
              <w:t>As of</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2"/>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3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51,746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40,419</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50,542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38,842</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3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3,047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3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1,291</w:t>
            </w: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120,640</w:t>
            </w:r>
          </w:p>
        </w:tc>
        <w:tc>
          <w:tcPr>
            <w:tcW w:w="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99,494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160" w:type="dxa"/>
            <w:vAlign w:val="bottom"/>
            <w:vMerge w:val="restart"/>
          </w:tcPr>
          <w:p>
            <w:pPr>
              <w:jc w:val="right"/>
              <w:ind w:right="2290"/>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3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Agreements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26, 2023, the Company entered into a Credit Agreement (the “TLA Credit Agreement”) with JPMorgan Chase Bank, N.A., as “Administrative Agent”, and certain lenders. The TLA Credit Agreement provides for a five-year senior secured term loan (the “TLA Term Loan”) in an aggregate principal amount of $185,000.</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On September 21, 2023, the Company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$15,000.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quarterly $3,750 principal payments, which commence on December 31, 2023, increasing to quarterly $5,000 principal payments beginning on December 31, 2025, with a $115,000 payment due on the maturity date of July 26, 2028. The Term Loans bear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net cash received related to the Term Loans as a result of the transactions, less debt issuance costs of $2,997, was $197,003. The debt issuance costs related to the Term Loans will be amortized as additional interest expense over the loan term of the TLA Credit Agreement. The fair value of the Term Loans as of December 31, 2024, was $180,569.</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was initially available to draw down through August 9, 2022. In August 2022, the Company entered into an agreement to extend the expiration date of the DDTL to August 9, 2023, for which the Company will pay a ticking fee at a rate of 1% per annum on the undrawn portion of the DDTL, which commenced on August 10, 2022.</w:t>
      </w:r>
    </w:p>
    <w:p>
      <w:pPr>
        <w:spacing w:after="0" w:line="179" w:lineRule="exact"/>
        <w:rPr>
          <w:sz w:val="20"/>
          <w:szCs w:val="20"/>
          <w:color w:val="auto"/>
        </w:rPr>
      </w:pPr>
    </w:p>
    <w:p>
      <w:pPr>
        <w:jc w:val="both"/>
        <w:ind w:firstLine="698"/>
        <w:spacing w:after="0" w:line="253" w:lineRule="auto"/>
        <w:rPr>
          <w:sz w:val="20"/>
          <w:szCs w:val="20"/>
          <w:color w:val="auto"/>
        </w:rPr>
      </w:pPr>
      <w:r>
        <w:rPr>
          <w:rFonts w:ascii="Arial" w:cs="Arial" w:eastAsia="Arial" w:hAnsi="Arial"/>
          <w:sz w:val="18"/>
          <w:szCs w:val="18"/>
          <w:color w:val="auto"/>
        </w:rPr>
        <w:t>Net cash received from the Initial Term Loan was $191,849, net of debt issuance costs of $8,151. In addition, the Company paid $ 1,000 in debt issuance costs relating to the DDTL, which was initially recorded in other current assets within the consolidated balance sheet for the year ended December 31, 2021.</w:t>
      </w:r>
    </w:p>
    <w:p>
      <w:pPr>
        <w:spacing w:after="0" w:line="169" w:lineRule="exact"/>
        <w:rPr>
          <w:sz w:val="20"/>
          <w:szCs w:val="20"/>
          <w:color w:val="auto"/>
        </w:rPr>
      </w:pPr>
    </w:p>
    <w:p>
      <w:pPr>
        <w:jc w:val="both"/>
        <w:ind w:firstLine="698"/>
        <w:spacing w:after="0"/>
        <w:rPr>
          <w:sz w:val="20"/>
          <w:szCs w:val="20"/>
          <w:color w:val="auto"/>
        </w:rPr>
      </w:pPr>
      <w:r>
        <w:rPr>
          <w:rFonts w:ascii="Arial" w:cs="Arial" w:eastAsia="Arial" w:hAnsi="Arial"/>
          <w:sz w:val="18"/>
          <w:szCs w:val="18"/>
          <w:color w:val="auto"/>
        </w:rPr>
        <w:t>In connection with the TLA Credit Agreement, the Company extinguished the Blackstone Credit Agreement, which required a payoff amount of $207,308 consisting of principal repayment, interest, exit fees, Ticking Fee and a prepayment premium. The Company recognized a loss on extinguishment of debt of $9,766 relating to the Blackstone Credit Agreement within the Company’s consolidated statements of operation and comprehensive income for the year ended December 31, 2023. In addition, the Company recognized $1,972 relating to unamortized debt issuance costs relating to the DDTL and the Ticking Fee, which was recorded in interest expense, net within the consolidated statement of operations and comprehensive income for the year ended December 31, 2023.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 amount</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181,250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196,250</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1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(1,984)</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(2,684)</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 net</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179,266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193,566</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1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(16,250)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w:t>
            </w:r>
          </w:p>
        </w:tc>
      </w:tr>
      <w:tr>
        <w:trPr>
          <w:trHeight w:val="196"/>
        </w:trPr>
        <w:tc>
          <w:tcPr>
            <w:tcW w:w="6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1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163,016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178,566</w:t>
            </w:r>
          </w:p>
        </w:tc>
      </w:tr>
      <w:tr>
        <w:trPr>
          <w:trHeight w:val="20"/>
        </w:trPr>
        <w:tc>
          <w:tcPr>
            <w:tcW w:w="6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Future minimum payments relating to long-term debt, net as of December 31, 2024, for the periods indicated below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8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w:t>
            </w: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8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2028</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8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2029</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8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181,250</w:t>
            </w:r>
          </w:p>
        </w:tc>
      </w:tr>
      <w:tr>
        <w:trPr>
          <w:trHeight w:val="20"/>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expense related to the Company’s long-term debt, net, is included in interest expense in the consolidated statements of operations and comprehensive income (loss) and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6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55"/>
        </w:trPr>
        <w:tc>
          <w:tcPr>
            <w:tcW w:w="68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16,796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20,511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17,132</w:t>
            </w:r>
          </w:p>
        </w:tc>
      </w:tr>
      <w:tr>
        <w:trPr>
          <w:trHeight w:val="203"/>
        </w:trPr>
        <w:tc>
          <w:tcPr>
            <w:tcW w:w="6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700</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3,246</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1,663</w:t>
            </w:r>
          </w:p>
        </w:tc>
      </w:tr>
      <w:tr>
        <w:trPr>
          <w:trHeight w:val="196"/>
        </w:trPr>
        <w:tc>
          <w:tcPr>
            <w:tcW w:w="68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term loan interest expense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23,757</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18,795</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In June 2018, the Company entered into an operating lease for approximately fifteen thousand square feet of office space in Plymouth Meeting, PA, which was set to expire in May 2024. The Company subsequently entered into two separate operating leases for additional office space in Plymouth Meeting, PA, which include approximately thirteen thousand square feet and seven thousand square feet of additional office space, respectively, and were extended </w:t>
      </w:r>
      <w:r>
        <w:rPr>
          <w:rFonts w:ascii="Arial" w:cs="Arial" w:eastAsia="Arial" w:hAnsi="Arial"/>
          <w:sz w:val="18"/>
          <w:szCs w:val="18"/>
          <w:color w:val="212529"/>
        </w:rPr>
        <w:t>through June 2025.</w:t>
      </w:r>
      <w:r>
        <w:rPr>
          <w:rFonts w:ascii="Arial" w:cs="Arial" w:eastAsia="Arial" w:hAnsi="Arial"/>
          <w:sz w:val="18"/>
          <w:szCs w:val="18"/>
          <w:color w:val="auto"/>
        </w:rPr>
        <w:t xml:space="preserve"> The terms of the lease payments provide for rental payments on a monthly basis and on a graduated scale. The Company also leases a fleet of automobiles that are used by its sales representatives and are classified as operating leases.</w:t>
      </w:r>
    </w:p>
    <w:p>
      <w:pPr>
        <w:spacing w:after="0" w:line="179" w:lineRule="exact"/>
        <w:rPr>
          <w:sz w:val="20"/>
          <w:szCs w:val="20"/>
          <w:color w:val="auto"/>
        </w:rPr>
      </w:pPr>
    </w:p>
    <w:p>
      <w:pPr>
        <w:jc w:val="both"/>
        <w:ind w:firstLine="69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recorded operating lease costs of $2,099, $1,811 and $1,526 for the years ended December 31, 2024, 2023 and 2022, respectively.</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of December 31, 2024, the weighted-average remaining lease term for operating leases was 1.7 years and the weighted-average discount rate for operating leases was 7.71%.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ind w:left="1740"/>
              <w:spacing w:after="0"/>
              <w:rPr>
                <w:sz w:val="20"/>
                <w:szCs w:val="20"/>
                <w:color w:val="auto"/>
              </w:rPr>
            </w:pPr>
            <w:r>
              <w:rPr>
                <w:rFonts w:ascii="Arial" w:cs="Arial" w:eastAsia="Arial" w:hAnsi="Arial"/>
                <w:sz w:val="14"/>
                <w:szCs w:val="14"/>
                <w:b w:val="1"/>
                <w:bCs w:val="1"/>
                <w:color w:val="auto"/>
              </w:rPr>
              <w:t>Leases</w:t>
            </w:r>
          </w:p>
        </w:tc>
        <w:tc>
          <w:tcPr>
            <w:tcW w:w="3460" w:type="dxa"/>
            <w:vAlign w:val="bottom"/>
          </w:tcPr>
          <w:p>
            <w:pPr>
              <w:ind w:left="148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3460" w:type="dxa"/>
            <w:vAlign w:val="bottom"/>
          </w:tcPr>
          <w:p>
            <w:pPr>
              <w:ind w:left="42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2,122</w:t>
            </w:r>
          </w:p>
        </w:tc>
        <w:tc>
          <w:tcPr>
            <w:tcW w:w="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2,344</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Operating lease liability, current portion</w:t>
            </w:r>
          </w:p>
        </w:tc>
        <w:tc>
          <w:tcPr>
            <w:tcW w:w="3460" w:type="dxa"/>
            <w:vAlign w:val="bottom"/>
          </w:tcPr>
          <w:p>
            <w:pPr>
              <w:ind w:left="42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1,318</w:t>
            </w:r>
          </w:p>
        </w:tc>
        <w:tc>
          <w:tcPr>
            <w:tcW w:w="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1,437</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long-term</w:t>
            </w:r>
          </w:p>
        </w:tc>
        <w:tc>
          <w:tcPr>
            <w:tcW w:w="3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1,082</w:t>
            </w:r>
          </w:p>
        </w:tc>
      </w:tr>
      <w:tr>
        <w:trPr>
          <w:trHeight w:val="196"/>
        </w:trPr>
        <w:tc>
          <w:tcPr>
            <w:tcW w:w="354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34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w:t>
            </w: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2,519</w:t>
            </w:r>
          </w:p>
        </w:tc>
      </w:tr>
      <w:tr>
        <w:trPr>
          <w:trHeight w:val="20"/>
        </w:trPr>
        <w:tc>
          <w:tcPr>
            <w:tcW w:w="3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2,156</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2,016</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1,716</w:t>
            </w:r>
          </w:p>
        </w:tc>
      </w:tr>
      <w:tr>
        <w:trPr>
          <w:trHeight w:val="184"/>
        </w:trPr>
        <w:tc>
          <w:tcPr>
            <w:tcW w:w="4780" w:type="dxa"/>
            <w:vAlign w:val="bottom"/>
          </w:tcPr>
          <w:p>
            <w:pPr>
              <w:spacing w:after="0" w:line="183" w:lineRule="exact"/>
              <w:rPr>
                <w:sz w:val="20"/>
                <w:szCs w:val="20"/>
                <w:color w:val="auto"/>
              </w:rPr>
            </w:pPr>
            <w:r>
              <w:rPr>
                <w:rFonts w:ascii="Arial" w:cs="Arial" w:eastAsia="Arial" w:hAnsi="Arial"/>
                <w:sz w:val="18"/>
                <w:szCs w:val="18"/>
                <w:color w:val="auto"/>
              </w:rPr>
              <w:t>Right of use assets obtained in exchange for operating</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8"/>
                <w:szCs w:val="18"/>
                <w:color w:val="auto"/>
              </w:rPr>
              <w:t>lease obligations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1,877</w:t>
            </w: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485</w:t>
            </w:r>
          </w:p>
        </w:tc>
      </w:tr>
    </w:tbl>
    <w:p>
      <w:pPr>
        <w:spacing w:after="0" w:line="369"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December 31, 2024,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3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w:t>
            </w:r>
          </w:p>
        </w:tc>
        <w:tc>
          <w:tcPr>
            <w:tcW w:w="358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1,420</w:t>
            </w:r>
          </w:p>
        </w:tc>
      </w:tr>
      <w:tr>
        <w:trPr>
          <w:trHeight w:val="202"/>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689</w:t>
            </w: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2028</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2029</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2,278</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196"/>
        </w:trPr>
        <w:tc>
          <w:tcPr>
            <w:tcW w:w="5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2,140</w:t>
            </w:r>
          </w:p>
        </w:tc>
      </w:tr>
      <w:tr>
        <w:trPr>
          <w:trHeight w:val="20"/>
        </w:trPr>
        <w:tc>
          <w:tcPr>
            <w:tcW w:w="5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right="6260" w:hanging="652"/>
        <w:spacing w:after="0" w:line="513" w:lineRule="auto"/>
        <w:tabs>
          <w:tab w:leader="none" w:pos="312"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spacing w:after="0" w:line="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color w:val="212529"/>
        </w:rPr>
        <w:t>time to time, the Company is subject to claims and suits arising in the ordinary course of business. The</w:t>
      </w:r>
      <w:r>
        <w:rPr>
          <w:rFonts w:ascii="Arial" w:cs="Arial" w:eastAsia="Arial" w:hAnsi="Arial"/>
          <w:sz w:val="18"/>
          <w:szCs w:val="18"/>
          <w:color w:val="auto"/>
        </w:rPr>
        <w:t xml:space="preserve"> </w:t>
      </w:r>
      <w:r>
        <w:rPr>
          <w:rFonts w:ascii="Arial" w:cs="Arial" w:eastAsia="Arial" w:hAnsi="Arial"/>
          <w:sz w:val="18"/>
          <w:szCs w:val="18"/>
          <w:color w:val="212529"/>
        </w:rPr>
        <w:t>Company accrues such liabilities when they are known, if they are deemed probable and can be reasonably estimated. Accruals may be adjusted from time to time, as appropriate, in light of new information. The amount of loss incurred in relation to matters for which an accrual has been established may be higher or lower than the amounts accrued. Any expenses, fines, fees, penalties, judgments or settlements that might be incurred by the Company in connection with proceedings could have a material adverse effect on the Company’s results of operations and financial condition. As of December 31, 2024, there were no material claims or lawsuits outstanding other than the ANDA litigation discussed below</w:t>
      </w:r>
      <w:r>
        <w:rPr>
          <w:rFonts w:ascii="Arial" w:cs="Arial" w:eastAsia="Arial" w:hAnsi="Arial"/>
          <w:sz w:val="18"/>
          <w:szCs w:val="18"/>
          <w:color w:val="000000"/>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Abbreviated New Drug Application (“ANDA”) Litigation</w:t>
      </w:r>
    </w:p>
    <w:p>
      <w:pPr>
        <w:spacing w:after="0" w:line="1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212529"/>
        </w:rPr>
        <w:t>September 27, 2023, the Company and its licensor, Bioprojet, received notice from Lupin Limited (“Lupin”)</w:t>
      </w:r>
      <w:r>
        <w:rPr>
          <w:rFonts w:ascii="Arial" w:cs="Arial" w:eastAsia="Arial" w:hAnsi="Arial"/>
          <w:sz w:val="18"/>
          <w:szCs w:val="18"/>
          <w:color w:val="auto"/>
        </w:rPr>
        <w:t xml:space="preserve"> </w:t>
      </w:r>
      <w:r>
        <w:rPr>
          <w:rFonts w:ascii="Arial" w:cs="Arial" w:eastAsia="Arial" w:hAnsi="Arial"/>
          <w:sz w:val="18"/>
          <w:szCs w:val="18"/>
          <w:color w:val="212529"/>
        </w:rPr>
        <w:t xml:space="preserve">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“Lupin Notice Letter”) that Lupin has submitted ANDA No. 218846 (the “Lupin ANDA”) to the FDA and is seeking regulatory approval to market a generic version of WAKIX</w:t>
      </w:r>
      <w:r>
        <w:rPr>
          <w:rFonts w:ascii="Arial" w:cs="Arial" w:eastAsia="Arial" w:hAnsi="Arial"/>
          <w:sz w:val="14"/>
          <w:szCs w:val="14"/>
          <w:color w:val="212529"/>
          <w:vertAlign w:val="superscript"/>
        </w:rPr>
        <w:t>®</w:t>
      </w:r>
      <w:r>
        <w:rPr>
          <w:rFonts w:ascii="Arial" w:cs="Arial" w:eastAsia="Arial" w:hAnsi="Arial"/>
          <w:sz w:val="18"/>
          <w:szCs w:val="18"/>
          <w:color w:val="212529"/>
        </w:rPr>
        <w:t xml:space="preserve"> before the expiration of U.S. Patent Nos. 8,486,947 (“’947 patent”) and 8,207,197 (“’197 patent”). On September 27, 2023, the Company and Bioprojet received notice from Novugen Pharma Sdn. Bhd. (“Novugen”)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“Novugen Notice Letter”) that Novugen has submitted ANDA No. 218834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212529"/>
        </w:rPr>
        <w:t>(the “Novugen ANDA”) to the FDA and is seeking regulatory approval to market a generic version of WAKIX</w:t>
      </w:r>
      <w:r>
        <w:rPr>
          <w:rFonts w:ascii="Arial" w:cs="Arial" w:eastAsia="Arial" w:hAnsi="Arial"/>
          <w:sz w:val="14"/>
          <w:szCs w:val="14"/>
          <w:color w:val="212529"/>
          <w:vertAlign w:val="superscript"/>
        </w:rPr>
        <w:t>®</w:t>
      </w:r>
      <w:r>
        <w:rPr>
          <w:rFonts w:ascii="Arial" w:cs="Arial" w:eastAsia="Arial" w:hAnsi="Arial"/>
          <w:sz w:val="18"/>
          <w:szCs w:val="18"/>
          <w:color w:val="212529"/>
        </w:rPr>
        <w:t xml:space="preserve"> before the expiration of the ’947 patent and ’197 patent. The ’947 patent and the ‘197 patent are listed with respect to WAKIX</w:t>
      </w:r>
      <w:r>
        <w:rPr>
          <w:rFonts w:ascii="Arial" w:cs="Arial" w:eastAsia="Arial" w:hAnsi="Arial"/>
          <w:sz w:val="14"/>
          <w:szCs w:val="14"/>
          <w:color w:val="212529"/>
          <w:vertAlign w:val="superscript"/>
        </w:rPr>
        <w:t>®</w:t>
      </w:r>
      <w:r>
        <w:rPr>
          <w:rFonts w:ascii="Arial" w:cs="Arial" w:eastAsia="Arial" w:hAnsi="Arial"/>
          <w:sz w:val="18"/>
          <w:szCs w:val="18"/>
          <w:color w:val="212529"/>
        </w:rPr>
        <w:t xml:space="preserve"> in the FDA’s Orange Book and will expire in September 2029 and March 2030, respectively. The Lupin Notice Letter and the Novugen Notice Letter assert that their generic product will not infringe the ’947 patent and the ‘197 patent and/or that the ’947 patent and the ‘197 patent are invalid or unenforceable. On November 9, 2023, we, Bioprojet and Bioprojet’s wholly owned subsidiary, Bioprojet Pharma SAS (“Bioprojet Pharma”), filed a complaint for patent infringement of the ’947 patent and the ‘197 patent against Lupin, Novugen and certain of their affiliates and agents in the United States District Court for the District of Delaware in response to the filing of their respective ANDAs with the FDA.</w:t>
      </w:r>
    </w:p>
    <w:p>
      <w:pPr>
        <w:spacing w:after="0" w:line="1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212529"/>
        </w:rPr>
        <w:t xml:space="preserve">On October 12, 2023, the Company and Bioprojet received notice from Novitium Pharma LLC (“Novitium”),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“Novitium Notice Letter”), that Novitium has submitted ANDA No. 218495 (the “Novitium ANDA”) to the FDA and is seeking regulatory approval to market a generic version of WAKIX</w:t>
      </w:r>
      <w:r>
        <w:rPr>
          <w:rFonts w:ascii="Arial" w:cs="Arial" w:eastAsia="Arial" w:hAnsi="Arial"/>
          <w:sz w:val="14"/>
          <w:szCs w:val="14"/>
          <w:color w:val="212529"/>
          <w:vertAlign w:val="superscript"/>
        </w:rPr>
        <w:t>®</w:t>
      </w:r>
      <w:r>
        <w:rPr>
          <w:rFonts w:ascii="Arial" w:cs="Arial" w:eastAsia="Arial" w:hAnsi="Arial"/>
          <w:sz w:val="18"/>
          <w:szCs w:val="18"/>
          <w:color w:val="212529"/>
        </w:rPr>
        <w:t xml:space="preserve"> before the expiration of U.S. Patent No. 8,354,430 (the “’430 patent”), which is also listed with respect to WAKIX</w:t>
      </w:r>
      <w:r>
        <w:rPr>
          <w:rFonts w:ascii="Arial" w:cs="Arial" w:eastAsia="Arial" w:hAnsi="Arial"/>
          <w:sz w:val="14"/>
          <w:szCs w:val="14"/>
          <w:color w:val="212529"/>
          <w:vertAlign w:val="superscript"/>
        </w:rPr>
        <w:t>®</w:t>
      </w:r>
      <w:r>
        <w:rPr>
          <w:rFonts w:ascii="Arial" w:cs="Arial" w:eastAsia="Arial" w:hAnsi="Arial"/>
          <w:sz w:val="18"/>
          <w:szCs w:val="18"/>
          <w:color w:val="212529"/>
        </w:rPr>
        <w:t xml:space="preserve"> in the FDA’s Orange Book and will expire in February 2026, ’947 patent, and ’197 patent. On October 12, 2023, the Company and Bioprojet received notice from Zenara Pharma Pvt. Ltd. (“Zenara”),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w:t>
      </w:r>
    </w:p>
    <w:p>
      <w:pPr>
        <w:spacing w:after="0" w:line="1" w:lineRule="exact"/>
        <w:rPr>
          <w:sz w:val="20"/>
          <w:szCs w:val="20"/>
          <w:color w:val="auto"/>
        </w:rPr>
      </w:pPr>
    </w:p>
    <w:p>
      <w:pPr>
        <w:jc w:val="both"/>
        <w:ind w:firstLine="8"/>
        <w:spacing w:after="0" w:line="235" w:lineRule="auto"/>
        <w:tabs>
          <w:tab w:leader="none" w:pos="15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 xml:space="preserve">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“Zenara Notice Letter”), that Zenara has submitted ANDA No. 218796 (the “Zenara ANDA”) to the FDA and is seeking regulatory approval to market a generic version of WAKIX</w:t>
      </w:r>
      <w:r>
        <w:rPr>
          <w:rFonts w:ascii="Arial" w:cs="Arial" w:eastAsia="Arial" w:hAnsi="Arial"/>
          <w:sz w:val="14"/>
          <w:szCs w:val="14"/>
          <w:color w:val="212529"/>
          <w:vertAlign w:val="superscript"/>
        </w:rPr>
        <w:t>®</w:t>
      </w:r>
      <w:r>
        <w:rPr>
          <w:rFonts w:ascii="Arial" w:cs="Arial" w:eastAsia="Arial" w:hAnsi="Arial"/>
          <w:sz w:val="18"/>
          <w:szCs w:val="18"/>
          <w:color w:val="212529"/>
        </w:rPr>
        <w:t xml:space="preserve"> before the expiration of the ’430 patent, ’947 patent and the ’197 patent. On October 14, 2023, the Company and Bioprojet received notice from AET Pharma US, Inc.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“AET Notice Letter”), that AET has submitted ANDA No. 218892 (the “AET ANDA”) to the FDA and is seeking regulatory approval to market a generic version of WAKIX</w:t>
      </w:r>
      <w:r>
        <w:rPr>
          <w:rFonts w:ascii="Arial" w:cs="Arial" w:eastAsia="Arial" w:hAnsi="Arial"/>
          <w:sz w:val="14"/>
          <w:szCs w:val="14"/>
          <w:color w:val="212529"/>
          <w:vertAlign w:val="superscript"/>
        </w:rPr>
        <w:t>®</w:t>
      </w:r>
      <w:r>
        <w:rPr>
          <w:rFonts w:ascii="Arial" w:cs="Arial" w:eastAsia="Arial" w:hAnsi="Arial"/>
          <w:sz w:val="18"/>
          <w:szCs w:val="18"/>
          <w:color w:val="212529"/>
        </w:rPr>
        <w:t xml:space="preserve"> before the expiration of the ’947 patent and the ’197 patent. On October 16, 2023, the Company and Bioprojet received notice from Annora Pharma Private Limited (“Annora”),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“Annora Notice Letter”), that Annora has submitted ANDA No. 218832 (the “Annora ANDA”) to the FDA and is seeking regulatory approval to market a generic version of WAKIX</w:t>
      </w:r>
      <w:r>
        <w:rPr>
          <w:rFonts w:ascii="Arial" w:cs="Arial" w:eastAsia="Arial" w:hAnsi="Arial"/>
          <w:sz w:val="14"/>
          <w:szCs w:val="14"/>
          <w:color w:val="212529"/>
          <w:vertAlign w:val="superscript"/>
        </w:rPr>
        <w:t>®</w:t>
      </w:r>
      <w:r>
        <w:rPr>
          <w:rFonts w:ascii="Arial" w:cs="Arial" w:eastAsia="Arial" w:hAnsi="Arial"/>
          <w:sz w:val="18"/>
          <w:szCs w:val="18"/>
          <w:color w:val="212529"/>
        </w:rPr>
        <w:t xml:space="preserve"> before the expiration of the ’430 patent, the ’947 patent and the ’197 patent. AET’s Notice Letter asserts that AET’s generic product will not infringe the ’947 patent and the ‘197 patent and/or that ’947 patent and the ‘197 patent are invalid or unenforceable. The Annora Notice Letter asserts that its generic product will not infringe the ‘430 patent, ’947 patent and the ‘197 patent and/or that the ‘430 patent, ’947 patent and the ‘197 patent are invalid or unenforceable. The Novitium Notice Letter asserts that its generic product will not infringe the ‘430 patent, ’947 patent and the ‘197 patent and/or that the ‘430 patent, ’947 patent and the ‘197 patent are invalid or unenforceable. The Zenara Notice Letter asserts that its generic product will not infringe the ‘430 patent, ’947 patent and the ‘197 patent and/or that the ‘430 patent, ’947 patent and the ‘197 patent are invalid or unenforceable. On November 21, 2023, the Company, Bioprojet and Bioprojet Pharma filed a complaint for patent infringement of the ’947 patent and the ‘197 patent against AET, Annora, Novitium and Zenara and certain of their affiliates and agents and for patent infringement of the ’430 patent against Annora, Novitium and Zenara and certain of their affiliates and agents in the United States District Court for the District of Delaware in response to their filing of their respective ANDAs with the FDA.</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12529"/>
        </w:rPr>
        <w:t>In October 2023, MSN Pharmaceuticals Inc. (“MSN Pharma”) sent correspondence to the Company and Bioprojet stating that MSN Pharma has submitted ANDA No. 218873 (the “MSN ANDA”) to the FDA and is seeking regulatory approval to market a generic version of WAKIX</w:t>
      </w:r>
      <w:r>
        <w:rPr>
          <w:rFonts w:ascii="Arial" w:cs="Arial" w:eastAsia="Arial" w:hAnsi="Arial"/>
          <w:sz w:val="14"/>
          <w:szCs w:val="14"/>
          <w:color w:val="212529"/>
          <w:vertAlign w:val="superscript"/>
        </w:rPr>
        <w:t>®</w:t>
      </w:r>
      <w:r>
        <w:rPr>
          <w:rFonts w:ascii="Arial" w:cs="Arial" w:eastAsia="Arial" w:hAnsi="Arial"/>
          <w:sz w:val="14"/>
          <w:szCs w:val="14"/>
          <w:color w:val="212529"/>
          <w:vertAlign w:val="subscript"/>
        </w:rPr>
        <w:t>.</w:t>
      </w:r>
      <w:r>
        <w:rPr>
          <w:rFonts w:ascii="Arial" w:cs="Arial" w:eastAsia="Arial" w:hAnsi="Arial"/>
          <w:sz w:val="18"/>
          <w:szCs w:val="18"/>
          <w:color w:val="212529"/>
        </w:rPr>
        <w:t xml:space="preserve"> On December 8, 2023, MSN Laboratories Private Limited (“MSN”) filed a declaratory judgment action in the United States District Court for the Eastern District of Virginia against Bioprojet claiming that the ‘430 patent, the ’947 patent and the ‘197 patent will not be infringed by MSN’s generic version of WAKIX</w:t>
      </w:r>
      <w:r>
        <w:rPr>
          <w:rFonts w:ascii="Arial" w:cs="Arial" w:eastAsia="Arial" w:hAnsi="Arial"/>
          <w:sz w:val="14"/>
          <w:szCs w:val="14"/>
          <w:color w:val="212529"/>
          <w:vertAlign w:val="superscript"/>
        </w:rPr>
        <w:t>®</w:t>
      </w:r>
      <w:r>
        <w:rPr>
          <w:rFonts w:ascii="Arial" w:cs="Arial" w:eastAsia="Arial" w:hAnsi="Arial"/>
          <w:sz w:val="18"/>
          <w:szCs w:val="18"/>
          <w:color w:val="212529"/>
        </w:rPr>
        <w:t xml:space="preserve"> and that the ‘947 patent is invalid. On December 11, 2023, we, Bioprojet and Bioprojet Pharma filed a complaint in the United States District Court for the District of Delaware for patent infringement of the ‘430 patent, the ’947 patent and the ‘197 patent against MSN and MSN Pharma. On January 12, 2024, the declaratory judgment action was transferred from the United States District Court for the Eastern District of Virginia to the United States District Court for the District of Delaware.</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212529"/>
        </w:rPr>
        <w:t>On April 15, 2024, the United States District Court for the District of Delaware issued a scheduling order consolidating the cases described above for all purposes up to and including trial (the “Scheduling Order”). The Scheduling Order set March 27, 2025, as the date for the hearing on claim construction and scheduled a four-day bench trial beginning on February 17, 2026.</w:t>
      </w:r>
    </w:p>
    <w:p>
      <w:pPr>
        <w:spacing w:after="0" w:line="17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212529"/>
        </w:rPr>
        <w:t xml:space="preserve">On August 7, 2024, the Company and Bioprojet received further notice from AET pursuant to 21 U.S.C. § 355(j) </w:t>
      </w:r>
      <w:r>
        <w:rPr>
          <w:rFonts w:ascii="Arial" w:cs="Arial" w:eastAsia="Arial" w:hAnsi="Arial"/>
          <w:sz w:val="18"/>
          <w:szCs w:val="18"/>
          <w:i w:val="1"/>
          <w:iCs w:val="1"/>
          <w:color w:val="212529"/>
        </w:rPr>
        <w:t>et</w:t>
      </w:r>
      <w:r>
        <w:rPr>
          <w:rFonts w:ascii="Arial" w:cs="Arial" w:eastAsia="Arial" w:hAnsi="Arial"/>
          <w:sz w:val="18"/>
          <w:szCs w:val="18"/>
          <w:color w:val="212529"/>
        </w:rPr>
        <w:t xml:space="preserve"> </w:t>
      </w:r>
      <w:r>
        <w:rPr>
          <w:rFonts w:ascii="Arial" w:cs="Arial" w:eastAsia="Arial" w:hAnsi="Arial"/>
          <w:sz w:val="18"/>
          <w:szCs w:val="18"/>
          <w:i w:val="1"/>
          <w:iCs w:val="1"/>
          <w:color w:val="212529"/>
        </w:rPr>
        <w:t xml:space="preserve">seq. </w:t>
      </w:r>
      <w:r>
        <w:rPr>
          <w:rFonts w:ascii="Arial" w:cs="Arial" w:eastAsia="Arial" w:hAnsi="Arial"/>
          <w:sz w:val="18"/>
          <w:szCs w:val="18"/>
          <w:color w:val="212529"/>
        </w:rPr>
        <w:t>and 21 C.F.R. § 314.95</w:t>
      </w:r>
      <w:r>
        <w:rPr>
          <w:rFonts w:ascii="Arial" w:cs="Arial" w:eastAsia="Arial" w:hAnsi="Arial"/>
          <w:sz w:val="18"/>
          <w:szCs w:val="18"/>
          <w:i w:val="1"/>
          <w:iCs w:val="1"/>
          <w:color w:val="212529"/>
        </w:rPr>
        <w:t xml:space="preserve"> et seq</w:t>
      </w:r>
      <w:r>
        <w:rPr>
          <w:rFonts w:ascii="Arial" w:cs="Arial" w:eastAsia="Arial" w:hAnsi="Arial"/>
          <w:sz w:val="18"/>
          <w:szCs w:val="18"/>
          <w:color w:val="212529"/>
        </w:rPr>
        <w:t>. (the “Second AET Notice Letter”) that AET has submitted the AET ANDA to the FDA</w:t>
      </w:r>
      <w:r>
        <w:rPr>
          <w:rFonts w:ascii="Arial" w:cs="Arial" w:eastAsia="Arial" w:hAnsi="Arial"/>
          <w:sz w:val="18"/>
          <w:szCs w:val="18"/>
          <w:i w:val="1"/>
          <w:iCs w:val="1"/>
          <w:color w:val="212529"/>
        </w:rPr>
        <w:t xml:space="preserve"> </w:t>
      </w:r>
      <w:r>
        <w:rPr>
          <w:rFonts w:ascii="Arial" w:cs="Arial" w:eastAsia="Arial" w:hAnsi="Arial"/>
          <w:sz w:val="18"/>
          <w:szCs w:val="18"/>
          <w:color w:val="212529"/>
        </w:rPr>
        <w:t>and is seeking regulatory approval to market a generic version of WAKIX</w:t>
      </w:r>
      <w:r>
        <w:rPr>
          <w:rFonts w:ascii="Arial" w:cs="Arial" w:eastAsia="Arial" w:hAnsi="Arial"/>
          <w:sz w:val="26"/>
          <w:szCs w:val="26"/>
          <w:color w:val="212529"/>
          <w:vertAlign w:val="superscript"/>
        </w:rPr>
        <w:t>®</w:t>
      </w:r>
      <w:r>
        <w:rPr>
          <w:rFonts w:ascii="Arial" w:cs="Arial" w:eastAsia="Arial" w:hAnsi="Arial"/>
          <w:sz w:val="18"/>
          <w:szCs w:val="18"/>
          <w:color w:val="212529"/>
        </w:rPr>
        <w:t xml:space="preserve"> before the expiration of the ‘947 patent and the ‘197 patent. The Second AET Notice Letter asserts that its generic product will not infringe the ’947 patent and the ‘197 patent and/or that the ’947 patent and the ‘197 patent are invalid or unenforceable. On August 13, 2024, we, Bioprojet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12529"/>
        </w:rPr>
        <w:t>Bioprojet Pharma filed a complaint in the United States District Court for the District of Delaware for patent infringement of the ’947 patent and the ‘197 patent against AET.</w:t>
      </w:r>
    </w:p>
    <w:p>
      <w:pPr>
        <w:spacing w:after="0" w:line="1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212529"/>
        </w:rPr>
        <w:t>On October 31, 2024, the Company reached an agreement with Novugen Pharma to resolve the dispute over Novugen’s ANDA for a generic pitolisant hydrochloride product. Under the terms of the settlement agreement, the litigation between the parties in the United States District Court for the District of Delaware was ended on November 4, 2024, and Novugen will have a license to sell its generic product beginning January 2030, or earlier under certain circumstances.</w:t>
      </w:r>
    </w:p>
    <w:p>
      <w:pPr>
        <w:spacing w:after="0" w:line="16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212529"/>
        </w:rPr>
        <w:t xml:space="preserve">On December 12, 2024, the Company and Bioprojet received further notice from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Lupin Notice Letter”) that Lupin has submitted the Lupin ANDA to the FDA and is seeking regulatory approval to market a generic version of WAKIX</w:t>
      </w:r>
      <w:r>
        <w:rPr>
          <w:rFonts w:ascii="Arial" w:cs="Arial" w:eastAsia="Arial" w:hAnsi="Arial"/>
          <w:sz w:val="26"/>
          <w:szCs w:val="26"/>
          <w:color w:val="212529"/>
          <w:vertAlign w:val="superscript"/>
        </w:rPr>
        <w:t>®</w:t>
      </w:r>
      <w:r>
        <w:rPr>
          <w:rFonts w:ascii="Arial" w:cs="Arial" w:eastAsia="Arial" w:hAnsi="Arial"/>
          <w:sz w:val="18"/>
          <w:szCs w:val="18"/>
          <w:color w:val="212529"/>
        </w:rPr>
        <w:t xml:space="preserve"> before the expiration of the ‘947 patent and the ‘197 patent. The Second Lupin Notice Letter asserts that its generic product will not infringe the ’947 patent and the ‘197 patent and/or that the ’947 patent and the ‘197 patent are invalid or unenforceable. On January 24, 2025, we, Bioprojet and Bioprojet Pharma filed a complaint in the United States District Court for the District of Delaware for patent infringement of the ’947 patent and the ‘197 patent against Lupin.</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212529"/>
        </w:rPr>
        <w:t>The resolution of one or more of these matters against the Company could have a significant negative effect on the Company’s results of operations</w:t>
      </w:r>
      <w:r>
        <w:rPr>
          <w:rFonts w:ascii="Arial" w:cs="Arial" w:eastAsia="Arial" w:hAnsi="Arial"/>
          <w:sz w:val="18"/>
          <w:szCs w:val="18"/>
          <w:color w:val="000000"/>
        </w:rPr>
        <w:t>.</w:t>
      </w:r>
    </w:p>
    <w:p>
      <w:pPr>
        <w:spacing w:after="0" w:line="167" w:lineRule="exact"/>
        <w:rPr>
          <w:sz w:val="20"/>
          <w:szCs w:val="20"/>
          <w:color w:val="auto"/>
        </w:rPr>
      </w:pPr>
    </w:p>
    <w:p>
      <w:pPr>
        <w:ind w:left="660" w:right="7340" w:hanging="652"/>
        <w:spacing w:after="0" w:line="513" w:lineRule="auto"/>
        <w:tabs>
          <w:tab w:leader="none" w:pos="312"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2023, the Company’s Board of Directors approved a program providing for the repurchase of shares of common stock in an aggregate amount of up to $125,000, excluding commissions and transaction fees (the “August 2023 Repurchase Program”). During the year ended December 31, 2023, the Company repurchased and retired 1,439,792 shares of common stock at an aggregate cost of $50,000 under the August 2023 Repurchase Program, excluding commissions and transaction fees.</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October 2023, the Company’s Board of Directors terminated the August 2023 Repurchase Program and any remaining amount authorized for the repurchase of shares and simultaneously approved a new share repurchase program (the “October 2023 Repurchase Program”) providing for the repurchase of shares of common stock in an aggregate amount of up to $ 200,000, excluding commissions and transaction fees. The October 2023 Repurchase Program may be suspended, terminated, or modified at any time for any reason. During the year ended December 31, 2024, the Company repurchased and retired no shares of common stock. During the year ended December 31, 2023, the Company repurchases and retired 1,814,653 shares of common stock at an aggregate cost of $50,000 under the October 2023 Repurchase Program, excluding commissions and transaction fees. As of December 31, 2024, the remaining amount of common stock authorized for repurchase was $150,000.</w:t>
      </w:r>
    </w:p>
    <w:p>
      <w:pPr>
        <w:spacing w:after="0" w:line="183" w:lineRule="exact"/>
        <w:rPr>
          <w:sz w:val="20"/>
          <w:szCs w:val="20"/>
          <w:color w:val="auto"/>
        </w:rPr>
      </w:pPr>
    </w:p>
    <w:p>
      <w:pPr>
        <w:ind w:left="660" w:right="4120" w:hanging="652"/>
        <w:spacing w:after="0" w:line="485" w:lineRule="auto"/>
        <w:tabs>
          <w:tab w:leader="none" w:pos="31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firstLine="648"/>
        <w:spacing w:after="0" w:line="253"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options, including incentive stock options (“ISOs”) and non-qualified stock options (“NSOs”), stock appreciation rights (“SARs”), restricted stock, dividend equivalents, restricted stock units (“RSUs”) and other stock or cash-based awards.</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December 31, 2024, there were 6,888,336 shares of common stock available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common shares through grants of stock options, SARs, or restricted stock. Following the adoption of the 2020 Plan, no further grants have been, or will be, made under the 2017 Plan. However, the 2017 Plan will continue to govern the terms and conditions of outstanding awards granted under 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 ended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940" w:type="dxa"/>
            <w:vAlign w:val="bottom"/>
          </w:tcPr>
          <w:p>
            <w:pPr>
              <w:jc w:val="right"/>
              <w:ind w:right="114"/>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2023</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6,316,422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32.47</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1,309,046</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30.71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(281,393)</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(186,840)</w:t>
            </w:r>
          </w:p>
        </w:tc>
        <w:tc>
          <w:tcPr>
            <w:tcW w:w="280" w:type="dxa"/>
            <w:vAlign w:val="bottom"/>
            <w:tcBorders>
              <w:bottom w:val="single" w:sz="8" w:color="CCEEFF"/>
            </w:tcBorders>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37.11</w:t>
            </w: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2024</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7,157,235</w:t>
            </w:r>
          </w:p>
        </w:tc>
        <w:tc>
          <w:tcPr>
            <w:tcW w:w="28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32.48</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w:t>
            </w:r>
          </w:p>
        </w:tc>
        <w:tc>
          <w:tcPr>
            <w:tcW w:w="2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43,754</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Awards exercisable—December 31, 2024</w:t>
            </w:r>
          </w:p>
        </w:tc>
        <w:tc>
          <w:tcPr>
            <w:tcW w:w="94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4,420,457</w:t>
            </w:r>
          </w:p>
        </w:tc>
        <w:tc>
          <w:tcPr>
            <w:tcW w:w="280" w:type="dxa"/>
            <w:vAlign w:val="bottom"/>
            <w:tcBorders>
              <w:bottom w:val="single" w:sz="8" w:color="CCEEFF"/>
            </w:tcBorders>
            <w:gridSpan w:val="2"/>
            <w:vMerge w:val="continue"/>
          </w:tcPr>
          <w:p>
            <w:pPr>
              <w:spacing w:after="0"/>
              <w:rPr>
                <w:sz w:val="19"/>
                <w:szCs w:val="19"/>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31.52</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5.92</w:t>
            </w:r>
          </w:p>
        </w:tc>
        <w:tc>
          <w:tcPr>
            <w:tcW w:w="260" w:type="dxa"/>
            <w:vAlign w:val="bottom"/>
            <w:tcBorders>
              <w:bottom w:val="single" w:sz="8" w:color="CCEEFF"/>
            </w:tcBorders>
            <w:vMerge w:val="continue"/>
          </w:tcPr>
          <w:p>
            <w:pPr>
              <w:spacing w:after="0"/>
              <w:rPr>
                <w:sz w:val="19"/>
                <w:szCs w:val="19"/>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32,958</w:t>
            </w:r>
          </w:p>
        </w:tc>
        <w:tc>
          <w:tcPr>
            <w:tcW w:w="0" w:type="dxa"/>
            <w:vAlign w:val="bottom"/>
          </w:tcPr>
          <w:p>
            <w:pPr>
              <w:spacing w:after="0"/>
              <w:rPr>
                <w:sz w:val="1"/>
                <w:szCs w:val="1"/>
                <w:color w:val="auto"/>
              </w:rPr>
            </w:pPr>
          </w:p>
        </w:tc>
      </w:tr>
      <w:tr>
        <w:trPr>
          <w:trHeight w:val="183"/>
        </w:trPr>
        <w:tc>
          <w:tcPr>
            <w:tcW w:w="59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Awards unvested—December 31, 2024</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2,736,778</w:t>
            </w:r>
          </w:p>
        </w:tc>
        <w:tc>
          <w:tcPr>
            <w:tcW w:w="280" w:type="dxa"/>
            <w:vAlign w:val="bottom"/>
            <w:tcBorders>
              <w:bottom w:val="single" w:sz="8" w:color="CCEEFF"/>
            </w:tcBorders>
            <w:gridSpan w:val="2"/>
            <w:shd w:val="clear" w:color="auto" w:fill="CCEEFF"/>
          </w:tcPr>
          <w:p>
            <w:pPr>
              <w:ind w:left="160"/>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34.02</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8.01</w:t>
            </w:r>
          </w:p>
        </w:tc>
        <w:tc>
          <w:tcPr>
            <w:tcW w:w="26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10,797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weighted-average grant-date fair value of stock options granted during the year ended December 31, 2024, was $20.68. The total intrinsic value of stock options exercised for the year ended December 31, 2024, was $4,328.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SARs activity for the year ended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2023</w:t>
            </w:r>
          </w:p>
        </w:tc>
        <w:tc>
          <w:tcPr>
            <w:tcW w:w="19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w:t>
            </w:r>
          </w:p>
        </w:tc>
        <w:tc>
          <w:tcPr>
            <w:tcW w:w="2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9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19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9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2024</w:t>
            </w:r>
          </w:p>
        </w:tc>
        <w:tc>
          <w:tcPr>
            <w:tcW w:w="1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28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2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741,809</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Awards exercisable—December 31, 2024</w:t>
            </w:r>
          </w:p>
        </w:tc>
        <w:tc>
          <w:tcPr>
            <w:tcW w:w="190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41,382</w:t>
            </w:r>
          </w:p>
        </w:tc>
        <w:tc>
          <w:tcPr>
            <w:tcW w:w="280" w:type="dxa"/>
            <w:vAlign w:val="bottom"/>
            <w:gridSpan w:val="2"/>
            <w:vMerge w:val="continue"/>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9.19</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4.27</w:t>
            </w:r>
          </w:p>
        </w:tc>
        <w:tc>
          <w:tcPr>
            <w:tcW w:w="280" w:type="dxa"/>
            <w:vAlign w:val="bottom"/>
            <w:vMerge w:val="continue"/>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722,722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00" w:type="dxa"/>
            <w:vAlign w:val="bottom"/>
            <w:vMerge w:val="restart"/>
          </w:tcPr>
          <w:p>
            <w:pPr>
              <w:jc w:val="right"/>
              <w:ind w:right="790"/>
              <w:spacing w:after="0"/>
              <w:rPr>
                <w:sz w:val="20"/>
                <w:szCs w:val="20"/>
                <w:color w:val="auto"/>
              </w:rPr>
            </w:pPr>
            <w:r>
              <w:rPr>
                <w:rFonts w:ascii="Arial" w:cs="Arial" w:eastAsia="Arial" w:hAnsi="Arial"/>
                <w:sz w:val="18"/>
                <w:szCs w:val="18"/>
                <w:color w:val="auto"/>
              </w:rPr>
              <w:t>112</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0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for the year ended December 31, 2024:</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600" w:type="dxa"/>
            <w:vAlign w:val="bottom"/>
          </w:tcPr>
          <w:p>
            <w:pPr>
              <w:spacing w:after="0"/>
              <w:rPr>
                <w:sz w:val="14"/>
                <w:szCs w:val="14"/>
                <w:color w:val="auto"/>
              </w:rPr>
            </w:pPr>
          </w:p>
        </w:tc>
        <w:tc>
          <w:tcPr>
            <w:tcW w:w="1200" w:type="dxa"/>
            <w:vAlign w:val="bottom"/>
          </w:tcPr>
          <w:p>
            <w:pPr>
              <w:jc w:val="right"/>
              <w:ind w:right="15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76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Awards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2023</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31.53</w:t>
            </w: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464,600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30.62</w:t>
            </w: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(135,000)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31.47</w:t>
            </w:r>
          </w:p>
        </w:tc>
      </w:tr>
      <w:tr>
        <w:trPr>
          <w:trHeight w:val="203"/>
        </w:trPr>
        <w:tc>
          <w:tcPr>
            <w:tcW w:w="7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(20,700)</w:t>
            </w:r>
          </w:p>
        </w:tc>
        <w:tc>
          <w:tcPr>
            <w:tcW w:w="32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30.69</w:t>
            </w:r>
          </w:p>
        </w:tc>
      </w:tr>
      <w:tr>
        <w:trPr>
          <w:trHeight w:val="196"/>
        </w:trPr>
        <w:tc>
          <w:tcPr>
            <w:tcW w:w="7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2024</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638,900</w:t>
            </w:r>
          </w:p>
        </w:tc>
        <w:tc>
          <w:tcPr>
            <w:tcW w:w="3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r>
      <w:tr>
        <w:trPr>
          <w:trHeight w:val="20"/>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300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56"/>
        </w:trPr>
        <w:tc>
          <w:tcPr>
            <w:tcW w:w="58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 yield</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69.84 - 72.98 %</w:t>
            </w:r>
          </w:p>
        </w:tc>
        <w:tc>
          <w:tcPr>
            <w:tcW w:w="2600" w:type="dxa"/>
            <w:vAlign w:val="bottom"/>
            <w:gridSpan w:val="5"/>
          </w:tcPr>
          <w:p>
            <w:pPr>
              <w:jc w:val="right"/>
              <w:spacing w:after="0" w:line="202" w:lineRule="exact"/>
              <w:rPr>
                <w:sz w:val="20"/>
                <w:szCs w:val="20"/>
                <w:color w:val="auto"/>
              </w:rPr>
            </w:pPr>
            <w:r>
              <w:rPr>
                <w:rFonts w:ascii="Arial" w:cs="Arial" w:eastAsia="Arial" w:hAnsi="Arial"/>
                <w:sz w:val="18"/>
                <w:szCs w:val="18"/>
                <w:color w:val="auto"/>
                <w:w w:val="99"/>
              </w:rPr>
              <w:t>74.87 - 80.78 % 72.57 - 77.08 %</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3.51 - 4.65 %</w:t>
            </w:r>
          </w:p>
        </w:tc>
        <w:tc>
          <w:tcPr>
            <w:tcW w:w="26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3.42 - 4.62 %   1.99 - 4.05 %</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Lack of marketability discount</w:t>
            </w:r>
          </w:p>
        </w:tc>
        <w:tc>
          <w:tcPr>
            <w:tcW w:w="1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0.00 %</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c>
          <w:tcPr>
            <w:tcW w:w="30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1.81 - 6.11</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2.26 - 10.77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3.1 - 6.3</w:t>
            </w:r>
          </w:p>
        </w:tc>
        <w:tc>
          <w:tcPr>
            <w:tcW w:w="16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the 2020 Plan was $21.28, $20.64 and $18.88 in 2024, 2023 and 2022, respectively.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Stock-based compensation expense was $42,701, $31,206 and $26,905 for the years ended December 31, 2024, 2023 and 2022, respectively, and is recorded in the consolidated statements of operations and comprehensive income (loss) in the following line items: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30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6,682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7,435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5,148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30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28,584</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22,096</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20,405</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42,701</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31,206</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26,905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000" w:type="dxa"/>
            <w:vAlign w:val="bottom"/>
            <w:vMerge w:val="restart"/>
          </w:tcPr>
          <w:p>
            <w:pPr>
              <w:jc w:val="right"/>
              <w:ind w:right="1690"/>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38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Stock-based compensation expense, net related to options and RSUs issued under the 2017 Plan and 2020 Plan and the employee stock purchase plan is included in stockholder’s equity, and a liability for SARs is included in other non-current liabilities, in the Company’s consolidated balance sheet. As of December 31, 2024, the total unrecognized stock-based compensation expense was $49,247 and $15,658 for stock options and RSUs, respectively. These amounts will be recognized in the Company’s consolidated statement of operations over a weighted average period of 2.1 years and 2.7 years for stock options and RSU’s, respectively.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2021 Employee Stock Purchase Plan (“ESPP”) was adopted by the Company’s Board of Directors in April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For the years ended December 31, 2024, 2023 and 2022, there were 23,121, 21,313 and 21,943 shares issued under the ESPP, respectively. The discount on the ESPP was $298, $393 and $363 for the years ended December 31, 2024, 2023 and 2022, respectively, and is recorded within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has one reportable segment: rare neurological diseases. The rare neurological diseases segment consists of the Company’s commercial product, WAKIX, and its potential product candidates, that focus on patients living with rare neurological diseases who have unmet needs. The Company currently derives all of its revenue from sales of WAKIX, which is used in the treatment of EDS and cataplexy in adult patients with narcolepsy and the treatment of EDS in pediatric patients six years and older with narcolepsy and manages its business activities on a consolidated basis.</w:t>
      </w:r>
    </w:p>
    <w:p>
      <w:pPr>
        <w:spacing w:after="0" w:line="1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The accounting policies of the rare neurological diseases segment are consistent with those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and the measure of segment assets is reported on the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as total assets. The Company’s CODM is the chief executive officer. The CODM assesses performance of the rare neurological diseases segment using net income as reported in the consolidated statements of operations and comprehensive income. Net income is assessed by the CODM to make decisions on how to allocate resources, such as reinvesting profits into the rare neurological diseases segment or pursuing potential investing activities.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table summarizes segment revenue and significant segment expenses for the years ended December 31, 2024, 2023 and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4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4"/>
                <w:szCs w:val="14"/>
                <w:b w:val="1"/>
                <w:bCs w:val="1"/>
                <w:color w:val="auto"/>
              </w:rPr>
              <w:t>Rare Neurological Diseases Segment</w:t>
            </w:r>
          </w:p>
        </w:tc>
      </w:tr>
      <w:tr>
        <w:trPr>
          <w:trHeight w:val="156"/>
        </w:trPr>
        <w:tc>
          <w:tcPr>
            <w:tcW w:w="6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40" w:type="dxa"/>
            <w:vAlign w:val="bottom"/>
            <w:tcBorders>
              <w:bottom w:val="single" w:sz="8" w:color="auto"/>
            </w:tcBorders>
            <w:gridSpan w:val="5"/>
          </w:tcPr>
          <w:p>
            <w:pPr>
              <w:jc w:val="right"/>
              <w:ind w:right="531"/>
              <w:spacing w:after="0" w:line="155" w:lineRule="exact"/>
              <w:rPr>
                <w:sz w:val="20"/>
                <w:szCs w:val="20"/>
                <w:color w:val="auto"/>
              </w:rPr>
            </w:pPr>
            <w:r>
              <w:rPr>
                <w:rFonts w:ascii="Arial" w:cs="Arial" w:eastAsia="Arial" w:hAnsi="Arial"/>
                <w:sz w:val="14"/>
                <w:szCs w:val="14"/>
                <w:b w:val="1"/>
                <w:bCs w:val="1"/>
                <w:color w:val="auto"/>
              </w:rPr>
              <w:t>Year Ended December 31,</w:t>
            </w:r>
          </w:p>
        </w:tc>
      </w:tr>
      <w:tr>
        <w:trPr>
          <w:trHeight w:val="155"/>
        </w:trPr>
        <w:tc>
          <w:tcPr>
            <w:tcW w:w="65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w w:val="97"/>
              </w:rPr>
              <w:t>$ 714,734</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582,022</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437,855</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product sold</w:t>
            </w:r>
          </w:p>
        </w:tc>
        <w:tc>
          <w:tcPr>
            <w:tcW w:w="13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156,788</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121,232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83,446</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Research and development (excluding stock compensation and IPR&amp;D)</w:t>
            </w: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95,548</w:t>
            </w: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69,091</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38,282</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(excluding stock compensation)</w:t>
            </w:r>
          </w:p>
        </w:tc>
        <w:tc>
          <w:tcPr>
            <w:tcW w:w="13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103,481</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92,256</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75,354</w:t>
            </w:r>
          </w:p>
        </w:tc>
      </w:tr>
      <w:tr>
        <w:trPr>
          <w:trHeight w:val="184"/>
        </w:trPr>
        <w:tc>
          <w:tcPr>
            <w:tcW w:w="6540" w:type="dxa"/>
            <w:vAlign w:val="bottom"/>
          </w:tcPr>
          <w:p>
            <w:pPr>
              <w:spacing w:after="0" w:line="183" w:lineRule="exact"/>
              <w:rPr>
                <w:sz w:val="20"/>
                <w:szCs w:val="20"/>
                <w:color w:val="auto"/>
              </w:rPr>
            </w:pPr>
            <w:r>
              <w:rPr>
                <w:rFonts w:ascii="Arial" w:cs="Arial" w:eastAsia="Arial" w:hAnsi="Arial"/>
                <w:sz w:val="18"/>
                <w:szCs w:val="18"/>
                <w:color w:val="auto"/>
              </w:rPr>
              <w:t>General and administrative (excluding stock compensation, amortization and</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depreciation)</w:t>
            </w:r>
          </w:p>
        </w:tc>
        <w:tc>
          <w:tcPr>
            <w:tcW w:w="1360" w:type="dxa"/>
            <w:vAlign w:val="bottom"/>
            <w:gridSpan w:val="2"/>
          </w:tcPr>
          <w:p>
            <w:pPr>
              <w:jc w:val="right"/>
              <w:ind w:right="41"/>
              <w:spacing w:after="0"/>
              <w:rPr>
                <w:sz w:val="20"/>
                <w:szCs w:val="20"/>
                <w:color w:val="auto"/>
              </w:rPr>
            </w:pPr>
            <w:r>
              <w:rPr>
                <w:rFonts w:ascii="Arial" w:cs="Arial" w:eastAsia="Arial" w:hAnsi="Arial"/>
                <w:sz w:val="18"/>
                <w:szCs w:val="18"/>
                <w:color w:val="auto"/>
              </w:rPr>
              <w:t>57,683</w:t>
            </w:r>
          </w:p>
        </w:tc>
        <w:tc>
          <w:tcPr>
            <w:tcW w:w="2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48,838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40,297</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3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24,112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24,359</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23,385</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42,701</w:t>
            </w: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31,206</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26,905</w:t>
            </w:r>
          </w:p>
        </w:tc>
      </w:tr>
      <w:tr>
        <w:trPr>
          <w:trHeight w:val="202"/>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3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17,496</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23,757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18,795</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(18,542)</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(14,730)</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(3,126)</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3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46,311</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44,543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(76,782)</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Other segment items (a)</w:t>
            </w: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43,663</w:t>
            </w: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12,617</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29,831</w:t>
            </w:r>
          </w:p>
        </w:tc>
      </w:tr>
      <w:tr>
        <w:trPr>
          <w:trHeight w:val="196"/>
        </w:trPr>
        <w:tc>
          <w:tcPr>
            <w:tcW w:w="65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net income</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w w:val="97"/>
              </w:rPr>
              <w:t>$ 145,493</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128,853</w:t>
            </w:r>
          </w:p>
        </w:tc>
        <w:tc>
          <w:tcPr>
            <w:tcW w:w="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181,468</w:t>
            </w:r>
          </w:p>
        </w:tc>
      </w:tr>
      <w:tr>
        <w:trPr>
          <w:trHeight w:val="20"/>
        </w:trPr>
        <w:tc>
          <w:tcPr>
            <w:tcW w:w="6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ind w:right="940" w:firstLine="656"/>
        <w:spacing w:after="0" w:line="271" w:lineRule="auto"/>
        <w:tabs>
          <w:tab w:leader="none" w:pos="9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Other segment items include other expense (income), net, IPR&amp;D charges and charges related to the extinguishment of debt.</w:t>
      </w:r>
    </w:p>
    <w:p>
      <w:pPr>
        <w:spacing w:after="0" w:line="180" w:lineRule="exact"/>
        <w:rPr>
          <w:rFonts w:ascii="Arial" w:cs="Arial" w:eastAsia="Arial" w:hAnsi="Arial"/>
          <w:sz w:val="18"/>
          <w:szCs w:val="18"/>
          <w:color w:val="auto"/>
        </w:rPr>
      </w:pPr>
    </w:p>
    <w:p>
      <w:pPr>
        <w:ind w:left="300" w:hanging="292"/>
        <w:spacing w:after="0"/>
        <w:tabs>
          <w:tab w:leader="none" w:pos="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Basic earnings per share is calculated by diving net income by the weighted average number of shares of common stock outstanding. For the years ended December 31, 2024, 2023 and 2022, respectively, the Company calculated Diluted net income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and restricted stock units.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(loss)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9"/>
          </w:tcPr>
          <w:p>
            <w:pPr>
              <w:jc w:val="right"/>
              <w:ind w:right="85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72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70"/>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145,493</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128,853</w:t>
            </w:r>
          </w:p>
        </w:tc>
        <w:tc>
          <w:tcPr>
            <w:tcW w:w="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181,468</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per share of common stock - basic</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3"/>
        </w:trPr>
        <w:tc>
          <w:tcPr>
            <w:tcW w:w="5720" w:type="dxa"/>
            <w:vAlign w:val="bottom"/>
          </w:tcPr>
          <w:p>
            <w:pPr>
              <w:ind w:left="120"/>
              <w:spacing w:after="0" w:line="202" w:lineRule="exact"/>
              <w:rPr>
                <w:sz w:val="20"/>
                <w:szCs w:val="20"/>
                <w:color w:val="auto"/>
              </w:rPr>
            </w:pPr>
            <w:r>
              <w:rPr>
                <w:rFonts w:ascii="Arial" w:cs="Arial" w:eastAsia="Arial" w:hAnsi="Arial"/>
                <w:sz w:val="18"/>
                <w:szCs w:val="18"/>
                <w:color w:val="auto"/>
              </w:rPr>
              <w:t>Net income per share of common stock- diluted</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16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w:t>
            </w:r>
          </w:p>
        </w:tc>
        <w:tc>
          <w:tcPr>
            <w:tcW w:w="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56,885,455</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59,469,648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59,173,121</w:t>
            </w:r>
          </w:p>
        </w:tc>
        <w:tc>
          <w:tcPr>
            <w:tcW w:w="0" w:type="dxa"/>
            <w:vAlign w:val="bottom"/>
          </w:tcPr>
          <w:p>
            <w:pPr>
              <w:spacing w:after="0"/>
              <w:rPr>
                <w:sz w:val="1"/>
                <w:szCs w:val="1"/>
                <w:color w:val="auto"/>
              </w:rPr>
            </w:pPr>
          </w:p>
        </w:tc>
      </w:tr>
      <w:tr>
        <w:trPr>
          <w:trHeight w:val="239"/>
        </w:trPr>
        <w:tc>
          <w:tcPr>
            <w:tcW w:w="5720" w:type="dxa"/>
            <w:vAlign w:val="bottom"/>
          </w:tcPr>
          <w:p>
            <w:pPr>
              <w:ind w:left="120"/>
              <w:spacing w:after="0"/>
              <w:rPr>
                <w:sz w:val="20"/>
                <w:szCs w:val="20"/>
                <w:color w:val="auto"/>
              </w:rPr>
            </w:pPr>
            <w:r>
              <w:rPr>
                <w:rFonts w:ascii="Arial" w:cs="Arial" w:eastAsia="Arial" w:hAnsi="Arial"/>
                <w:sz w:val="18"/>
                <w:szCs w:val="18"/>
                <w:color w:val="auto"/>
              </w:rPr>
              <w:t>Weighted average number of shares of common stock - diluted</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57,869,915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60,372,397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61,097,045</w:t>
            </w:r>
          </w:p>
        </w:tc>
        <w:tc>
          <w:tcPr>
            <w:tcW w:w="0" w:type="dxa"/>
            <w:vAlign w:val="bottom"/>
          </w:tcPr>
          <w:p>
            <w:pPr>
              <w:spacing w:after="0"/>
              <w:rPr>
                <w:sz w:val="1"/>
                <w:szCs w:val="1"/>
                <w:color w:val="auto"/>
              </w:rPr>
            </w:pPr>
          </w:p>
        </w:tc>
      </w:tr>
      <w:tr>
        <w:trPr>
          <w:trHeight w:val="350"/>
        </w:trPr>
        <w:tc>
          <w:tcPr>
            <w:tcW w:w="9920" w:type="dxa"/>
            <w:vAlign w:val="bottom"/>
            <w:gridSpan w:val="12"/>
          </w:tcPr>
          <w:p>
            <w:pPr>
              <w:ind w:left="660"/>
              <w:spacing w:after="0"/>
              <w:rPr>
                <w:sz w:val="20"/>
                <w:szCs w:val="20"/>
                <w:color w:val="auto"/>
              </w:rPr>
            </w:pPr>
            <w:r>
              <w:rPr>
                <w:rFonts w:ascii="Arial" w:cs="Arial" w:eastAsia="Arial" w:hAnsi="Arial"/>
                <w:sz w:val="18"/>
                <w:szCs w:val="18"/>
                <w:color w:val="auto"/>
              </w:rPr>
              <w:t>Securities outstanding that were included in the computation above, utilizing the treasury stock method are as</w:t>
            </w: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r>
              <w:rPr>
                <w:rFonts w:ascii="Arial" w:cs="Arial" w:eastAsia="Arial" w:hAnsi="Arial"/>
                <w:sz w:val="18"/>
                <w:szCs w:val="18"/>
                <w:color w:val="auto"/>
              </w:rPr>
              <w:t>follows: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Borders>
              <w:bottom w:val="single" w:sz="8" w:color="auto"/>
            </w:tcBorders>
            <w:gridSpan w:val="9"/>
          </w:tcPr>
          <w:p>
            <w:pPr>
              <w:jc w:val="right"/>
              <w:ind w:right="77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37"/>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55"/>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984,460</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902,749</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1,923,924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Potential common shares issuable upon conversion of preferred stock and exercise of stock options that were excluded from the computation of diluted weighted-average shares outstanding excluded from the numerator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760" w:type="dxa"/>
            <w:vAlign w:val="bottom"/>
            <w:tcBorders>
              <w:bottom w:val="single" w:sz="8" w:color="auto"/>
            </w:tcBorders>
            <w:gridSpan w:val="5"/>
          </w:tcPr>
          <w:p>
            <w:pPr>
              <w:jc w:val="center"/>
              <w:ind w:left="80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55"/>
        </w:trPr>
        <w:tc>
          <w:tcPr>
            <w:tcW w:w="62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6,854,883</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5,786,881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4,640,231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provision for income taxes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0" w:type="dxa"/>
            <w:vAlign w:val="bottom"/>
            <w:tcBorders>
              <w:bottom w:val="single" w:sz="8" w:color="CCEEFF"/>
            </w:tcBorders>
          </w:tcPr>
          <w:p>
            <w:pPr>
              <w:spacing w:after="0"/>
              <w:rPr>
                <w:sz w:val="13"/>
                <w:szCs w:val="13"/>
                <w:color w:val="auto"/>
              </w:rPr>
            </w:pPr>
          </w:p>
        </w:tc>
        <w:tc>
          <w:tcPr>
            <w:tcW w:w="28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28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15,430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Valuation allowance</w:t>
            </w:r>
          </w:p>
        </w:tc>
        <w:tc>
          <w:tcPr>
            <w:tcW w:w="28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(96,366)</w:t>
            </w: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44,543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(76,782)</w:t>
            </w:r>
          </w:p>
        </w:tc>
        <w:tc>
          <w:tcPr>
            <w:tcW w:w="0" w:type="dxa"/>
            <w:vAlign w:val="bottom"/>
          </w:tcPr>
          <w:p>
            <w:pPr>
              <w:spacing w:after="0"/>
              <w:rPr>
                <w:sz w:val="1"/>
                <w:szCs w:val="1"/>
                <w:color w:val="auto"/>
              </w:rPr>
            </w:pPr>
          </w:p>
        </w:tc>
      </w:tr>
      <w:tr>
        <w:trPr>
          <w:trHeight w:val="196"/>
        </w:trPr>
        <w:tc>
          <w:tcPr>
            <w:tcW w:w="3200" w:type="dxa"/>
            <w:vAlign w:val="bottom"/>
          </w:tcPr>
          <w:p>
            <w:pPr>
              <w:spacing w:after="0" w:line="196" w:lineRule="exact"/>
              <w:rPr>
                <w:sz w:val="20"/>
                <w:szCs w:val="20"/>
                <w:color w:val="auto"/>
              </w:rPr>
            </w:pPr>
            <w:r>
              <w:rPr>
                <w:rFonts w:ascii="Arial" w:cs="Arial" w:eastAsia="Arial" w:hAnsi="Arial"/>
                <w:sz w:val="18"/>
                <w:szCs w:val="18"/>
                <w:color w:val="auto"/>
              </w:rPr>
              <w:t>Current</w:t>
            </w:r>
          </w:p>
        </w:tc>
        <w:tc>
          <w:tcPr>
            <w:tcW w:w="288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74,311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57,962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(29,298)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(14,994)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Valuation allowance</w:t>
            </w:r>
          </w:p>
        </w:tc>
        <w:tc>
          <w:tcPr>
            <w:tcW w:w="28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(96,366)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8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46,311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44,543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(76,782)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80" w:type="dxa"/>
            <w:vAlign w:val="bottom"/>
            <w:vMerge w:val="restart"/>
          </w:tcPr>
          <w:p>
            <w:pPr>
              <w:jc w:val="right"/>
              <w:ind w:right="890"/>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2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reasons for the difference between the statutory federal income tax rate and the Company’s effective income tax rate as of December 31, 2024, 2023 and 2022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62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55"/>
        </w:trPr>
        <w:tc>
          <w:tcPr>
            <w:tcW w:w="64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income tax rate</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60" w:type="dxa"/>
            <w:vAlign w:val="bottom"/>
          </w:tcPr>
          <w:p>
            <w:pPr>
              <w:spacing w:after="0"/>
              <w:rPr>
                <w:sz w:val="17"/>
                <w:szCs w:val="17"/>
                <w:color w:val="auto"/>
              </w:rPr>
            </w:pP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(0.4)</w:t>
            </w:r>
          </w:p>
        </w:tc>
        <w:tc>
          <w:tcPr>
            <w:tcW w:w="300" w:type="dxa"/>
            <w:vAlign w:val="bottom"/>
          </w:tcPr>
          <w:p>
            <w:pPr>
              <w:spacing w:after="0"/>
              <w:rPr>
                <w:sz w:val="17"/>
                <w:szCs w:val="17"/>
                <w:color w:val="auto"/>
              </w:rPr>
            </w:pPr>
          </w:p>
        </w:tc>
        <w:tc>
          <w:tcPr>
            <w:tcW w:w="8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(4.9)</w:t>
            </w:r>
          </w:p>
        </w:tc>
      </w:tr>
      <w:tr>
        <w:trPr>
          <w:trHeight w:val="202"/>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12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(4.7)</w:t>
            </w: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8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(4.8)</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IPR&amp;D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2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(70.2)</w:t>
            </w:r>
          </w:p>
        </w:tc>
        <w:tc>
          <w:tcPr>
            <w:tcW w:w="16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(0.9)</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(0.3)</w:t>
            </w:r>
          </w:p>
        </w:tc>
      </w:tr>
      <w:tr>
        <w:trPr>
          <w:trHeight w:val="196"/>
        </w:trPr>
        <w:tc>
          <w:tcPr>
            <w:tcW w:w="64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24.1</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7"/>
                <w:szCs w:val="17"/>
                <w:color w:val="auto"/>
              </w:rPr>
            </w:pPr>
          </w:p>
        </w:tc>
        <w:tc>
          <w:tcPr>
            <w:tcW w:w="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(73.3)%</w:t>
            </w:r>
          </w:p>
        </w:tc>
      </w:tr>
      <w:tr>
        <w:trPr>
          <w:trHeight w:val="20"/>
        </w:trPr>
        <w:tc>
          <w:tcPr>
            <w:tcW w:w="6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Significant components of the Company’s deferred tax assets and liabilities as of December 31, 2024, and 2023,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5"/>
        </w:trPr>
        <w:tc>
          <w:tcPr>
            <w:tcW w:w="4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spacing w:after="0"/>
              <w:rPr>
                <w:sz w:val="13"/>
                <w:szCs w:val="13"/>
                <w:color w:val="auto"/>
              </w:rPr>
            </w:pPr>
          </w:p>
        </w:tc>
      </w:tr>
      <w:tr>
        <w:trPr>
          <w:trHeight w:val="156"/>
        </w:trPr>
        <w:tc>
          <w:tcPr>
            <w:tcW w:w="4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Liabilities</w:t>
            </w: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in-process research and development</w:t>
            </w: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42,312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35,337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52,458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45,917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obligations, net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Fixed assets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Accrued rebates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5,100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790</w:t>
            </w: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197,879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733</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150,408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796</w:t>
            </w:r>
          </w:p>
        </w:tc>
      </w:tr>
      <w:tr>
        <w:trPr>
          <w:trHeight w:val="196"/>
        </w:trPr>
        <w:tc>
          <w:tcPr>
            <w:tcW w:w="4540" w:type="dxa"/>
            <w:vAlign w:val="bottom"/>
          </w:tcPr>
          <w:p>
            <w:pPr>
              <w:spacing w:after="0" w:line="196" w:lineRule="exact"/>
              <w:rPr>
                <w:sz w:val="20"/>
                <w:szCs w:val="20"/>
                <w:color w:val="auto"/>
              </w:rPr>
            </w:pPr>
            <w:r>
              <w:rPr>
                <w:rFonts w:ascii="Arial" w:cs="Arial" w:eastAsia="Arial" w:hAnsi="Arial"/>
                <w:sz w:val="18"/>
                <w:szCs w:val="18"/>
                <w:color w:val="auto"/>
              </w:rPr>
              <w:t>Net deferred tax asset</w:t>
            </w:r>
          </w:p>
        </w:tc>
        <w:tc>
          <w:tcPr>
            <w:tcW w:w="7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197,146</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149,612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(5,450)</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5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7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190,398</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144,162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December 31, 2024, and December 31, 2023, our deferred tax assets were primarily the result of acquired in-process research and development costs, operating loss carryforwards, capitalized research and development costs, inventory, and accrued rebates. During the years ended December 31, 2024 and 2023, the Company recorded a valuation allowance on federal net operating losses of the Company’s subsidiary, Zynerba Pharmaceuticals Pty Ltd., and the state net operating losses of Zynerba. The Company previously recorded a valuation allowance against Harmony’s historical deferred tax assets. The Company recorded $96,336 as a benefit to the income tax provision upon release of this valuation allowance during year ended December 31, 2022, in part because in the year ended December 31, 2022, we achieved three years of cumulative pretax income, which was a positive indication of the Company’s ability to generate sufficient future taxable income, the Company determined that there was sufficient positive evidence to conclude that it was more likely than not that additional deferred taxes are realizable and, therefore, released the valuation allowance accordingly. Changes in the valuation allowance for deferred tax assets during the years ended December 31, 2024, 2023 and 2022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56"/>
        </w:trPr>
        <w:tc>
          <w:tcPr>
            <w:tcW w:w="472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the beginning of the year</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(5,450)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(96,366)</w:t>
            </w:r>
          </w:p>
        </w:tc>
      </w:tr>
      <w:tr>
        <w:trPr>
          <w:trHeight w:val="203"/>
        </w:trPr>
        <w:tc>
          <w:tcPr>
            <w:tcW w:w="4720" w:type="dxa"/>
            <w:vAlign w:val="bottom"/>
          </w:tcPr>
          <w:p>
            <w:pPr>
              <w:ind w:left="120"/>
              <w:spacing w:after="0" w:line="202" w:lineRule="exact"/>
              <w:rPr>
                <w:sz w:val="20"/>
                <w:szCs w:val="20"/>
                <w:color w:val="auto"/>
              </w:rPr>
            </w:pPr>
            <w:r>
              <w:rPr>
                <w:rFonts w:ascii="Arial" w:cs="Arial" w:eastAsia="Arial" w:hAnsi="Arial"/>
                <w:sz w:val="18"/>
                <w:szCs w:val="18"/>
                <w:color w:val="auto"/>
              </w:rPr>
              <w:t>Decreases recorded as a benefit to income tax provision</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96,366</w:t>
            </w:r>
          </w:p>
        </w:tc>
      </w:tr>
      <w:tr>
        <w:trPr>
          <w:trHeight w:val="203"/>
        </w:trPr>
        <w:tc>
          <w:tcPr>
            <w:tcW w:w="4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Increases recorded to income tax provision</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Increases recorded in opening balance sheet</w:t>
            </w:r>
          </w:p>
        </w:tc>
        <w:tc>
          <w:tcPr>
            <w:tcW w:w="1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(3,875)</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the end of the year</w:t>
            </w:r>
          </w:p>
        </w:tc>
        <w:tc>
          <w:tcPr>
            <w:tcW w:w="13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(6,748)</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(5,450)</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848"/>
        </w:trPr>
        <w:tc>
          <w:tcPr>
            <w:tcW w:w="4720" w:type="dxa"/>
            <w:vAlign w:val="bottom"/>
          </w:tcPr>
          <w:p>
            <w:pPr>
              <w:spacing w:after="0"/>
              <w:rPr>
                <w:sz w:val="24"/>
                <w:szCs w:val="24"/>
                <w:color w:val="auto"/>
              </w:rPr>
            </w:pPr>
          </w:p>
        </w:tc>
        <w:tc>
          <w:tcPr>
            <w:tcW w:w="1340" w:type="dxa"/>
            <w:vAlign w:val="bottom"/>
          </w:tcPr>
          <w:p>
            <w:pPr>
              <w:jc w:val="right"/>
              <w:ind w:right="87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3"/>
        </w:trPr>
        <w:tc>
          <w:tcPr>
            <w:tcW w:w="4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of December 31, 2024, and 2023, the Company has approximately $220,243 and $179,390, respectively, of federal net operating loss ("NOL") carryforward available to offset future federal taxable income. The Company also has approximately $111,079 and $137,331 of state NOL carryforwards as of December 31, 2024, and 2023, respectively, available to offset future state taxable income. All of the Company’s tax years remain open to examination by federal and state taxing authorities. The Company’s state NOLs begin to expire in 2037. Utilization of the net operating loss carryforwards may be subject to a substantial limitation due to state provisions. These changes may limit the amount of net operating loss and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2024, and 2023, the Company has federal tax credits of $3,902 and $0,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RETIREMENT PLAN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formed a 401(k) defined contribution savings plan (the “401(k) Plan”) in January 2021. The 401(k) Plan is for the benefit of all qualifying employees and permits voluntary contributions by employees limited by the IRS-imposed maximum. Employer contributions were $2,457, $2,128, and $1,705 for the years ended December 31, 2024, 2023 and 2022,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RELATED-PARTY TRANSACTIONS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Company’s related party, Paragon, is an entity that shares common ownership with the Company. In addition, the Chairman of the Company’s board of directors was the President and owner of the entity. The Company is party to a right of use agreement with the related party whereby it has access to and the right to use certain office space leased by the related party in Chicago, Illinois. For the years ended December 31, 2024, 2023 and 2022, the Company incurred $290, $290 and $284, respectively, in expenses pursuant to the right of use agreement with this related party, which are included in general and administrative expense in the consolidated statements of operations and comprehensive income (loss). As of December 31, 2024, and 2023, there were no amounts due to or due from related parties included within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VALUATION AND QUALIFYING ACCOUNTS – ACCOUNTS RECEIVABLE, NET</w:t>
      </w:r>
    </w:p>
    <w:p>
      <w:pPr>
        <w:spacing w:after="0" w:line="21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Changes in the valuation allowance for accounts receivable, net during the years ended December 31, 2024, 2023, and 2022,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55"/>
        </w:trPr>
        <w:tc>
          <w:tcPr>
            <w:tcW w:w="59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2022</w:t>
            </w:r>
          </w:p>
        </w:tc>
      </w:tr>
      <w:tr>
        <w:trPr>
          <w:trHeight w:val="164"/>
        </w:trPr>
        <w:tc>
          <w:tcPr>
            <w:tcW w:w="590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Allowance for distribution fees, discounts and chargebacks at the</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03"/>
        </w:trPr>
        <w:tc>
          <w:tcPr>
            <w:tcW w:w="5900" w:type="dxa"/>
            <w:vAlign w:val="bottom"/>
          </w:tcPr>
          <w:p>
            <w:pPr>
              <w:ind w:left="120"/>
              <w:spacing w:after="0" w:line="202" w:lineRule="exact"/>
              <w:rPr>
                <w:sz w:val="20"/>
                <w:szCs w:val="20"/>
                <w:color w:val="auto"/>
              </w:rPr>
            </w:pPr>
            <w:r>
              <w:rPr>
                <w:rFonts w:ascii="Arial" w:cs="Arial" w:eastAsia="Arial" w:hAnsi="Arial"/>
                <w:sz w:val="18"/>
                <w:szCs w:val="18"/>
                <w:color w:val="auto"/>
              </w:rPr>
              <w:t>Additions due to current period provision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28,782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21,821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14,806</w:t>
            </w:r>
          </w:p>
        </w:tc>
      </w:tr>
      <w:tr>
        <w:trPr>
          <w:trHeight w:val="184"/>
        </w:trPr>
        <w:tc>
          <w:tcPr>
            <w:tcW w:w="59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Deductions due to payment of distribution fees, discount and</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1"/>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chargebacks</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(21,007)</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(14,861)</w:t>
            </w:r>
          </w:p>
        </w:tc>
      </w:tr>
      <w:tr>
        <w:trPr>
          <w:trHeight w:val="164"/>
        </w:trPr>
        <w:tc>
          <w:tcPr>
            <w:tcW w:w="5900" w:type="dxa"/>
            <w:vAlign w:val="bottom"/>
          </w:tcPr>
          <w:p>
            <w:pPr>
              <w:spacing w:after="0" w:line="163" w:lineRule="exact"/>
              <w:rPr>
                <w:sz w:val="20"/>
                <w:szCs w:val="20"/>
                <w:color w:val="auto"/>
              </w:rPr>
            </w:pPr>
            <w:r>
              <w:rPr>
                <w:rFonts w:ascii="Arial" w:cs="Arial" w:eastAsia="Arial" w:hAnsi="Arial"/>
                <w:sz w:val="18"/>
                <w:szCs w:val="18"/>
                <w:color w:val="auto"/>
              </w:rPr>
              <w:t>Allowance for distribution fees, discounts and chargebacks at the end of</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1"/>
        </w:trPr>
        <w:tc>
          <w:tcPr>
            <w:tcW w:w="5900" w:type="dxa"/>
            <w:vAlign w:val="bottom"/>
          </w:tcPr>
          <w:p>
            <w:pPr>
              <w:spacing w:after="0"/>
              <w:rPr>
                <w:sz w:val="20"/>
                <w:szCs w:val="20"/>
                <w:color w:val="auto"/>
              </w:rPr>
            </w:pPr>
            <w:r>
              <w:rPr>
                <w:rFonts w:ascii="Arial" w:cs="Arial" w:eastAsia="Arial" w:hAnsi="Arial"/>
                <w:sz w:val="18"/>
                <w:szCs w:val="18"/>
                <w:color w:val="auto"/>
              </w:rPr>
              <w:t>the year</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2,644</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Management of the Company is responsible for establishing and maintaining adequate internal control over the Company’s financial reporting, as defined in Rule 13a-15(f)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in the United States of America. Our independent registered public accounting firm, Deloitte &amp; Touche LLP, has issued an attestation report on our internal control over financial reporting that is included in this Annual Report on Form 10-K.</w:t>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2024, our management assessed the effectiveness of our internal control over financial reporting using the criteria set forth by the Committee of Sponsoring Organizations of the Treadway Commission in Internal Control-Integrated Framework (2013). Based on this assessment, management, under the supervision and with the participation of our principal executive officer and principal financial officer, concluded that, as of December 31, 2024, our internal control over financial reporting was effective. Our independent registered public accounting firm, Deloitte &amp; Touche LLP, has audited the effectiveness of our internal control over financial reporting as of December 31, 2024, as stated in their report which is included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audited the internal control over financial reporting of Harmony Biosciences Holdings,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quarter ended December 31, 2024, no director or officer of the Company adopted or terminated a “Rule 10b5-1 trading arrangement” or “non-Rule 10b5-1 trading arrangement,” as each term is defined in Item 408(a) of Regulation S-K.</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Disclosures Regarding Foreign Jurisdictions that Prevent Inspections.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2024 Annual Meeting of Stockholders and is incorporated by reference. The Proxy Statement will be filed with the SEC within 120 days of the fiscal year ended December 31, 2024.</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https://ir.harmonybiosciences.com. We will post any amendments to our code of business conduct and ethics other than technical, administrative or other non-substantive amendments, or waivers of its requirements, on our website or in a Form 8-K filed with the SEC.</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have adopted an Insider Trading Policy that governs the purchase, sale, and/or other dispositions of our securities by directors, officers and employees that is reasonably designed to promote compliance with insider trading laws, rules and regulations, and the listing requirements of NASDAQ. A copy of our Insider Trading Policy is filed as Exhibit 19.1 to this Annual Report on Form 10-K.</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2025 Annual Meeting of Stockholders and is incorporated herein by reference. The Proxy Statement will be filed with the SEC within 120 days of the fiscal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2025 Annual Meeting of Stockholders and is incorporated herein by reference. The Proxy Statement will be filed with the SEC within 120 days of the fiscal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2025 Annual Meeting of Stockholders and is incorporated herein by reference. The Proxy Statement will be filed with the SEC within 120 days of the fiscal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2025 Annual Meeting of Stockholders and is incorporated herein by reference. The Proxy Statement will be filed with the SEC within 120 days of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“Part II—Item 8. Financial Statements and Supplementary Data.—Index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those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gridSpan w:val="19"/>
          </w:tcPr>
          <w:p>
            <w:pPr>
              <w:ind w:left="880"/>
              <w:spacing w:after="0" w:line="155" w:lineRule="exact"/>
              <w:rPr>
                <w:sz w:val="20"/>
                <w:szCs w:val="20"/>
                <w:color w:val="auto"/>
              </w:rPr>
            </w:pPr>
            <w:r>
              <w:rPr>
                <w:rFonts w:ascii="Arial" w:cs="Arial" w:eastAsia="Arial" w:hAnsi="Arial"/>
                <w:sz w:val="14"/>
                <w:szCs w:val="14"/>
                <w:b w:val="1"/>
                <w:bCs w:val="1"/>
                <w:color w:val="auto"/>
              </w:rPr>
              <w:t>Exhibit Description</w:t>
            </w:r>
          </w:p>
        </w:tc>
        <w:tc>
          <w:tcPr>
            <w:tcW w:w="740" w:type="dxa"/>
            <w:vAlign w:val="bottom"/>
          </w:tcPr>
          <w:p>
            <w:pPr>
              <w:jc w:val="center"/>
              <w:ind w:left="132"/>
              <w:spacing w:after="0" w:line="155" w:lineRule="exact"/>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Date</w:t>
            </w: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4"/>
                <w:szCs w:val="14"/>
                <w:color w:val="auto"/>
              </w:rPr>
            </w:pPr>
          </w:p>
        </w:tc>
        <w:tc>
          <w:tcPr>
            <w:tcW w:w="3900" w:type="dxa"/>
            <w:vAlign w:val="bottom"/>
            <w:tcBorders>
              <w:top w:val="single" w:sz="8" w:color="auto"/>
            </w:tcBorders>
            <w:gridSpan w:val="20"/>
          </w:tcPr>
          <w:p>
            <w:pPr>
              <w:spacing w:after="0" w:line="169" w:lineRule="exact"/>
              <w:rPr>
                <w:rFonts w:ascii="Arial" w:cs="Arial" w:eastAsia="Arial" w:hAnsi="Arial"/>
                <w:sz w:val="18"/>
                <w:szCs w:val="18"/>
                <w:color w:val="0000EE"/>
              </w:rPr>
            </w:pPr>
            <w:hyperlink r:id="rId129">
              <w:r>
                <w:rPr>
                  <w:rFonts w:ascii="Arial" w:cs="Arial" w:eastAsia="Arial" w:hAnsi="Arial"/>
                  <w:sz w:val="18"/>
                  <w:szCs w:val="18"/>
                  <w:color w:val="0000EE"/>
                </w:rPr>
                <w:t>Agreement and Plan of Merger, dated August</w:t>
              </w:r>
            </w:hyperlink>
          </w:p>
        </w:tc>
        <w:tc>
          <w:tcPr>
            <w:tcW w:w="180" w:type="dxa"/>
            <w:vAlign w:val="bottom"/>
          </w:tcPr>
          <w:p>
            <w:pPr>
              <w:spacing w:after="0"/>
              <w:rPr>
                <w:sz w:val="14"/>
                <w:szCs w:val="14"/>
                <w:color w:val="auto"/>
              </w:rPr>
            </w:pPr>
          </w:p>
        </w:tc>
        <w:tc>
          <w:tcPr>
            <w:tcW w:w="740" w:type="dxa"/>
            <w:vAlign w:val="bottom"/>
            <w:tcBorders>
              <w:top w:val="single" w:sz="8" w:color="auto"/>
            </w:tcBorders>
          </w:tcPr>
          <w:p>
            <w:pPr>
              <w:jc w:val="center"/>
              <w:ind w:left="132"/>
              <w:spacing w:after="0" w:line="169" w:lineRule="exact"/>
              <w:rPr>
                <w:sz w:val="20"/>
                <w:szCs w:val="20"/>
                <w:color w:val="auto"/>
              </w:rPr>
            </w:pPr>
            <w:r>
              <w:rPr>
                <w:rFonts w:ascii="Arial" w:cs="Arial" w:eastAsia="Arial" w:hAnsi="Arial"/>
                <w:sz w:val="18"/>
                <w:szCs w:val="18"/>
                <w:color w:val="auto"/>
                <w:w w:val="97"/>
              </w:rPr>
              <w:t>8-K/A</w:t>
            </w: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September</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152"/>
              <w:spacing w:after="0" w:line="169" w:lineRule="exact"/>
              <w:rPr>
                <w:sz w:val="20"/>
                <w:szCs w:val="20"/>
                <w:color w:val="auto"/>
              </w:rPr>
            </w:pPr>
            <w:r>
              <w:rPr>
                <w:rFonts w:ascii="Arial" w:cs="Arial" w:eastAsia="Arial" w:hAnsi="Arial"/>
                <w:sz w:val="18"/>
                <w:szCs w:val="18"/>
                <w:color w:val="auto"/>
                <w:w w:val="95"/>
              </w:rPr>
              <w:t>2.1</w:t>
            </w:r>
          </w:p>
        </w:tc>
        <w:tc>
          <w:tcPr>
            <w:tcW w:w="1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14, 2023, by and among Harmony Biosciences</w:t>
              </w:r>
            </w:hyperlink>
          </w:p>
        </w:tc>
        <w:tc>
          <w:tcPr>
            <w:tcW w:w="10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w w:val="99"/>
              </w:rPr>
              <w:t>14, 2023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Holdings, Inc., Xylophone Acquisition Corp. and</w:t>
              </w:r>
            </w:hyperlink>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3800" w:type="dxa"/>
            <w:vAlign w:val="bottom"/>
            <w:gridSpan w:val="17"/>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Zynerba Pharmaceuticals, Inc.</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vMerge w:val="restart"/>
          </w:tcPr>
          <w:p>
            <w:pPr>
              <w:jc w:val="center"/>
              <w:ind w:left="132"/>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vMerge w:val="restart"/>
          </w:tcPr>
          <w:p>
            <w:pPr>
              <w:jc w:val="center"/>
              <w:ind w:right="152"/>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1"/>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Amended and Restated Certificate of</w:t>
              </w:r>
            </w:hyperlink>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tcBorders>
              <w:top w:val="single" w:sz="8" w:color="0000EE"/>
            </w:tcBorders>
            <w:gridSpan w:val="8"/>
          </w:tcPr>
          <w:p>
            <w:pPr>
              <w:spacing w:after="0" w:line="182" w:lineRule="exact"/>
              <w:rPr>
                <w:rFonts w:ascii="Arial" w:cs="Arial" w:eastAsia="Arial" w:hAnsi="Arial"/>
                <w:sz w:val="18"/>
                <w:szCs w:val="18"/>
                <w:color w:val="0000EE"/>
                <w:w w:val="96"/>
              </w:rPr>
            </w:pPr>
            <w:hyperlink r:id="rId130">
              <w:r>
                <w:rPr>
                  <w:rFonts w:ascii="Arial" w:cs="Arial" w:eastAsia="Arial" w:hAnsi="Arial"/>
                  <w:sz w:val="18"/>
                  <w:szCs w:val="18"/>
                  <w:color w:val="0000EE"/>
                  <w:w w:val="96"/>
                </w:rPr>
                <w:t>Incorporation of Harmony Biosciences</w:t>
              </w:r>
            </w:hyperlink>
          </w:p>
        </w:tc>
        <w:tc>
          <w:tcPr>
            <w:tcW w:w="20" w:type="dxa"/>
            <w:vAlign w:val="bottom"/>
          </w:tcPr>
          <w:p>
            <w:pPr>
              <w:spacing w:after="0"/>
              <w:rPr>
                <w:sz w:val="15"/>
                <w:szCs w:val="15"/>
                <w:color w:val="auto"/>
              </w:rPr>
            </w:pPr>
          </w:p>
        </w:tc>
        <w:tc>
          <w:tcPr>
            <w:tcW w:w="1100" w:type="dxa"/>
            <w:vAlign w:val="bottom"/>
            <w:gridSpan w:val="12"/>
          </w:tcPr>
          <w:p>
            <w:pPr>
              <w:ind w:left="100"/>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Holdings,</w:t>
              </w:r>
            </w:hyperlink>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Inc.</w:t>
              </w:r>
            </w:hyperlink>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4080" w:type="dxa"/>
            <w:vAlign w:val="bottom"/>
            <w:gridSpan w:val="21"/>
          </w:tcPr>
          <w:p>
            <w:pPr>
              <w:spacing w:after="0"/>
              <w:rPr>
                <w:rFonts w:ascii="Arial" w:cs="Arial" w:eastAsia="Arial" w:hAnsi="Arial"/>
                <w:sz w:val="18"/>
                <w:szCs w:val="18"/>
                <w:color w:val="0000EE"/>
              </w:rPr>
            </w:pPr>
            <w:hyperlink r:id="rId131">
              <w:r>
                <w:rPr>
                  <w:rFonts w:ascii="Arial" w:cs="Arial" w:eastAsia="Arial" w:hAnsi="Arial"/>
                  <w:sz w:val="18"/>
                  <w:szCs w:val="18"/>
                  <w:color w:val="0000EE"/>
                </w:rPr>
                <w:t>Amended and Restated Bylaws.</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4080" w:type="dxa"/>
            <w:vAlign w:val="bottom"/>
            <w:gridSpan w:val="21"/>
          </w:tcPr>
          <w:p>
            <w:pPr>
              <w:spacing w:after="0"/>
              <w:rPr>
                <w:rFonts w:ascii="Arial" w:cs="Arial" w:eastAsia="Arial" w:hAnsi="Arial"/>
                <w:sz w:val="18"/>
                <w:szCs w:val="18"/>
                <w:color w:val="0000EE"/>
              </w:rPr>
            </w:pPr>
            <w:hyperlink r:id="rId132">
              <w:r>
                <w:rPr>
                  <w:rFonts w:ascii="Arial" w:cs="Arial" w:eastAsia="Arial" w:hAnsi="Arial"/>
                  <w:sz w:val="18"/>
                  <w:szCs w:val="18"/>
                  <w:color w:val="0000EE"/>
                </w:rPr>
                <w:t>Form of Common Stock Certificate.</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7"/>
              </w:rPr>
              <w:t>S-1/A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rPr>
              <w:t>August 6,</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4080" w:type="dxa"/>
            <w:vAlign w:val="bottom"/>
            <w:gridSpan w:val="21"/>
          </w:tcPr>
          <w:p>
            <w:pPr>
              <w:spacing w:after="0"/>
              <w:rPr>
                <w:rFonts w:ascii="Arial" w:cs="Arial" w:eastAsia="Arial" w:hAnsi="Arial"/>
                <w:sz w:val="18"/>
                <w:szCs w:val="18"/>
                <w:color w:val="0000EE"/>
              </w:rPr>
            </w:pPr>
            <w:hyperlink r:id="rId133">
              <w:r>
                <w:rPr>
                  <w:rFonts w:ascii="Arial" w:cs="Arial" w:eastAsia="Arial" w:hAnsi="Arial"/>
                  <w:sz w:val="18"/>
                  <w:szCs w:val="18"/>
                  <w:color w:val="0000EE"/>
                </w:rPr>
                <w:t>Description of Registrant’s Securities.</w:t>
              </w:r>
            </w:hyperlink>
          </w:p>
        </w:tc>
        <w:tc>
          <w:tcPr>
            <w:tcW w:w="740" w:type="dxa"/>
            <w:vAlign w:val="bottom"/>
          </w:tcPr>
          <w:p>
            <w:pPr>
              <w:jc w:val="center"/>
              <w:ind w:left="152"/>
              <w:spacing w:after="0"/>
              <w:rPr>
                <w:sz w:val="20"/>
                <w:szCs w:val="20"/>
                <w:color w:val="auto"/>
              </w:rPr>
            </w:pPr>
            <w:r>
              <w:rPr>
                <w:rFonts w:ascii="Arial" w:cs="Arial" w:eastAsia="Arial" w:hAnsi="Arial"/>
                <w:sz w:val="18"/>
                <w:szCs w:val="18"/>
                <w:color w:val="auto"/>
                <w:w w:val="99"/>
              </w:rPr>
              <w:t>10-K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March 25,</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4080" w:type="dxa"/>
            <w:vAlign w:val="bottom"/>
            <w:gridSpan w:val="21"/>
          </w:tcPr>
          <w:p>
            <w:pPr>
              <w:spacing w:after="0"/>
              <w:rPr>
                <w:rFonts w:ascii="Arial" w:cs="Arial" w:eastAsia="Arial" w:hAnsi="Arial"/>
                <w:sz w:val="18"/>
                <w:szCs w:val="18"/>
                <w:color w:val="0000EE"/>
              </w:rPr>
            </w:pPr>
            <w:hyperlink r:id="rId134">
              <w:r>
                <w:rPr>
                  <w:rFonts w:ascii="Arial" w:cs="Arial" w:eastAsia="Arial" w:hAnsi="Arial"/>
                  <w:sz w:val="18"/>
                  <w:szCs w:val="18"/>
                  <w:color w:val="0000EE"/>
                </w:rPr>
                <w:t>Harmony Biosciences Holdings, Inc. 2020</w:t>
              </w:r>
            </w:hyperlink>
          </w:p>
        </w:tc>
        <w:tc>
          <w:tcPr>
            <w:tcW w:w="740" w:type="dxa"/>
            <w:vAlign w:val="bottom"/>
          </w:tcPr>
          <w:p>
            <w:pPr>
              <w:jc w:val="center"/>
              <w:ind w:left="152"/>
              <w:spacing w:after="0"/>
              <w:rPr>
                <w:sz w:val="20"/>
                <w:szCs w:val="20"/>
                <w:color w:val="auto"/>
              </w:rPr>
            </w:pPr>
            <w:r>
              <w:rPr>
                <w:rFonts w:ascii="Arial" w:cs="Arial" w:eastAsia="Arial" w:hAnsi="Arial"/>
                <w:sz w:val="18"/>
                <w:szCs w:val="18"/>
                <w:color w:val="auto"/>
                <w:w w:val="99"/>
              </w:rPr>
              <w:t>10-K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February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Borders>
              <w:top w:val="single" w:sz="8" w:color="0000EE"/>
            </w:tcBorders>
            <w:gridSpan w:val="10"/>
          </w:tcPr>
          <w:p>
            <w:pPr>
              <w:spacing w:after="0" w:line="182"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Incentive Award Plan, as amended by the</w:t>
              </w:r>
            </w:hyperlink>
          </w:p>
        </w:tc>
        <w:tc>
          <w:tcPr>
            <w:tcW w:w="760" w:type="dxa"/>
            <w:vAlign w:val="bottom"/>
            <w:gridSpan w:val="11"/>
          </w:tcPr>
          <w:p>
            <w:pPr>
              <w:ind w:left="40"/>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First</w:t>
              </w:r>
            </w:hyperlink>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Amendment to the Plan, dated March 24, 2022.</w:t>
              </w:r>
            </w:hyperlink>
          </w:p>
        </w:tc>
        <w:tc>
          <w:tcPr>
            <w:tcW w:w="60" w:type="dxa"/>
            <w:vAlign w:val="bottom"/>
            <w:tcBorders>
              <w:bottom w:val="single" w:sz="8" w:color="0000EE"/>
            </w:tcBorders>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4080" w:type="dxa"/>
            <w:vAlign w:val="bottom"/>
            <w:gridSpan w:val="21"/>
          </w:tcPr>
          <w:p>
            <w:pPr>
              <w:spacing w:after="0"/>
              <w:rPr>
                <w:rFonts w:ascii="Arial" w:cs="Arial" w:eastAsia="Arial" w:hAnsi="Arial"/>
                <w:sz w:val="18"/>
                <w:szCs w:val="18"/>
                <w:color w:val="0000EE"/>
              </w:rPr>
            </w:pPr>
            <w:hyperlink r:id="rId135">
              <w:r>
                <w:rPr>
                  <w:rFonts w:ascii="Arial" w:cs="Arial" w:eastAsia="Arial" w:hAnsi="Arial"/>
                  <w:sz w:val="18"/>
                  <w:szCs w:val="18"/>
                  <w:color w:val="0000EE"/>
                </w:rPr>
                <w:t>Form of Option Agreement under Harmony</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S-8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Biosciences Holdings, Inc. 2020 Incentive</w:t>
              </w:r>
            </w:hyperlink>
          </w:p>
        </w:tc>
        <w:tc>
          <w:tcPr>
            <w:tcW w:w="640" w:type="dxa"/>
            <w:vAlign w:val="bottom"/>
            <w:gridSpan w:val="9"/>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Award</w:t>
              </w:r>
            </w:hyperlink>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Plan.</w:t>
              </w:r>
            </w:hyperlink>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4080" w:type="dxa"/>
            <w:vAlign w:val="bottom"/>
            <w:gridSpan w:val="21"/>
          </w:tcPr>
          <w:p>
            <w:pPr>
              <w:spacing w:after="0"/>
              <w:rPr>
                <w:rFonts w:ascii="Arial" w:cs="Arial" w:eastAsia="Arial" w:hAnsi="Arial"/>
                <w:sz w:val="18"/>
                <w:szCs w:val="18"/>
                <w:color w:val="0000EE"/>
              </w:rPr>
            </w:pPr>
            <w:hyperlink r:id="rId136">
              <w:r>
                <w:rPr>
                  <w:rFonts w:ascii="Arial" w:cs="Arial" w:eastAsia="Arial" w:hAnsi="Arial"/>
                  <w:sz w:val="18"/>
                  <w:szCs w:val="18"/>
                  <w:color w:val="0000EE"/>
                </w:rPr>
                <w:t>Form of Restricted Stock Unit Agreement under</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7"/>
              </w:rPr>
              <w:t>S-1/A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Harmony Biosciences Holdings, Inc. 2020</w:t>
              </w:r>
            </w:hyperlink>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136">
              <w:r>
                <w:rPr>
                  <w:rFonts w:ascii="Arial" w:cs="Arial" w:eastAsia="Arial" w:hAnsi="Arial"/>
                  <w:sz w:val="18"/>
                  <w:szCs w:val="18"/>
                  <w:color w:val="0000EE"/>
                  <w:w w:val="98"/>
                </w:rPr>
                <w:t>Incentive Award Plan.</w:t>
              </w:r>
            </w:hyperlink>
          </w:p>
        </w:tc>
        <w:tc>
          <w:tcPr>
            <w:tcW w:w="1580" w:type="dxa"/>
            <w:vAlign w:val="bottom"/>
            <w:tcBorders>
              <w:top w:val="single" w:sz="8" w:color="0000EE"/>
            </w:tcBorders>
            <w:gridSpan w:val="7"/>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10"/>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4080" w:type="dxa"/>
            <w:vAlign w:val="bottom"/>
            <w:gridSpan w:val="21"/>
          </w:tcPr>
          <w:p>
            <w:pPr>
              <w:spacing w:after="0"/>
              <w:rPr>
                <w:rFonts w:ascii="Arial" w:cs="Arial" w:eastAsia="Arial" w:hAnsi="Arial"/>
                <w:sz w:val="18"/>
                <w:szCs w:val="18"/>
                <w:color w:val="0000EE"/>
              </w:rPr>
            </w:pPr>
            <w:hyperlink r:id="rId137">
              <w:r>
                <w:rPr>
                  <w:rFonts w:ascii="Arial" w:cs="Arial" w:eastAsia="Arial" w:hAnsi="Arial"/>
                  <w:sz w:val="18"/>
                  <w:szCs w:val="18"/>
                  <w:color w:val="0000EE"/>
                </w:rPr>
                <w:t>Harmony Biosciences Holdings, Inc. 2020</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7"/>
              </w:rPr>
              <w:t>S-1/A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Employee Stock Purchase Plan.</w:t>
              </w:r>
            </w:hyperlink>
          </w:p>
        </w:tc>
        <w:tc>
          <w:tcPr>
            <w:tcW w:w="100" w:type="dxa"/>
            <w:vAlign w:val="bottom"/>
          </w:tcPr>
          <w:p>
            <w:pPr>
              <w:spacing w:after="0"/>
              <w:rPr>
                <w:sz w:val="15"/>
                <w:szCs w:val="15"/>
                <w:color w:val="auto"/>
              </w:rPr>
            </w:pPr>
          </w:p>
        </w:tc>
        <w:tc>
          <w:tcPr>
            <w:tcW w:w="660" w:type="dxa"/>
            <w:vAlign w:val="bottom"/>
            <w:gridSpan w:val="10"/>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10.5.1*</w:t>
            </w:r>
          </w:p>
        </w:tc>
        <w:tc>
          <w:tcPr>
            <w:tcW w:w="18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99"/>
              </w:rPr>
            </w:pPr>
            <w:hyperlink r:id="rId138">
              <w:r>
                <w:rPr>
                  <w:rFonts w:ascii="Arial" w:cs="Arial" w:eastAsia="Arial" w:hAnsi="Arial"/>
                  <w:sz w:val="18"/>
                  <w:szCs w:val="18"/>
                  <w:color w:val="0000EE"/>
                  <w:w w:val="99"/>
                </w:rPr>
                <w:t>Amended and Restated Employment</w:t>
              </w:r>
            </w:hyperlink>
          </w:p>
        </w:tc>
        <w:tc>
          <w:tcPr>
            <w:tcW w:w="1140" w:type="dxa"/>
            <w:vAlign w:val="bottom"/>
            <w:gridSpan w:val="14"/>
          </w:tcPr>
          <w:p>
            <w:pPr>
              <w:spacing w:after="0"/>
              <w:rPr>
                <w:sz w:val="24"/>
                <w:szCs w:val="24"/>
                <w:color w:val="auto"/>
              </w:rPr>
            </w:pPr>
          </w:p>
        </w:tc>
        <w:tc>
          <w:tcPr>
            <w:tcW w:w="740" w:type="dxa"/>
            <w:vAlign w:val="bottom"/>
          </w:tcPr>
          <w:p>
            <w:pPr>
              <w:jc w:val="center"/>
              <w:ind w:left="132"/>
              <w:spacing w:after="0"/>
              <w:rPr>
                <w:sz w:val="20"/>
                <w:szCs w:val="20"/>
                <w:color w:val="auto"/>
              </w:rPr>
            </w:pPr>
            <w:r>
              <w:rPr>
                <w:rFonts w:ascii="Arial" w:cs="Arial" w:eastAsia="Arial" w:hAnsi="Arial"/>
                <w:sz w:val="16"/>
                <w:szCs w:val="16"/>
                <w:color w:val="auto"/>
                <w:w w:val="99"/>
              </w:rPr>
              <w:t>S-1/A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6"/>
                <w:szCs w:val="16"/>
                <w:color w:val="auto"/>
              </w:rPr>
              <w:t>August 11,</w:t>
            </w:r>
          </w:p>
        </w:tc>
        <w:tc>
          <w:tcPr>
            <w:tcW w:w="760" w:type="dxa"/>
            <w:vAlign w:val="bottom"/>
          </w:tcPr>
          <w:p>
            <w:pPr>
              <w:jc w:val="center"/>
              <w:ind w:right="152"/>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Agreement, dated August 11, 2020, by and</w:t>
              </w:r>
            </w:hyperlink>
          </w:p>
        </w:tc>
        <w:tc>
          <w:tcPr>
            <w:tcW w:w="660" w:type="dxa"/>
            <w:vAlign w:val="bottom"/>
            <w:gridSpan w:val="10"/>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3" w:lineRule="exact"/>
              <w:rPr>
                <w:sz w:val="20"/>
                <w:szCs w:val="20"/>
                <w:color w:val="auto"/>
              </w:rPr>
            </w:pPr>
            <w:r>
              <w:rPr>
                <w:rFonts w:ascii="Arial" w:cs="Arial" w:eastAsia="Arial" w:hAnsi="Arial"/>
                <w:sz w:val="16"/>
                <w:szCs w:val="16"/>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17"/>
          </w:tcPr>
          <w:p>
            <w:pPr>
              <w:ind w:left="3500"/>
              <w:spacing w:after="0"/>
              <w:rPr>
                <w:sz w:val="20"/>
                <w:szCs w:val="20"/>
                <w:color w:val="auto"/>
              </w:rPr>
            </w:pPr>
            <w:r>
              <w:rPr>
                <w:rFonts w:ascii="Arial" w:cs="Arial" w:eastAsia="Arial" w:hAnsi="Arial"/>
                <w:sz w:val="18"/>
                <w:szCs w:val="18"/>
                <w:color w:val="auto"/>
                <w:w w:val="93"/>
              </w:rPr>
              <w:t>121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38">
              <w:r>
                <w:rPr>
                  <w:rFonts w:ascii="Arial" w:cs="Arial" w:eastAsia="Arial" w:hAnsi="Arial"/>
                  <w:sz w:val="18"/>
                  <w:szCs w:val="18"/>
                  <w:color w:val="0000EE"/>
                </w:rPr>
                <w:t>between Harmony Biosciences, LLC and John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0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C. Jacobs.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10.5.2*</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39">
              <w:r>
                <w:rPr>
                  <w:rFonts w:ascii="Arial" w:cs="Arial" w:eastAsia="Arial" w:hAnsi="Arial"/>
                  <w:sz w:val="18"/>
                  <w:szCs w:val="18"/>
                  <w:color w:val="0000EE"/>
                </w:rPr>
                <w:t>Acknowledgment and Release Agreement,</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dated January 20, 2023, by and between</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Harmony Biosciences Holdings, Inc. and</w:t>
              </w:r>
            </w:hyperlink>
          </w:p>
        </w:tc>
        <w:tc>
          <w:tcPr>
            <w:tcW w:w="660" w:type="dxa"/>
            <w:vAlign w:val="bottom"/>
            <w:gridSpan w:val="26"/>
          </w:tcPr>
          <w:p>
            <w:pPr>
              <w:ind w:left="20"/>
              <w:spacing w:after="0" w:line="182" w:lineRule="exact"/>
              <w:rPr>
                <w:rFonts w:ascii="Arial" w:cs="Arial" w:eastAsia="Arial" w:hAnsi="Arial"/>
                <w:sz w:val="18"/>
                <w:szCs w:val="18"/>
                <w:color w:val="0000EE"/>
                <w:w w:val="99"/>
              </w:rPr>
            </w:pPr>
            <w:hyperlink r:id="rId139">
              <w:r>
                <w:rPr>
                  <w:rFonts w:ascii="Arial" w:cs="Arial" w:eastAsia="Arial" w:hAnsi="Arial"/>
                  <w:sz w:val="18"/>
                  <w:szCs w:val="18"/>
                  <w:color w:val="0000EE"/>
                  <w:w w:val="99"/>
                </w:rPr>
                <w:t>John C.</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r:id="rId139">
              <w:r>
                <w:rPr>
                  <w:rFonts w:ascii="Arial" w:cs="Arial" w:eastAsia="Arial" w:hAnsi="Arial"/>
                  <w:sz w:val="18"/>
                  <w:szCs w:val="18"/>
                  <w:color w:val="0000EE"/>
                  <w:w w:val="96"/>
                </w:rPr>
                <w:t>Jacobs.</w:t>
              </w:r>
            </w:hyperlink>
          </w:p>
        </w:tc>
        <w:tc>
          <w:tcPr>
            <w:tcW w:w="3280" w:type="dxa"/>
            <w:vAlign w:val="bottom"/>
            <w:tcBorders>
              <w:top w:val="single" w:sz="8" w:color="0000EE"/>
            </w:tcBorders>
            <w:gridSpan w:val="35"/>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40">
              <w:r>
                <w:rPr>
                  <w:rFonts w:ascii="Arial" w:cs="Arial" w:eastAsia="Arial" w:hAnsi="Arial"/>
                  <w:sz w:val="18"/>
                  <w:szCs w:val="18"/>
                  <w:color w:val="0000EE"/>
                </w:rPr>
                <w:t>Form of Indemnification Agreement between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7"/>
              </w:rPr>
            </w:pPr>
            <w:hyperlink r:id="rId140">
              <w:r>
                <w:rPr>
                  <w:rFonts w:ascii="Arial" w:cs="Arial" w:eastAsia="Arial" w:hAnsi="Arial"/>
                  <w:sz w:val="18"/>
                  <w:szCs w:val="18"/>
                  <w:color w:val="0000EE"/>
                  <w:w w:val="97"/>
                </w:rPr>
                <w:t>Harmony Biosciences, LLC and each director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gridSpan w:val="24"/>
          </w:tcPr>
          <w:p>
            <w:pPr>
              <w:spacing w:after="0" w:line="182" w:lineRule="exact"/>
              <w:rPr>
                <w:rFonts w:ascii="Arial" w:cs="Arial" w:eastAsia="Arial" w:hAnsi="Arial"/>
                <w:sz w:val="18"/>
                <w:szCs w:val="18"/>
                <w:color w:val="0000EE"/>
              </w:rPr>
            </w:pPr>
            <w:hyperlink r:id="rId140">
              <w:r>
                <w:rPr>
                  <w:rFonts w:ascii="Arial" w:cs="Arial" w:eastAsia="Arial" w:hAnsi="Arial"/>
                  <w:sz w:val="18"/>
                  <w:szCs w:val="18"/>
                  <w:color w:val="0000EE"/>
                </w:rPr>
                <w:t>and executive officer.</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4"/>
                <w:szCs w:val="24"/>
                <w:color w:val="auto"/>
              </w:rPr>
            </w:pPr>
          </w:p>
        </w:tc>
        <w:tc>
          <w:tcPr>
            <w:tcW w:w="3560" w:type="dxa"/>
            <w:vAlign w:val="bottom"/>
            <w:tcBorders>
              <w:bottom w:val="single" w:sz="8" w:color="0000EE"/>
            </w:tcBorders>
            <w:gridSpan w:val="21"/>
          </w:tcPr>
          <w:p>
            <w:pPr>
              <w:spacing w:after="0"/>
              <w:rPr>
                <w:rFonts w:ascii="Arial" w:cs="Arial" w:eastAsia="Arial" w:hAnsi="Arial"/>
                <w:sz w:val="18"/>
                <w:szCs w:val="18"/>
                <w:color w:val="0000EE"/>
                <w:w w:val="99"/>
              </w:rPr>
            </w:pPr>
            <w:hyperlink r:id="rId141">
              <w:r>
                <w:rPr>
                  <w:rFonts w:ascii="Arial" w:cs="Arial" w:eastAsia="Arial" w:hAnsi="Arial"/>
                  <w:sz w:val="18"/>
                  <w:szCs w:val="18"/>
                  <w:color w:val="0000EE"/>
                  <w:w w:val="99"/>
                </w:rPr>
                <w:t>Harmony Biosciences, LLC Separation Plan.</w:t>
              </w:r>
            </w:hyperlink>
          </w:p>
        </w:tc>
        <w:tc>
          <w:tcPr>
            <w:tcW w:w="360" w:type="dxa"/>
            <w:vAlign w:val="bottom"/>
            <w:gridSpan w:val="17"/>
          </w:tcPr>
          <w:p>
            <w:pPr>
              <w:spacing w:after="0"/>
              <w:rPr>
                <w:sz w:val="24"/>
                <w:szCs w:val="24"/>
                <w:color w:val="auto"/>
              </w:rPr>
            </w:pPr>
          </w:p>
        </w:tc>
      </w:tr>
      <w:tr>
        <w:trPr>
          <w:trHeight w:val="560"/>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42">
              <w:r>
                <w:rPr>
                  <w:rFonts w:ascii="Arial" w:cs="Arial" w:eastAsia="Arial" w:hAnsi="Arial"/>
                  <w:sz w:val="18"/>
                  <w:szCs w:val="18"/>
                  <w:color w:val="0000EE"/>
                </w:rPr>
                <w:t>Harmony Biosciences Holdings, Inc. Amended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and Restated 2017 Equity Incentive Plan.</w:t>
              </w:r>
            </w:hyperlink>
          </w:p>
        </w:tc>
        <w:tc>
          <w:tcPr>
            <w:tcW w:w="42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43">
              <w:r>
                <w:rPr>
                  <w:rFonts w:ascii="Arial" w:cs="Arial" w:eastAsia="Arial" w:hAnsi="Arial"/>
                  <w:sz w:val="18"/>
                  <w:szCs w:val="18"/>
                  <w:color w:val="0000EE"/>
                </w:rPr>
                <w:t>Harmony Biosciences Holdings, Inc. Non-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Employee Director Compensation Program.</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10.10.1*</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44">
              <w:r>
                <w:rPr>
                  <w:rFonts w:ascii="Arial" w:cs="Arial" w:eastAsia="Arial" w:hAnsi="Arial"/>
                  <w:sz w:val="18"/>
                  <w:szCs w:val="18"/>
                  <w:color w:val="0000EE"/>
                </w:rPr>
                <w:t>Offer Letter, dated October 10, 2017, by and</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8"/>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between Harmony Biosciences, LLC and Jeffrey</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Dayno.</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10.10.2*</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45">
              <w:r>
                <w:rPr>
                  <w:rFonts w:ascii="Arial" w:cs="Arial" w:eastAsia="Arial" w:hAnsi="Arial"/>
                  <w:sz w:val="18"/>
                  <w:szCs w:val="18"/>
                  <w:color w:val="0000EE"/>
                </w:rPr>
                <w:t>Promotion Letter Agreement, dated January 23,</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2023, by and between Harmony Biosciences</w:t>
              </w:r>
            </w:hyperlink>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Holdings, Inc. and Jeffrey M. Dayno, M.D.</w:t>
              </w:r>
            </w:hyperlink>
          </w:p>
        </w:tc>
        <w:tc>
          <w:tcPr>
            <w:tcW w:w="24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10.10.3*</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46">
              <w:r>
                <w:rPr>
                  <w:rFonts w:ascii="Arial" w:cs="Arial" w:eastAsia="Arial" w:hAnsi="Arial"/>
                  <w:sz w:val="18"/>
                  <w:szCs w:val="18"/>
                  <w:color w:val="0000EE"/>
                </w:rPr>
                <w:t>Executive Employment Agreement, dated April</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24, 2023, between Harmony Biosciences, LLC</w:t>
              </w:r>
            </w:hyperlink>
          </w:p>
        </w:tc>
        <w:tc>
          <w:tcPr>
            <w:tcW w:w="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and Jeffrey M. Dayno, M.D.</w:t>
              </w:r>
            </w:hyperlink>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47">
              <w:r>
                <w:rPr>
                  <w:rFonts w:ascii="Arial" w:cs="Arial" w:eastAsia="Arial" w:hAnsi="Arial"/>
                  <w:sz w:val="18"/>
                  <w:szCs w:val="18"/>
                  <w:color w:val="0000EE"/>
                </w:rPr>
                <w:t>Offer Letter, dated September 8, 2017, by and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between Harmony Biosciences, LLC and</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47">
              <w:r>
                <w:rPr>
                  <w:rFonts w:ascii="Arial" w:cs="Arial" w:eastAsia="Arial" w:hAnsi="Arial"/>
                  <w:sz w:val="18"/>
                  <w:szCs w:val="18"/>
                  <w:color w:val="0000EE"/>
                  <w:w w:val="98"/>
                </w:rPr>
                <w:t>Andrew Serafin.</w:t>
              </w:r>
            </w:hyperlink>
          </w:p>
        </w:tc>
        <w:tc>
          <w:tcPr>
            <w:tcW w:w="1960" w:type="dxa"/>
            <w:vAlign w:val="bottom"/>
            <w:tcBorders>
              <w:top w:val="single" w:sz="8" w:color="0000EE"/>
            </w:tcBorders>
            <w:gridSpan w:val="7"/>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40" w:type="dxa"/>
            <w:vAlign w:val="bottom"/>
          </w:tcPr>
          <w:p>
            <w:pPr>
              <w:spacing w:after="0"/>
              <w:rPr>
                <w:sz w:val="24"/>
                <w:szCs w:val="24"/>
                <w:color w:val="auto"/>
              </w:rPr>
            </w:pPr>
          </w:p>
        </w:tc>
        <w:tc>
          <w:tcPr>
            <w:tcW w:w="3520" w:type="dxa"/>
            <w:vAlign w:val="bottom"/>
            <w:tcBorders>
              <w:bottom w:val="single" w:sz="8" w:color="0000EE"/>
            </w:tcBorders>
            <w:gridSpan w:val="19"/>
          </w:tcPr>
          <w:p>
            <w:pPr>
              <w:spacing w:after="0"/>
              <w:rPr>
                <w:rFonts w:ascii="Arial" w:cs="Arial" w:eastAsia="Arial" w:hAnsi="Arial"/>
                <w:sz w:val="18"/>
                <w:szCs w:val="18"/>
                <w:color w:val="0000EE"/>
                <w:w w:val="99"/>
              </w:rPr>
            </w:pPr>
            <w:hyperlink r:id="rId148">
              <w:r>
                <w:rPr>
                  <w:rFonts w:ascii="Arial" w:cs="Arial" w:eastAsia="Arial" w:hAnsi="Arial"/>
                  <w:sz w:val="18"/>
                  <w:szCs w:val="18"/>
                  <w:color w:val="0000EE"/>
                  <w:w w:val="99"/>
                </w:rPr>
                <w:t>License and Commercialization Agreement,</w:t>
              </w:r>
            </w:hyperlink>
          </w:p>
        </w:tc>
        <w:tc>
          <w:tcPr>
            <w:tcW w:w="400" w:type="dxa"/>
            <w:vAlign w:val="bottom"/>
            <w:gridSpan w:val="19"/>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8"/>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dated July 28, 2017, by and between Bioprojet</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Société Civile de Recherche and Harmony</w:t>
              </w:r>
            </w:hyperlink>
          </w:p>
        </w:tc>
        <w:tc>
          <w:tcPr>
            <w:tcW w:w="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48">
              <w:r>
                <w:rPr>
                  <w:rFonts w:ascii="Arial" w:cs="Arial" w:eastAsia="Arial" w:hAnsi="Arial"/>
                  <w:sz w:val="18"/>
                  <w:szCs w:val="18"/>
                  <w:color w:val="0000EE"/>
                  <w:w w:val="98"/>
                </w:rPr>
                <w:t>Biosciences, LLC.</w:t>
              </w:r>
            </w:hyperlink>
          </w:p>
        </w:tc>
        <w:tc>
          <w:tcPr>
            <w:tcW w:w="1940" w:type="dxa"/>
            <w:vAlign w:val="bottom"/>
            <w:tcBorders>
              <w:top w:val="single" w:sz="8" w:color="0000EE"/>
            </w:tcBorders>
            <w:gridSpan w:val="12"/>
          </w:tcPr>
          <w:p>
            <w:pPr>
              <w:spacing w:after="0"/>
              <w:rPr>
                <w:sz w:val="15"/>
                <w:szCs w:val="15"/>
                <w:color w:val="auto"/>
              </w:rPr>
            </w:pPr>
          </w:p>
        </w:tc>
        <w:tc>
          <w:tcPr>
            <w:tcW w:w="2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6"/>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49">
              <w:r>
                <w:rPr>
                  <w:rFonts w:ascii="Arial" w:cs="Arial" w:eastAsia="Arial" w:hAnsi="Arial"/>
                  <w:sz w:val="18"/>
                  <w:szCs w:val="18"/>
                  <w:color w:val="0000EE"/>
                </w:rPr>
                <w:t>Amendment No. 1 to License and</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8"/>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Commercialization Agreement, dated August 27,</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2018, by and between Bioprojet Société Civile</w:t>
              </w:r>
            </w:hyperlink>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7"/>
              </w:rPr>
            </w:pPr>
            <w:hyperlink r:id="rId149">
              <w:r>
                <w:rPr>
                  <w:rFonts w:ascii="Arial" w:cs="Arial" w:eastAsia="Arial" w:hAnsi="Arial"/>
                  <w:sz w:val="18"/>
                  <w:szCs w:val="18"/>
                  <w:color w:val="0000EE"/>
                  <w:w w:val="97"/>
                </w:rPr>
                <w:t>de Recherche and Harmony Biosciences, LLC.</w:t>
              </w:r>
            </w:hyperlink>
          </w:p>
        </w:tc>
        <w:tc>
          <w:tcPr>
            <w:tcW w:w="100" w:type="dxa"/>
            <w:vAlign w:val="bottom"/>
            <w:tcBorders>
              <w:bottom w:val="single" w:sz="8" w:color="0000EE"/>
            </w:tcBorders>
            <w:gridSpan w:val="6"/>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3640" w:type="dxa"/>
            <w:vAlign w:val="bottom"/>
            <w:tcBorders>
              <w:bottom w:val="single" w:sz="8" w:color="0000EE"/>
            </w:tcBorders>
            <w:gridSpan w:val="25"/>
          </w:tcPr>
          <w:p>
            <w:pPr>
              <w:spacing w:after="0"/>
              <w:rPr>
                <w:rFonts w:ascii="Arial" w:cs="Arial" w:eastAsia="Arial" w:hAnsi="Arial"/>
                <w:sz w:val="18"/>
                <w:szCs w:val="18"/>
                <w:color w:val="0000EE"/>
                <w:w w:val="99"/>
              </w:rPr>
            </w:pPr>
            <w:hyperlink r:id="rId150">
              <w:r>
                <w:rPr>
                  <w:rFonts w:ascii="Arial" w:cs="Arial" w:eastAsia="Arial" w:hAnsi="Arial"/>
                  <w:sz w:val="18"/>
                  <w:szCs w:val="18"/>
                  <w:color w:val="0000EE"/>
                  <w:w w:val="99"/>
                </w:rPr>
                <w:t>Trademark License Agreement, dated August</w:t>
              </w:r>
            </w:hyperlink>
          </w:p>
        </w:tc>
        <w:tc>
          <w:tcPr>
            <w:tcW w:w="280" w:type="dxa"/>
            <w:vAlign w:val="bottom"/>
            <w:gridSpan w:val="13"/>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8"/>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23, 2018, by and among Bioprojet Europe, Ltd.,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Bioprojet Société Civile de Recherche and</w:t>
              </w:r>
            </w:hyperlink>
          </w:p>
        </w:tc>
        <w:tc>
          <w:tcPr>
            <w:tcW w:w="140" w:type="dxa"/>
            <w:vAlign w:val="bottom"/>
            <w:gridSpan w:val="5"/>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50">
              <w:r>
                <w:rPr>
                  <w:rFonts w:ascii="Arial" w:cs="Arial" w:eastAsia="Arial" w:hAnsi="Arial"/>
                  <w:sz w:val="18"/>
                  <w:szCs w:val="18"/>
                  <w:color w:val="0000EE"/>
                  <w:w w:val="99"/>
                </w:rPr>
                <w:t>Harmony Biosciences, LLC.</w:t>
              </w:r>
            </w:hyperlink>
          </w:p>
        </w:tc>
        <w:tc>
          <w:tcPr>
            <w:tcW w:w="1140" w:type="dxa"/>
            <w:vAlign w:val="bottom"/>
            <w:tcBorders>
              <w:top w:val="single" w:sz="8" w:color="0000EE"/>
            </w:tcBorders>
            <w:gridSpan w:val="8"/>
          </w:tcPr>
          <w:p>
            <w:pPr>
              <w:spacing w:after="0"/>
              <w:rPr>
                <w:sz w:val="15"/>
                <w:szCs w:val="15"/>
                <w:color w:val="auto"/>
              </w:rPr>
            </w:pPr>
          </w:p>
        </w:tc>
        <w:tc>
          <w:tcPr>
            <w:tcW w:w="240" w:type="dxa"/>
            <w:vAlign w:val="bottom"/>
            <w:gridSpan w:val="7"/>
          </w:tcPr>
          <w:p>
            <w:pPr>
              <w:spacing w:after="0"/>
              <w:rPr>
                <w:sz w:val="15"/>
                <w:szCs w:val="15"/>
                <w:color w:val="auto"/>
              </w:rPr>
            </w:pPr>
          </w:p>
        </w:tc>
        <w:tc>
          <w:tcPr>
            <w:tcW w:w="320" w:type="dxa"/>
            <w:vAlign w:val="bottom"/>
            <w:gridSpan w:val="15"/>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3920" w:type="dxa"/>
            <w:vAlign w:val="bottom"/>
            <w:gridSpan w:val="38"/>
          </w:tcPr>
          <w:p>
            <w:pPr>
              <w:spacing w:after="0"/>
              <w:rPr>
                <w:rFonts w:ascii="Arial" w:cs="Arial" w:eastAsia="Arial" w:hAnsi="Arial"/>
                <w:sz w:val="18"/>
                <w:szCs w:val="18"/>
                <w:color w:val="0000EE"/>
              </w:rPr>
            </w:pPr>
            <w:hyperlink r:id="rId151">
              <w:r>
                <w:rPr>
                  <w:rFonts w:ascii="Arial" w:cs="Arial" w:eastAsia="Arial" w:hAnsi="Arial"/>
                  <w:sz w:val="18"/>
                  <w:szCs w:val="18"/>
                  <w:color w:val="0000EE"/>
                </w:rPr>
                <w:t>Right of Use Agreement, dated November 1,</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2019, by and between Paragon Biosciences,</w:t>
              </w:r>
            </w:hyperlink>
          </w:p>
        </w:tc>
        <w:tc>
          <w:tcPr>
            <w:tcW w:w="40" w:type="dxa"/>
            <w:vAlign w:val="bottom"/>
            <w:tcBorders>
              <w:bottom w:val="single" w:sz="8" w:color="0000EE"/>
            </w:tcBorders>
            <w:gridSpan w:val="2"/>
          </w:tcPr>
          <w:p>
            <w:pPr>
              <w:spacing w:after="0"/>
              <w:rPr>
                <w:sz w:val="15"/>
                <w:szCs w:val="15"/>
                <w:color w:val="auto"/>
              </w:rPr>
            </w:pPr>
          </w:p>
        </w:tc>
        <w:tc>
          <w:tcPr>
            <w:tcW w:w="320" w:type="dxa"/>
            <w:vAlign w:val="bottom"/>
            <w:gridSpan w:val="15"/>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0" w:type="dxa"/>
            <w:vAlign w:val="bottom"/>
            <w:gridSpan w:val="23"/>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LLC and Harmony Biosciences, LLC.</w:t>
              </w:r>
            </w:hyperlink>
          </w:p>
        </w:tc>
        <w:tc>
          <w:tcPr>
            <w:tcW w:w="320" w:type="dxa"/>
            <w:vAlign w:val="bottom"/>
            <w:gridSpan w:val="15"/>
          </w:tcPr>
          <w:p>
            <w:pPr>
              <w:spacing w:after="0"/>
              <w:rPr>
                <w:sz w:val="15"/>
                <w:szCs w:val="15"/>
                <w:color w:val="auto"/>
              </w:rPr>
            </w:pPr>
          </w:p>
        </w:tc>
      </w:tr>
      <w:tr>
        <w:trPr>
          <w:trHeight w:val="86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tcBorders>
              <w:top w:val="single" w:sz="8" w:color="0000EE"/>
            </w:tcBorders>
            <w:gridSpan w:val="10"/>
          </w:tcPr>
          <w:p>
            <w:pPr>
              <w:spacing w:after="0"/>
              <w:rPr>
                <w:sz w:val="24"/>
                <w:szCs w:val="24"/>
                <w:color w:val="auto"/>
              </w:rPr>
            </w:pPr>
          </w:p>
        </w:tc>
        <w:tc>
          <w:tcPr>
            <w:tcW w:w="860" w:type="dxa"/>
            <w:vAlign w:val="bottom"/>
            <w:gridSpan w:val="24"/>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center"/>
              <w:ind w:right="157"/>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February 21,</w:t>
            </w:r>
          </w:p>
        </w:tc>
        <w:tc>
          <w:tcPr>
            <w:tcW w:w="800" w:type="dxa"/>
            <w:vAlign w:val="bottom"/>
          </w:tcPr>
          <w:p>
            <w:pPr>
              <w:jc w:val="center"/>
              <w:ind w:left="97"/>
              <w:spacing w:after="0"/>
              <w:rPr>
                <w:sz w:val="20"/>
                <w:szCs w:val="20"/>
                <w:color w:val="auto"/>
              </w:rPr>
            </w:pPr>
            <w:r>
              <w:rPr>
                <w:rFonts w:ascii="Arial" w:cs="Arial" w:eastAsia="Arial" w:hAnsi="Arial"/>
                <w:sz w:val="18"/>
                <w:szCs w:val="18"/>
                <w:color w:val="auto"/>
                <w:w w:val="99"/>
              </w:rPr>
              <w:t>10.7.2</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800" w:type="dxa"/>
            <w:vAlign w:val="bottom"/>
          </w:tcPr>
          <w:p>
            <w:pPr>
              <w:spacing w:after="0"/>
              <w:rPr>
                <w:sz w:val="20"/>
                <w:szCs w:val="20"/>
                <w:color w:val="auto"/>
              </w:rPr>
            </w:pPr>
          </w:p>
        </w:tc>
      </w:tr>
      <w:tr>
        <w:trPr>
          <w:trHeight w:val="765"/>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10.12</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595"/>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10.13</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366"/>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rPr>
              <w:t>10.3</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393"/>
        </w:trPr>
        <w:tc>
          <w:tcPr>
            <w:tcW w:w="660" w:type="dxa"/>
            <w:vAlign w:val="bottom"/>
          </w:tcPr>
          <w:p>
            <w:pPr>
              <w:jc w:val="center"/>
              <w:ind w:right="137"/>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spacing w:after="0"/>
              <w:rPr>
                <w:sz w:val="20"/>
                <w:szCs w:val="20"/>
                <w:color w:val="auto"/>
              </w:rPr>
            </w:pPr>
            <w:r>
              <w:rPr>
                <w:rFonts w:ascii="Arial" w:cs="Arial" w:eastAsia="Arial" w:hAnsi="Arial"/>
                <w:sz w:val="16"/>
                <w:szCs w:val="16"/>
                <w:color w:val="auto"/>
              </w:rPr>
              <w:t>November 12,</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rPr>
              <w:t>10.9</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393"/>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rPr>
              <w:t>10.9</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604"/>
        </w:trPr>
        <w:tc>
          <w:tcPr>
            <w:tcW w:w="660" w:type="dxa"/>
            <w:vAlign w:val="bottom"/>
          </w:tcPr>
          <w:p>
            <w:pPr>
              <w:jc w:val="center"/>
              <w:ind w:right="137"/>
              <w:spacing w:after="0"/>
              <w:rPr>
                <w:sz w:val="20"/>
                <w:szCs w:val="20"/>
                <w:color w:val="auto"/>
              </w:rPr>
            </w:pPr>
            <w:r>
              <w:rPr>
                <w:rFonts w:ascii="Arial" w:cs="Arial" w:eastAsia="Arial" w:hAnsi="Arial"/>
                <w:sz w:val="18"/>
                <w:szCs w:val="18"/>
                <w:color w:val="auto"/>
                <w:w w:val="97"/>
              </w:rPr>
              <w:t>8-K/A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January 23,</w:t>
            </w:r>
          </w:p>
        </w:tc>
        <w:tc>
          <w:tcPr>
            <w:tcW w:w="800" w:type="dxa"/>
            <w:vAlign w:val="bottom"/>
          </w:tcPr>
          <w:p>
            <w:pPr>
              <w:jc w:val="center"/>
              <w:ind w:left="117"/>
              <w:spacing w:after="0"/>
              <w:rPr>
                <w:sz w:val="20"/>
                <w:szCs w:val="20"/>
                <w:color w:val="auto"/>
              </w:rPr>
            </w:pPr>
            <w:r>
              <w:rPr>
                <w:rFonts w:ascii="Arial" w:cs="Arial" w:eastAsia="Arial" w:hAnsi="Arial"/>
                <w:sz w:val="18"/>
                <w:szCs w:val="18"/>
                <w:color w:val="auto"/>
                <w:w w:val="99"/>
              </w:rPr>
              <w:t>10.12.2</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800" w:type="dxa"/>
            <w:vAlign w:val="bottom"/>
          </w:tcPr>
          <w:p>
            <w:pPr>
              <w:spacing w:after="0"/>
              <w:rPr>
                <w:sz w:val="20"/>
                <w:szCs w:val="20"/>
                <w:color w:val="auto"/>
              </w:rPr>
            </w:pPr>
          </w:p>
        </w:tc>
      </w:tr>
      <w:tr>
        <w:trPr>
          <w:trHeight w:val="571"/>
        </w:trPr>
        <w:tc>
          <w:tcPr>
            <w:tcW w:w="660" w:type="dxa"/>
            <w:vAlign w:val="bottom"/>
          </w:tcPr>
          <w:p>
            <w:pPr>
              <w:jc w:val="center"/>
              <w:ind w:right="137"/>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April 24,</w:t>
            </w:r>
          </w:p>
        </w:tc>
        <w:tc>
          <w:tcPr>
            <w:tcW w:w="800" w:type="dxa"/>
            <w:vAlign w:val="bottom"/>
          </w:tcPr>
          <w:p>
            <w:pPr>
              <w:jc w:val="center"/>
              <w:ind w:left="117"/>
              <w:spacing w:after="0"/>
              <w:rPr>
                <w:sz w:val="20"/>
                <w:szCs w:val="20"/>
                <w:color w:val="auto"/>
              </w:rPr>
            </w:pPr>
            <w:r>
              <w:rPr>
                <w:rFonts w:ascii="Arial" w:cs="Arial" w:eastAsia="Arial" w:hAnsi="Arial"/>
                <w:sz w:val="18"/>
                <w:szCs w:val="18"/>
                <w:color w:val="auto"/>
              </w:rPr>
              <w:t>10.1</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800" w:type="dxa"/>
            <w:vAlign w:val="bottom"/>
          </w:tcPr>
          <w:p>
            <w:pPr>
              <w:spacing w:after="0"/>
              <w:rPr>
                <w:sz w:val="20"/>
                <w:szCs w:val="20"/>
                <w:color w:val="auto"/>
              </w:rPr>
            </w:pPr>
          </w:p>
        </w:tc>
      </w:tr>
      <w:tr>
        <w:trPr>
          <w:trHeight w:val="571"/>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10.10</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0" w:type="dxa"/>
            <w:vAlign w:val="bottom"/>
          </w:tcPr>
          <w:p>
            <w:pPr>
              <w:spacing w:after="0"/>
              <w:rPr>
                <w:sz w:val="20"/>
                <w:szCs w:val="20"/>
                <w:color w:val="auto"/>
              </w:rPr>
            </w:pPr>
          </w:p>
        </w:tc>
      </w:tr>
      <w:tr>
        <w:trPr>
          <w:trHeight w:val="571"/>
        </w:trPr>
        <w:tc>
          <w:tcPr>
            <w:tcW w:w="660" w:type="dxa"/>
            <w:vAlign w:val="bottom"/>
          </w:tcPr>
          <w:p>
            <w:pPr>
              <w:jc w:val="center"/>
              <w:ind w:right="157"/>
              <w:spacing w:after="0"/>
              <w:rPr>
                <w:sz w:val="20"/>
                <w:szCs w:val="20"/>
                <w:color w:val="auto"/>
              </w:rPr>
            </w:pPr>
            <w:r>
              <w:rPr>
                <w:rFonts w:ascii="Arial" w:cs="Arial" w:eastAsia="Arial" w:hAnsi="Arial"/>
                <w:sz w:val="16"/>
                <w:szCs w:val="16"/>
                <w:color w:val="auto"/>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10.10</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0" w:type="dxa"/>
            <w:vAlign w:val="bottom"/>
          </w:tcPr>
          <w:p>
            <w:pPr>
              <w:spacing w:after="0"/>
              <w:rPr>
                <w:sz w:val="20"/>
                <w:szCs w:val="20"/>
                <w:color w:val="auto"/>
              </w:rPr>
            </w:pPr>
          </w:p>
        </w:tc>
      </w:tr>
      <w:tr>
        <w:trPr>
          <w:trHeight w:val="774"/>
        </w:trPr>
        <w:tc>
          <w:tcPr>
            <w:tcW w:w="660" w:type="dxa"/>
            <w:vAlign w:val="bottom"/>
          </w:tcPr>
          <w:p>
            <w:pPr>
              <w:jc w:val="center"/>
              <w:ind w:right="157"/>
              <w:spacing w:after="0"/>
              <w:rPr>
                <w:sz w:val="20"/>
                <w:szCs w:val="20"/>
                <w:color w:val="auto"/>
              </w:rPr>
            </w:pPr>
            <w:r>
              <w:rPr>
                <w:rFonts w:ascii="Arial" w:cs="Arial" w:eastAsia="Arial" w:hAnsi="Arial"/>
                <w:sz w:val="16"/>
                <w:szCs w:val="16"/>
                <w:color w:val="auto"/>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10.11</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0" w:type="dxa"/>
            <w:vAlign w:val="bottom"/>
          </w:tcPr>
          <w:p>
            <w:pPr>
              <w:spacing w:after="0"/>
              <w:rPr>
                <w:sz w:val="20"/>
                <w:szCs w:val="20"/>
                <w:color w:val="auto"/>
              </w:rPr>
            </w:pPr>
          </w:p>
        </w:tc>
      </w:tr>
      <w:tr>
        <w:trPr>
          <w:trHeight w:val="774"/>
        </w:trPr>
        <w:tc>
          <w:tcPr>
            <w:tcW w:w="660" w:type="dxa"/>
            <w:vAlign w:val="bottom"/>
          </w:tcPr>
          <w:p>
            <w:pPr>
              <w:jc w:val="center"/>
              <w:ind w:right="157"/>
              <w:spacing w:after="0"/>
              <w:rPr>
                <w:sz w:val="20"/>
                <w:szCs w:val="20"/>
                <w:color w:val="auto"/>
              </w:rPr>
            </w:pPr>
            <w:r>
              <w:rPr>
                <w:rFonts w:ascii="Arial" w:cs="Arial" w:eastAsia="Arial" w:hAnsi="Arial"/>
                <w:sz w:val="16"/>
                <w:szCs w:val="16"/>
                <w:color w:val="auto"/>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10.12</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0" w:type="dxa"/>
            <w:vAlign w:val="bottom"/>
          </w:tcPr>
          <w:p>
            <w:pPr>
              <w:spacing w:after="0"/>
              <w:rPr>
                <w:sz w:val="20"/>
                <w:szCs w:val="20"/>
                <w:color w:val="auto"/>
              </w:rPr>
            </w:pPr>
          </w:p>
        </w:tc>
      </w:tr>
      <w:tr>
        <w:trPr>
          <w:trHeight w:val="774"/>
        </w:trPr>
        <w:tc>
          <w:tcPr>
            <w:tcW w:w="660" w:type="dxa"/>
            <w:vAlign w:val="bottom"/>
          </w:tcPr>
          <w:p>
            <w:pPr>
              <w:jc w:val="center"/>
              <w:ind w:right="157"/>
              <w:spacing w:after="0"/>
              <w:rPr>
                <w:sz w:val="20"/>
                <w:szCs w:val="20"/>
                <w:color w:val="auto"/>
              </w:rPr>
            </w:pPr>
            <w:r>
              <w:rPr>
                <w:rFonts w:ascii="Arial" w:cs="Arial" w:eastAsia="Arial" w:hAnsi="Arial"/>
                <w:sz w:val="16"/>
                <w:szCs w:val="16"/>
                <w:color w:val="auto"/>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10.14</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0" w:type="dxa"/>
            <w:vAlign w:val="bottom"/>
          </w:tcPr>
          <w:p>
            <w:pPr>
              <w:spacing w:after="0"/>
              <w:rPr>
                <w:sz w:val="20"/>
                <w:szCs w:val="20"/>
                <w:color w:val="auto"/>
              </w:rPr>
            </w:pPr>
          </w:p>
        </w:tc>
      </w:tr>
    </w:tbl>
    <w:p>
      <w:pPr>
        <w:sectPr>
          <w:pgSz w:w="11900" w:h="16838" w:orient="portrait"/>
          <w:cols w:equalWidth="0" w:num="2">
            <w:col w:w="5220" w:space="460"/>
            <w:col w:w="3799"/>
          </w:cols>
          <w:pgMar w:left="980" w:top="648" w:right="1440"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4"/>
                <w:szCs w:val="24"/>
                <w:color w:val="auto"/>
              </w:rPr>
            </w:pPr>
          </w:p>
        </w:tc>
        <w:tc>
          <w:tcPr>
            <w:tcW w:w="3980" w:type="dxa"/>
            <w:vAlign w:val="bottom"/>
            <w:gridSpan w:val="43"/>
          </w:tcPr>
          <w:p>
            <w:pPr>
              <w:spacing w:after="0"/>
              <w:rPr>
                <w:rFonts w:ascii="Arial" w:cs="Arial" w:eastAsia="Arial" w:hAnsi="Arial"/>
                <w:sz w:val="18"/>
                <w:szCs w:val="18"/>
                <w:color w:val="0000EE"/>
              </w:rPr>
            </w:pPr>
            <w:hyperlink r:id="rId153">
              <w:r>
                <w:rPr>
                  <w:rFonts w:ascii="Arial" w:cs="Arial" w:eastAsia="Arial" w:hAnsi="Arial"/>
                  <w:sz w:val="18"/>
                  <w:szCs w:val="18"/>
                  <w:color w:val="0000EE"/>
                </w:rPr>
                <w:t>Second Amended and Restated Investors’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Rights Agreement, dated August 9, 2019,</w:t>
              </w:r>
            </w:hyperlink>
          </w:p>
        </w:tc>
        <w:tc>
          <w:tcPr>
            <w:tcW w:w="180" w:type="dxa"/>
            <w:vAlign w:val="bottom"/>
            <w:tcBorders>
              <w:bottom w:val="single" w:sz="8" w:color="0000EE"/>
            </w:tcBorders>
            <w:gridSpan w:val="6"/>
          </w:tcPr>
          <w:p>
            <w:pPr>
              <w:spacing w:after="0" w:line="182" w:lineRule="exact"/>
              <w:rPr>
                <w:rFonts w:ascii="Arial" w:cs="Arial" w:eastAsia="Arial" w:hAnsi="Arial"/>
                <w:sz w:val="18"/>
                <w:szCs w:val="18"/>
                <w:color w:val="0000EE"/>
                <w:w w:val="83"/>
              </w:rPr>
            </w:pPr>
            <w:hyperlink r:id="rId153">
              <w:r>
                <w:rPr>
                  <w:rFonts w:ascii="Arial" w:cs="Arial" w:eastAsia="Arial" w:hAnsi="Arial"/>
                  <w:sz w:val="18"/>
                  <w:szCs w:val="18"/>
                  <w:color w:val="0000EE"/>
                  <w:w w:val="83"/>
                </w:rPr>
                <w:t>by</w:t>
              </w:r>
            </w:hyperlink>
          </w:p>
        </w:tc>
        <w:tc>
          <w:tcPr>
            <w:tcW w:w="44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gridSpan w:val="43"/>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and among the Registrant and the other parties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thereto.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3680" w:type="dxa"/>
            <w:vAlign w:val="bottom"/>
            <w:tcBorders>
              <w:bottom w:val="single" w:sz="8" w:color="0000EE"/>
            </w:tcBorders>
            <w:gridSpan w:val="27"/>
          </w:tcPr>
          <w:p>
            <w:pPr>
              <w:spacing w:after="0"/>
              <w:rPr>
                <w:rFonts w:ascii="Arial" w:cs="Arial" w:eastAsia="Arial" w:hAnsi="Arial"/>
                <w:sz w:val="18"/>
                <w:szCs w:val="18"/>
                <w:color w:val="0000EE"/>
                <w:w w:val="99"/>
              </w:rPr>
            </w:pPr>
            <w:hyperlink r:id="rId154">
              <w:r>
                <w:rPr>
                  <w:rFonts w:ascii="Arial" w:cs="Arial" w:eastAsia="Arial" w:hAnsi="Arial"/>
                  <w:sz w:val="18"/>
                  <w:szCs w:val="18"/>
                  <w:color w:val="0000EE"/>
                  <w:w w:val="99"/>
                </w:rPr>
                <w:t>Offer Letter, dated September 7, 2017, by and</w:t>
              </w:r>
            </w:hyperlink>
          </w:p>
        </w:tc>
        <w:tc>
          <w:tcPr>
            <w:tcW w:w="3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gridSpan w:val="43"/>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between Harmony Biosciences, LLC and Jeffrey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154">
              <w:r>
                <w:rPr>
                  <w:rFonts w:ascii="Arial" w:cs="Arial" w:eastAsia="Arial" w:hAnsi="Arial"/>
                  <w:sz w:val="18"/>
                  <w:szCs w:val="18"/>
                  <w:color w:val="0000EE"/>
                  <w:w w:val="99"/>
                </w:rPr>
                <w:t>Dierks.</w:t>
              </w:r>
            </w:hyperlink>
          </w:p>
        </w:tc>
        <w:tc>
          <w:tcPr>
            <w:tcW w:w="3300" w:type="dxa"/>
            <w:vAlign w:val="bottom"/>
            <w:tcBorders>
              <w:top w:val="single" w:sz="8" w:color="0000EE"/>
            </w:tcBorders>
            <w:gridSpan w:val="3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8"/>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24"/>
                <w:szCs w:val="24"/>
                <w:color w:val="auto"/>
              </w:rPr>
            </w:pPr>
          </w:p>
        </w:tc>
        <w:tc>
          <w:tcPr>
            <w:tcW w:w="3980" w:type="dxa"/>
            <w:vAlign w:val="bottom"/>
            <w:gridSpan w:val="43"/>
          </w:tcPr>
          <w:p>
            <w:pPr>
              <w:spacing w:after="0"/>
              <w:rPr>
                <w:rFonts w:ascii="Arial" w:cs="Arial" w:eastAsia="Arial" w:hAnsi="Arial"/>
                <w:sz w:val="18"/>
                <w:szCs w:val="18"/>
                <w:color w:val="0000EE"/>
              </w:rPr>
            </w:pPr>
            <w:hyperlink r:id="rId155">
              <w:r>
                <w:rPr>
                  <w:rFonts w:ascii="Arial" w:cs="Arial" w:eastAsia="Arial" w:hAnsi="Arial"/>
                  <w:sz w:val="18"/>
                  <w:szCs w:val="18"/>
                  <w:color w:val="0000EE"/>
                </w:rPr>
                <w:t>Employment Agreement, dated March 4, 2021,</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29"/>
          </w:tcPr>
          <w:p>
            <w:pPr>
              <w:spacing w:after="0" w:line="182" w:lineRule="exact"/>
              <w:rPr>
                <w:rFonts w:ascii="Arial" w:cs="Arial" w:eastAsia="Arial" w:hAnsi="Arial"/>
                <w:sz w:val="18"/>
                <w:szCs w:val="18"/>
                <w:color w:val="0000EE"/>
                <w:w w:val="96"/>
              </w:rPr>
            </w:pPr>
            <w:hyperlink r:id="rId155">
              <w:r>
                <w:rPr>
                  <w:rFonts w:ascii="Arial" w:cs="Arial" w:eastAsia="Arial" w:hAnsi="Arial"/>
                  <w:sz w:val="18"/>
                  <w:szCs w:val="18"/>
                  <w:color w:val="0000EE"/>
                  <w:w w:val="96"/>
                </w:rPr>
                <w:t>between Harmony Biosciences, LLC and Sandip</w:t>
              </w:r>
            </w:hyperlink>
          </w:p>
        </w:tc>
        <w:tc>
          <w:tcPr>
            <w:tcW w:w="20" w:type="dxa"/>
            <w:vAlign w:val="bottom"/>
            <w:tcBorders>
              <w:bottom w:val="single" w:sz="8" w:color="0000EE"/>
            </w:tcBorders>
          </w:tcPr>
          <w:p>
            <w:pPr>
              <w:spacing w:after="0"/>
              <w:rPr>
                <w:sz w:val="15"/>
                <w:szCs w:val="15"/>
                <w:color w:val="auto"/>
              </w:rPr>
            </w:pPr>
          </w:p>
        </w:tc>
        <w:tc>
          <w:tcPr>
            <w:tcW w:w="4294967277"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gridSpan w:val="41"/>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Kapadia.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24"/>
                <w:szCs w:val="24"/>
                <w:color w:val="auto"/>
              </w:rPr>
            </w:pPr>
          </w:p>
        </w:tc>
        <w:tc>
          <w:tcPr>
            <w:tcW w:w="3980" w:type="dxa"/>
            <w:vAlign w:val="bottom"/>
            <w:gridSpan w:val="43"/>
          </w:tcPr>
          <w:p>
            <w:pPr>
              <w:spacing w:after="0"/>
              <w:rPr>
                <w:rFonts w:ascii="Arial" w:cs="Arial" w:eastAsia="Arial" w:hAnsi="Arial"/>
                <w:sz w:val="18"/>
                <w:szCs w:val="18"/>
                <w:color w:val="0000EE"/>
              </w:rPr>
            </w:pPr>
            <w:hyperlink r:id="rId156">
              <w:r>
                <w:rPr>
                  <w:rFonts w:ascii="Arial" w:cs="Arial" w:eastAsia="Arial" w:hAnsi="Arial"/>
                  <w:sz w:val="18"/>
                  <w:szCs w:val="18"/>
                  <w:color w:val="0000EE"/>
                </w:rPr>
                <w:t>Promotion Increase Award Letter to Jeffrey</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15"/>
                <w:szCs w:val="15"/>
                <w:color w:val="auto"/>
              </w:rPr>
            </w:pPr>
          </w:p>
        </w:tc>
        <w:tc>
          <w:tcPr>
            <w:tcW w:w="34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Dierks, dated June 9, 2021</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tcBorders>
              <w:top w:val="single" w:sz="8" w:color="0000EE"/>
            </w:tcBorders>
            <w:gridSpan w:val="10"/>
          </w:tcPr>
          <w:p>
            <w:pPr>
              <w:spacing w:after="0" w:line="182"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Restricted Stock Unit Award</w:t>
              </w:r>
            </w:hyperlink>
          </w:p>
        </w:tc>
        <w:tc>
          <w:tcPr>
            <w:tcW w:w="1840" w:type="dxa"/>
            <w:vAlign w:val="bottom"/>
            <w:gridSpan w:val="33"/>
          </w:tcPr>
          <w:p>
            <w:pPr>
              <w:jc w:val="right"/>
              <w:ind w:right="320"/>
              <w:spacing w:after="0" w:line="182" w:lineRule="exact"/>
              <w:rPr>
                <w:rFonts w:ascii="Arial" w:cs="Arial" w:eastAsia="Arial" w:hAnsi="Arial"/>
                <w:sz w:val="18"/>
                <w:szCs w:val="18"/>
                <w:color w:val="0000EE"/>
              </w:rPr>
            </w:pPr>
            <w:hyperlink r:id="rId157">
              <w:r>
                <w:rPr>
                  <w:rFonts w:ascii="Arial" w:cs="Arial" w:eastAsia="Arial" w:hAnsi="Arial"/>
                  <w:sz w:val="18"/>
                  <w:szCs w:val="18"/>
                  <w:color w:val="0000EE"/>
                </w:rPr>
                <w:t>Agreement dated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57">
              <w:r>
                <w:rPr>
                  <w:rFonts w:ascii="Arial" w:cs="Arial" w:eastAsia="Arial" w:hAnsi="Arial"/>
                  <w:sz w:val="18"/>
                  <w:szCs w:val="18"/>
                  <w:color w:val="0000EE"/>
                </w:rPr>
                <w:t>October 4, 2023 with Sandip Kapadia</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line="182" w:lineRule="exact"/>
              <w:rPr>
                <w:sz w:val="20"/>
                <w:szCs w:val="20"/>
                <w:color w:val="auto"/>
              </w:rPr>
            </w:pPr>
            <w:r>
              <w:rPr>
                <w:rFonts w:ascii="Arial" w:cs="Arial" w:eastAsia="Arial" w:hAnsi="Arial"/>
                <w:sz w:val="18"/>
                <w:szCs w:val="18"/>
                <w:color w:val="auto"/>
              </w:rPr>
              <w:t>10.21*</w:t>
            </w:r>
          </w:p>
        </w:tc>
        <w:tc>
          <w:tcPr>
            <w:tcW w:w="40" w:type="dxa"/>
            <w:vAlign w:val="bottom"/>
          </w:tcPr>
          <w:p>
            <w:pPr>
              <w:spacing w:after="0"/>
              <w:rPr>
                <w:sz w:val="15"/>
                <w:szCs w:val="15"/>
                <w:color w:val="auto"/>
              </w:rPr>
            </w:pPr>
          </w:p>
        </w:tc>
        <w:tc>
          <w:tcPr>
            <w:tcW w:w="2980" w:type="dxa"/>
            <w:vAlign w:val="bottom"/>
            <w:tcBorders>
              <w:top w:val="single" w:sz="8" w:color="0000EE"/>
            </w:tcBorders>
            <w:gridSpan w:val="13"/>
          </w:tcPr>
          <w:p>
            <w:pPr>
              <w:spacing w:after="0" w:line="182"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Restricted Stock Unit Award Agreement</w:t>
              </w:r>
            </w:hyperlink>
          </w:p>
        </w:tc>
        <w:tc>
          <w:tcPr>
            <w:tcW w:w="180" w:type="dxa"/>
            <w:vAlign w:val="bottom"/>
          </w:tcPr>
          <w:p>
            <w:pPr>
              <w:spacing w:after="0"/>
              <w:rPr>
                <w:sz w:val="15"/>
                <w:szCs w:val="15"/>
                <w:color w:val="auto"/>
              </w:rPr>
            </w:pPr>
          </w:p>
        </w:tc>
        <w:tc>
          <w:tcPr>
            <w:tcW w:w="820" w:type="dxa"/>
            <w:vAlign w:val="bottom"/>
            <w:gridSpan w:val="29"/>
          </w:tcPr>
          <w:p>
            <w:pPr>
              <w:jc w:val="right"/>
              <w:ind w:right="320"/>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dated</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10.22</w:t>
            </w:r>
          </w:p>
        </w:tc>
        <w:tc>
          <w:tcPr>
            <w:tcW w:w="40" w:type="dxa"/>
            <w:vAlign w:val="bottom"/>
          </w:tcPr>
          <w:p>
            <w:pPr>
              <w:spacing w:after="0"/>
              <w:rPr>
                <w:sz w:val="15"/>
                <w:szCs w:val="15"/>
                <w:color w:val="auto"/>
              </w:rPr>
            </w:pPr>
          </w:p>
        </w:tc>
        <w:tc>
          <w:tcPr>
            <w:tcW w:w="3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October 4, 2023 with Jeffrey Dierks</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8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Credit Agreement, dated as of July</w:t>
              </w:r>
            </w:hyperlink>
          </w:p>
        </w:tc>
        <w:tc>
          <w:tcPr>
            <w:tcW w:w="1180" w:type="dxa"/>
            <w:vAlign w:val="bottom"/>
            <w:gridSpan w:val="31"/>
          </w:tcPr>
          <w:p>
            <w:pPr>
              <w:jc w:val="right"/>
              <w:ind w:right="180"/>
              <w:spacing w:after="0" w:line="182" w:lineRule="exact"/>
              <w:rPr>
                <w:rFonts w:ascii="Arial" w:cs="Arial" w:eastAsia="Arial" w:hAnsi="Arial"/>
                <w:sz w:val="18"/>
                <w:szCs w:val="18"/>
                <w:color w:val="0000EE"/>
                <w:w w:val="98"/>
              </w:rPr>
            </w:pPr>
            <w:hyperlink r:id="rId159">
              <w:r>
                <w:rPr>
                  <w:rFonts w:ascii="Arial" w:cs="Arial" w:eastAsia="Arial" w:hAnsi="Arial"/>
                  <w:sz w:val="18"/>
                  <w:szCs w:val="18"/>
                  <w:color w:val="0000EE"/>
                  <w:w w:val="98"/>
                </w:rPr>
                <w:t>26, 2023, by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8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an among JPMorgan Chase Bank, N.A., as</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administrative agent, and the lenders from</w:t>
              </w:r>
            </w:hyperlink>
          </w:p>
        </w:tc>
        <w:tc>
          <w:tcPr>
            <w:tcW w:w="520" w:type="dxa"/>
            <w:vAlign w:val="bottom"/>
            <w:gridSpan w:val="22"/>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time</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10.23</w:t>
            </w:r>
          </w:p>
        </w:tc>
        <w:tc>
          <w:tcPr>
            <w:tcW w:w="40" w:type="dxa"/>
            <w:vAlign w:val="bottom"/>
          </w:tcPr>
          <w:p>
            <w:pPr>
              <w:spacing w:after="0"/>
              <w:rPr>
                <w:sz w:val="15"/>
                <w:szCs w:val="15"/>
                <w:color w:val="auto"/>
              </w:rPr>
            </w:pPr>
          </w:p>
        </w:tc>
        <w:tc>
          <w:tcPr>
            <w:tcW w:w="376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to time party thereto.</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7"/>
              </w:rPr>
            </w:pPr>
            <w:hyperlink r:id="rId160">
              <w:r>
                <w:rPr>
                  <w:rFonts w:ascii="Arial" w:cs="Arial" w:eastAsia="Arial" w:hAnsi="Arial"/>
                  <w:sz w:val="18"/>
                  <w:szCs w:val="18"/>
                  <w:color w:val="0000EE"/>
                  <w:w w:val="97"/>
                </w:rPr>
                <w:t>Guaranty, dated July</w:t>
              </w:r>
            </w:hyperlink>
          </w:p>
        </w:tc>
        <w:tc>
          <w:tcPr>
            <w:tcW w:w="2000" w:type="dxa"/>
            <w:vAlign w:val="bottom"/>
            <w:tcBorders>
              <w:bottom w:val="single" w:sz="8" w:color="0000EE"/>
            </w:tcBorders>
            <w:gridSpan w:val="19"/>
          </w:tcPr>
          <w:p>
            <w:pPr>
              <w:ind w:left="60"/>
              <w:spacing w:after="0" w:line="182" w:lineRule="exact"/>
              <w:rPr>
                <w:rFonts w:ascii="Arial" w:cs="Arial" w:eastAsia="Arial" w:hAnsi="Arial"/>
                <w:sz w:val="18"/>
                <w:szCs w:val="18"/>
                <w:color w:val="0000EE"/>
                <w:w w:val="98"/>
              </w:rPr>
            </w:pPr>
            <w:hyperlink r:id="rId160">
              <w:r>
                <w:rPr>
                  <w:rFonts w:ascii="Arial" w:cs="Arial" w:eastAsia="Arial" w:hAnsi="Arial"/>
                  <w:sz w:val="18"/>
                  <w:szCs w:val="18"/>
                  <w:color w:val="0000EE"/>
                  <w:w w:val="98"/>
                </w:rPr>
                <w:t>26, 2023, by and among</w:t>
              </w:r>
            </w:hyperlink>
          </w:p>
        </w:tc>
        <w:tc>
          <w:tcPr>
            <w:tcW w:w="34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tcBorders>
              <w:bottom w:val="single" w:sz="8" w:color="0000EE"/>
            </w:tcBorders>
            <w:gridSpan w:val="43"/>
          </w:tcPr>
          <w:p>
            <w:pPr>
              <w:spacing w:after="0" w:line="182" w:lineRule="exact"/>
              <w:rPr>
                <w:rFonts w:ascii="Arial" w:cs="Arial" w:eastAsia="Arial" w:hAnsi="Arial"/>
                <w:sz w:val="18"/>
                <w:szCs w:val="18"/>
                <w:color w:val="0000EE"/>
              </w:rPr>
            </w:pPr>
            <w:hyperlink r:id="rId160">
              <w:r>
                <w:rPr>
                  <w:rFonts w:ascii="Arial" w:cs="Arial" w:eastAsia="Arial" w:hAnsi="Arial"/>
                  <w:sz w:val="18"/>
                  <w:szCs w:val="18"/>
                  <w:color w:val="0000EE"/>
                </w:rPr>
                <w:t>each of the subsidiaries of Harmony Biosciences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gridSpan w:val="43"/>
          </w:tcPr>
          <w:p>
            <w:pPr>
              <w:spacing w:after="0" w:line="182" w:lineRule="exact"/>
              <w:rPr>
                <w:rFonts w:ascii="Arial" w:cs="Arial" w:eastAsia="Arial" w:hAnsi="Arial"/>
                <w:sz w:val="18"/>
                <w:szCs w:val="18"/>
                <w:color w:val="0000EE"/>
              </w:rPr>
            </w:pPr>
            <w:hyperlink r:id="rId160">
              <w:r>
                <w:rPr>
                  <w:rFonts w:ascii="Arial" w:cs="Arial" w:eastAsia="Arial" w:hAnsi="Arial"/>
                  <w:sz w:val="18"/>
                  <w:szCs w:val="18"/>
                  <w:color w:val="0000EE"/>
                </w:rPr>
                <w:t>Holdings, Inc. and JPMorgan Chase Bank, N.A.,</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r:id="rId160">
              <w:r>
                <w:rPr>
                  <w:rFonts w:ascii="Arial" w:cs="Arial" w:eastAsia="Arial" w:hAnsi="Arial"/>
                  <w:sz w:val="18"/>
                  <w:szCs w:val="18"/>
                  <w:color w:val="0000EE"/>
                  <w:w w:val="98"/>
                </w:rPr>
                <w:t>as administrative agent.</w:t>
              </w:r>
            </w:hyperlink>
          </w:p>
        </w:tc>
        <w:tc>
          <w:tcPr>
            <w:tcW w:w="2020" w:type="dxa"/>
            <w:vAlign w:val="bottom"/>
            <w:tcBorders>
              <w:top w:val="single" w:sz="8" w:color="0000EE"/>
            </w:tcBorders>
            <w:gridSpan w:val="31"/>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gridSpan w:val="43"/>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Pledge and Security Agreement, dated July 26,</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2023, by and among Harmony Biosciences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Holdings, Inc. and each of the subsidiaries</w:t>
              </w:r>
            </w:hyperlink>
          </w:p>
        </w:tc>
        <w:tc>
          <w:tcPr>
            <w:tcW w:w="540" w:type="dxa"/>
            <w:vAlign w:val="bottom"/>
            <w:gridSpan w:val="23"/>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of</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Harmony Biosciences Holdings, Inc., and</w:t>
              </w:r>
            </w:hyperlink>
          </w:p>
        </w:tc>
        <w:tc>
          <w:tcPr>
            <w:tcW w:w="300" w:type="dxa"/>
            <w:vAlign w:val="bottom"/>
            <w:tcBorders>
              <w:top w:val="single" w:sz="8" w:color="0000EE"/>
            </w:tcBorders>
            <w:gridSpan w:val="9"/>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294967277"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gridSpan w:val="43"/>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JPMorgan Chase Bank, N.A., as administrative</w:t>
              </w:r>
            </w:hyperlink>
          </w:p>
        </w:tc>
        <w:tc>
          <w:tcPr>
            <w:tcW w:w="0" w:type="dxa"/>
            <w:vAlign w:val="bottom"/>
          </w:tcPr>
          <w:p>
            <w:pPr>
              <w:spacing w:after="0"/>
              <w:rPr>
                <w:sz w:val="1"/>
                <w:szCs w:val="1"/>
                <w:color w:val="auto"/>
              </w:rPr>
            </w:pPr>
          </w:p>
        </w:tc>
      </w:tr>
      <w:tr>
        <w:trPr>
          <w:trHeight w:val="182"/>
        </w:trPr>
        <w:tc>
          <w:tcPr>
            <w:tcW w:w="1280" w:type="dxa"/>
            <w:vAlign w:val="bottom"/>
            <w:vMerge w:val="restart"/>
          </w:tcPr>
          <w:p>
            <w:pPr>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15"/>
                <w:szCs w:val="15"/>
                <w:color w:val="auto"/>
              </w:rPr>
            </w:pPr>
          </w:p>
        </w:tc>
        <w:tc>
          <w:tcPr>
            <w:tcW w:w="374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agent.</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First</w:t>
              </w:r>
            </w:hyperlink>
          </w:p>
        </w:tc>
        <w:tc>
          <w:tcPr>
            <w:tcW w:w="3480" w:type="dxa"/>
            <w:vAlign w:val="bottom"/>
            <w:gridSpan w:val="42"/>
          </w:tcPr>
          <w:p>
            <w:pPr>
              <w:jc w:val="right"/>
              <w:ind w:right="200"/>
              <w:spacing w:after="0" w:line="182" w:lineRule="exact"/>
              <w:rPr>
                <w:rFonts w:ascii="Arial" w:cs="Arial" w:eastAsia="Arial" w:hAnsi="Arial"/>
                <w:sz w:val="18"/>
                <w:szCs w:val="18"/>
                <w:color w:val="0000EE"/>
                <w:w w:val="96"/>
              </w:rPr>
            </w:pPr>
            <w:hyperlink r:id="rId162">
              <w:r>
                <w:rPr>
                  <w:rFonts w:ascii="Arial" w:cs="Arial" w:eastAsia="Arial" w:hAnsi="Arial"/>
                  <w:sz w:val="18"/>
                  <w:szCs w:val="18"/>
                  <w:color w:val="0000EE"/>
                  <w:w w:val="96"/>
                </w:rPr>
                <w:t>Incremental Amendment dated September</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21, 2023 by and among Harmony Biosciences</w:t>
              </w:r>
            </w:hyperlink>
          </w:p>
        </w:tc>
        <w:tc>
          <w:tcPr>
            <w:tcW w:w="180" w:type="dxa"/>
            <w:vAlign w:val="bottom"/>
            <w:tcBorders>
              <w:top w:val="single" w:sz="8" w:color="0000EE"/>
            </w:tcBorders>
            <w:gridSpan w:val="10"/>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tcBorders>
              <w:bottom w:val="single" w:sz="8" w:color="0000EE"/>
            </w:tcBorders>
            <w:gridSpan w:val="36"/>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Holdings, Inc., JPMorgan Chase Bank, N.A., as</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gridSpan w:val="43"/>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administrative agent, and Bank of America, N.A.,</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r:id="rId162">
              <w:r>
                <w:rPr>
                  <w:rFonts w:ascii="Arial" w:cs="Arial" w:eastAsia="Arial" w:hAnsi="Arial"/>
                  <w:sz w:val="18"/>
                  <w:szCs w:val="18"/>
                  <w:color w:val="0000EE"/>
                  <w:w w:val="98"/>
                </w:rPr>
                <w:t>as incremental lender.</w:t>
              </w:r>
            </w:hyperlink>
          </w:p>
        </w:tc>
        <w:tc>
          <w:tcPr>
            <w:tcW w:w="2200" w:type="dxa"/>
            <w:vAlign w:val="bottom"/>
            <w:tcBorders>
              <w:top w:val="single" w:sz="8" w:color="0000EE"/>
            </w:tcBorders>
            <w:gridSpan w:val="3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24"/>
                <w:szCs w:val="24"/>
                <w:color w:val="auto"/>
              </w:rPr>
            </w:pPr>
          </w:p>
        </w:tc>
        <w:tc>
          <w:tcPr>
            <w:tcW w:w="3980" w:type="dxa"/>
            <w:vAlign w:val="bottom"/>
            <w:gridSpan w:val="43"/>
          </w:tcPr>
          <w:p>
            <w:pPr>
              <w:spacing w:after="0"/>
              <w:rPr>
                <w:sz w:val="20"/>
                <w:szCs w:val="20"/>
                <w:color w:val="auto"/>
              </w:rPr>
            </w:pPr>
            <w:r>
              <w:rPr>
                <w:rFonts w:ascii="Arial" w:cs="Arial" w:eastAsia="Arial" w:hAnsi="Arial"/>
                <w:sz w:val="18"/>
                <w:szCs w:val="18"/>
                <w:color w:val="0000EE"/>
              </w:rPr>
              <w:t>Insider Trading Policy</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4"/>
                <w:szCs w:val="24"/>
                <w:color w:val="auto"/>
              </w:rPr>
            </w:pPr>
          </w:p>
        </w:tc>
        <w:tc>
          <w:tcPr>
            <w:tcW w:w="3980" w:type="dxa"/>
            <w:vAlign w:val="bottom"/>
            <w:gridSpan w:val="43"/>
          </w:tcPr>
          <w:p>
            <w:pPr>
              <w:spacing w:after="0"/>
              <w:rPr>
                <w:sz w:val="20"/>
                <w:szCs w:val="20"/>
                <w:color w:val="auto"/>
              </w:rPr>
            </w:pPr>
            <w:r>
              <w:rPr>
                <w:rFonts w:ascii="Arial" w:cs="Arial" w:eastAsia="Arial" w:hAnsi="Arial"/>
                <w:sz w:val="18"/>
                <w:szCs w:val="18"/>
                <w:color w:val="0000EE"/>
              </w:rPr>
              <w:t>List of Subsidiaries of Harmony Biosciences</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0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Holdings, Inc.</w:t>
            </w:r>
          </w:p>
        </w:tc>
        <w:tc>
          <w:tcPr>
            <w:tcW w:w="2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4294967277"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3980" w:type="dxa"/>
            <w:vAlign w:val="bottom"/>
            <w:gridSpan w:val="43"/>
          </w:tcPr>
          <w:p>
            <w:pPr>
              <w:spacing w:after="0"/>
              <w:rPr>
                <w:sz w:val="20"/>
                <w:szCs w:val="20"/>
                <w:color w:val="auto"/>
              </w:rPr>
            </w:pPr>
            <w:r>
              <w:rPr>
                <w:rFonts w:ascii="Arial" w:cs="Arial" w:eastAsia="Arial" w:hAnsi="Arial"/>
                <w:sz w:val="18"/>
                <w:szCs w:val="18"/>
                <w:color w:val="0000EE"/>
              </w:rPr>
              <w:t>Consent of Independent Registered Public</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Accounting Firm</w:t>
            </w:r>
          </w:p>
        </w:tc>
        <w:tc>
          <w:tcPr>
            <w:tcW w:w="2080" w:type="dxa"/>
            <w:vAlign w:val="bottom"/>
            <w:tcBorders>
              <w:top w:val="single" w:sz="8" w:color="0000EE"/>
            </w:tcBorders>
            <w:gridSpan w:val="13"/>
          </w:tcPr>
          <w:p>
            <w:pPr>
              <w:spacing w:after="0"/>
              <w:rPr>
                <w:sz w:val="15"/>
                <w:szCs w:val="15"/>
                <w:color w:val="auto"/>
              </w:rPr>
            </w:pPr>
          </w:p>
        </w:tc>
        <w:tc>
          <w:tcPr>
            <w:tcW w:w="340" w:type="dxa"/>
            <w:vAlign w:val="bottom"/>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4294967277"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3980" w:type="dxa"/>
            <w:vAlign w:val="bottom"/>
            <w:gridSpan w:val="43"/>
          </w:tcPr>
          <w:p>
            <w:pPr>
              <w:spacing w:after="0"/>
              <w:rPr>
                <w:sz w:val="20"/>
                <w:szCs w:val="20"/>
                <w:color w:val="auto"/>
              </w:rPr>
            </w:pPr>
            <w:r>
              <w:rPr>
                <w:rFonts w:ascii="Arial" w:cs="Arial" w:eastAsia="Arial" w:hAnsi="Arial"/>
                <w:sz w:val="18"/>
                <w:szCs w:val="18"/>
                <w:color w:val="0000EE"/>
              </w:rPr>
              <w:t>Certification of Chief Executive Officer pursuant</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tcBorders>
              <w:top w:val="single" w:sz="8" w:color="0000EE"/>
            </w:tcBorders>
            <w:gridSpan w:val="35"/>
          </w:tcPr>
          <w:p>
            <w:pPr>
              <w:spacing w:after="0" w:line="182" w:lineRule="exact"/>
              <w:rPr>
                <w:sz w:val="20"/>
                <w:szCs w:val="20"/>
                <w:color w:val="auto"/>
              </w:rPr>
            </w:pPr>
            <w:r>
              <w:rPr>
                <w:rFonts w:ascii="Arial" w:cs="Arial" w:eastAsia="Arial" w:hAnsi="Arial"/>
                <w:sz w:val="18"/>
                <w:szCs w:val="18"/>
                <w:color w:val="0000EE"/>
              </w:rPr>
              <w:t>to Rules 13a-14(a) and 15d-14(a) of the</w:t>
            </w: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11"/>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gridSpan w:val="43"/>
          </w:tcPr>
          <w:p>
            <w:pPr>
              <w:spacing w:after="0" w:line="182" w:lineRule="exact"/>
              <w:rPr>
                <w:sz w:val="20"/>
                <w:szCs w:val="20"/>
                <w:color w:val="auto"/>
              </w:rPr>
            </w:pPr>
            <w:r>
              <w:rPr>
                <w:rFonts w:ascii="Arial" w:cs="Arial" w:eastAsia="Arial" w:hAnsi="Arial"/>
                <w:sz w:val="18"/>
                <w:szCs w:val="18"/>
                <w:color w:val="0000EE"/>
              </w:rPr>
              <w:t>Securities Exchange Act of 1934, as amended,</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0000EE"/>
              </w:rPr>
              <w:t>as adopted pursuant to Section 302 of the</w:t>
            </w:r>
          </w:p>
        </w:tc>
        <w:tc>
          <w:tcPr>
            <w:tcW w:w="4294967277" w:type="dxa"/>
            <w:vAlign w:val="bottom"/>
          </w:tcPr>
          <w:p>
            <w:pPr>
              <w:spacing w:after="0"/>
              <w:rPr>
                <w:sz w:val="15"/>
                <w:szCs w:val="15"/>
                <w:color w:val="auto"/>
              </w:rPr>
            </w:pPr>
          </w:p>
        </w:tc>
        <w:tc>
          <w:tcPr>
            <w:tcW w:w="2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1040" w:type="dxa"/>
            <w:vAlign w:val="bottom"/>
            <w:tcBorders>
              <w:top w:val="single" w:sz="8" w:color="0000EE"/>
            </w:tcBorders>
            <w:gridSpan w:val="5"/>
          </w:tcPr>
          <w:p>
            <w:pPr>
              <w:spacing w:after="0"/>
              <w:rPr>
                <w:sz w:val="15"/>
                <w:szCs w:val="15"/>
                <w:color w:val="auto"/>
              </w:rPr>
            </w:pPr>
          </w:p>
        </w:tc>
        <w:tc>
          <w:tcPr>
            <w:tcW w:w="380" w:type="dxa"/>
            <w:vAlign w:val="bottom"/>
            <w:gridSpan w:val="12"/>
          </w:tcPr>
          <w:p>
            <w:pPr>
              <w:spacing w:after="0"/>
              <w:rPr>
                <w:sz w:val="15"/>
                <w:szCs w:val="15"/>
                <w:color w:val="auto"/>
              </w:rPr>
            </w:pPr>
          </w:p>
        </w:tc>
        <w:tc>
          <w:tcPr>
            <w:tcW w:w="20" w:type="dxa"/>
            <w:vAlign w:val="bottom"/>
            <w:gridSpan w:val="3"/>
          </w:tcPr>
          <w:p>
            <w:pPr>
              <w:spacing w:after="0"/>
              <w:rPr>
                <w:sz w:val="15"/>
                <w:szCs w:val="15"/>
                <w:color w:val="auto"/>
              </w:rPr>
            </w:pPr>
          </w:p>
        </w:tc>
        <w:tc>
          <w:tcPr>
            <w:tcW w:w="2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3980" w:type="dxa"/>
            <w:vAlign w:val="bottom"/>
            <w:gridSpan w:val="43"/>
          </w:tcPr>
          <w:p>
            <w:pPr>
              <w:spacing w:after="0"/>
              <w:rPr>
                <w:sz w:val="20"/>
                <w:szCs w:val="20"/>
                <w:color w:val="auto"/>
              </w:rPr>
            </w:pPr>
            <w:r>
              <w:rPr>
                <w:rFonts w:ascii="Arial" w:cs="Arial" w:eastAsia="Arial" w:hAnsi="Arial"/>
                <w:sz w:val="18"/>
                <w:szCs w:val="18"/>
                <w:color w:val="0000EE"/>
              </w:rPr>
              <w:t>Certification of Chief Financial Officer pursuant</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to Rules 13a-14(a) and 15d-14(a) of the</w:t>
            </w:r>
          </w:p>
        </w:tc>
        <w:tc>
          <w:tcPr>
            <w:tcW w:w="20" w:type="dxa"/>
            <w:vAlign w:val="bottom"/>
            <w:gridSpan w:val="3"/>
          </w:tcPr>
          <w:p>
            <w:pPr>
              <w:spacing w:after="0"/>
              <w:rPr>
                <w:sz w:val="15"/>
                <w:szCs w:val="15"/>
                <w:color w:val="auto"/>
              </w:rPr>
            </w:pPr>
          </w:p>
        </w:tc>
        <w:tc>
          <w:tcPr>
            <w:tcW w:w="2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14"/>
            <w:shd w:val="clear" w:color="auto" w:fill="0000EE"/>
          </w:tcPr>
          <w:p>
            <w:pPr>
              <w:spacing w:after="0" w:line="20" w:lineRule="exact"/>
              <w:rPr>
                <w:sz w:val="1"/>
                <w:szCs w:val="1"/>
                <w:color w:val="auto"/>
              </w:rPr>
            </w:pPr>
          </w:p>
        </w:tc>
        <w:tc>
          <w:tcPr>
            <w:tcW w:w="580" w:type="dxa"/>
            <w:vAlign w:val="bottom"/>
            <w:gridSpan w:val="17"/>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bottom w:val="single" w:sz="8" w:color="0000EE"/>
            </w:tcBorders>
            <w:gridSpan w:val="31"/>
          </w:tcPr>
          <w:p>
            <w:pPr>
              <w:spacing w:after="0" w:line="182" w:lineRule="exact"/>
              <w:rPr>
                <w:sz w:val="20"/>
                <w:szCs w:val="20"/>
                <w:color w:val="auto"/>
              </w:rPr>
            </w:pPr>
            <w:r>
              <w:rPr>
                <w:rFonts w:ascii="Arial" w:cs="Arial" w:eastAsia="Arial" w:hAnsi="Arial"/>
                <w:sz w:val="18"/>
                <w:szCs w:val="18"/>
                <w:color w:val="0000EE"/>
                <w:w w:val="99"/>
              </w:rPr>
              <w:t>Securities Exchange Act of 1934, as amended,</w:t>
            </w:r>
          </w:p>
        </w:tc>
        <w:tc>
          <w:tcPr>
            <w:tcW w:w="2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280" w:type="dxa"/>
            <w:vAlign w:val="bottom"/>
          </w:tcPr>
          <w:p>
            <w:pPr>
              <w:spacing w:after="0"/>
              <w:rPr>
                <w:sz w:val="24"/>
                <w:szCs w:val="24"/>
                <w:color w:val="auto"/>
              </w:rPr>
            </w:pPr>
          </w:p>
        </w:tc>
        <w:tc>
          <w:tcPr>
            <w:tcW w:w="3920" w:type="dxa"/>
            <w:vAlign w:val="bottom"/>
            <w:gridSpan w:val="39"/>
          </w:tcPr>
          <w:p>
            <w:pPr>
              <w:jc w:val="right"/>
              <w:ind w:right="8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jc w:val="center"/>
              <w:ind w:right="191"/>
              <w:spacing w:after="0"/>
              <w:rPr>
                <w:sz w:val="20"/>
                <w:szCs w:val="20"/>
                <w:color w:val="auto"/>
              </w:rPr>
            </w:pPr>
            <w:r>
              <w:rPr>
                <w:rFonts w:ascii="Arial" w:cs="Arial" w:eastAsia="Arial" w:hAnsi="Arial"/>
                <w:sz w:val="16"/>
                <w:szCs w:val="16"/>
                <w:color w:val="auto"/>
                <w:w w:val="96"/>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51"/>
              <w:spacing w:after="0"/>
              <w:rPr>
                <w:sz w:val="20"/>
                <w:szCs w:val="20"/>
                <w:color w:val="auto"/>
              </w:rPr>
            </w:pPr>
            <w:r>
              <w:rPr>
                <w:rFonts w:ascii="Arial" w:cs="Arial" w:eastAsia="Arial" w:hAnsi="Arial"/>
                <w:sz w:val="16"/>
                <w:szCs w:val="16"/>
                <w:color w:val="auto"/>
                <w:w w:val="99"/>
              </w:rPr>
              <w:t>10.15</w:t>
            </w:r>
          </w:p>
        </w:tc>
      </w:tr>
      <w:tr>
        <w:trPr>
          <w:trHeight w:val="239"/>
        </w:trPr>
        <w:tc>
          <w:tcPr>
            <w:tcW w:w="6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20"/>
                <w:szCs w:val="20"/>
                <w:color w:val="auto"/>
              </w:rPr>
            </w:pPr>
          </w:p>
        </w:tc>
      </w:tr>
      <w:tr>
        <w:trPr>
          <w:trHeight w:val="774"/>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March 25,</w:t>
            </w:r>
          </w:p>
        </w:tc>
        <w:tc>
          <w:tcPr>
            <w:tcW w:w="720" w:type="dxa"/>
            <w:vAlign w:val="bottom"/>
          </w:tcPr>
          <w:p>
            <w:pPr>
              <w:jc w:val="center"/>
              <w:ind w:left="171"/>
              <w:spacing w:after="0"/>
              <w:rPr>
                <w:sz w:val="20"/>
                <w:szCs w:val="20"/>
                <w:color w:val="auto"/>
              </w:rPr>
            </w:pPr>
            <w:r>
              <w:rPr>
                <w:rFonts w:ascii="Arial" w:cs="Arial" w:eastAsia="Arial" w:hAnsi="Arial"/>
                <w:sz w:val="18"/>
                <w:szCs w:val="18"/>
                <w:color w:val="auto"/>
              </w:rPr>
              <w:t>10.20</w:t>
            </w:r>
          </w:p>
        </w:tc>
      </w:tr>
      <w:tr>
        <w:trPr>
          <w:trHeight w:val="239"/>
        </w:trPr>
        <w:tc>
          <w:tcPr>
            <w:tcW w:w="6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2021</w:t>
            </w:r>
          </w:p>
        </w:tc>
        <w:tc>
          <w:tcPr>
            <w:tcW w:w="720" w:type="dxa"/>
            <w:vAlign w:val="bottom"/>
          </w:tcPr>
          <w:p>
            <w:pPr>
              <w:spacing w:after="0"/>
              <w:rPr>
                <w:sz w:val="20"/>
                <w:szCs w:val="20"/>
                <w:color w:val="auto"/>
              </w:rPr>
            </w:pPr>
          </w:p>
        </w:tc>
      </w:tr>
      <w:tr>
        <w:trPr>
          <w:trHeight w:val="774"/>
        </w:trPr>
        <w:tc>
          <w:tcPr>
            <w:tcW w:w="680" w:type="dxa"/>
            <w:vAlign w:val="bottom"/>
          </w:tcPr>
          <w:p>
            <w:pPr>
              <w:jc w:val="center"/>
              <w:ind w:right="19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March 15,</w:t>
            </w:r>
          </w:p>
        </w:tc>
        <w:tc>
          <w:tcPr>
            <w:tcW w:w="720" w:type="dxa"/>
            <w:vAlign w:val="bottom"/>
          </w:tcPr>
          <w:p>
            <w:pPr>
              <w:jc w:val="center"/>
              <w:ind w:left="151"/>
              <w:spacing w:after="0"/>
              <w:rPr>
                <w:sz w:val="20"/>
                <w:szCs w:val="20"/>
                <w:color w:val="auto"/>
              </w:rPr>
            </w:pPr>
            <w:r>
              <w:rPr>
                <w:rFonts w:ascii="Arial" w:cs="Arial" w:eastAsia="Arial" w:hAnsi="Arial"/>
                <w:sz w:val="18"/>
                <w:szCs w:val="18"/>
                <w:color w:val="auto"/>
              </w:rPr>
              <w:t>10.1</w:t>
            </w:r>
          </w:p>
        </w:tc>
      </w:tr>
      <w:tr>
        <w:trPr>
          <w:trHeight w:val="239"/>
        </w:trPr>
        <w:tc>
          <w:tcPr>
            <w:tcW w:w="6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2021</w:t>
            </w:r>
          </w:p>
        </w:tc>
        <w:tc>
          <w:tcPr>
            <w:tcW w:w="720" w:type="dxa"/>
            <w:vAlign w:val="bottom"/>
          </w:tcPr>
          <w:p>
            <w:pPr>
              <w:spacing w:after="0"/>
              <w:rPr>
                <w:sz w:val="20"/>
                <w:szCs w:val="20"/>
                <w:color w:val="auto"/>
              </w:rPr>
            </w:pPr>
          </w:p>
        </w:tc>
      </w:tr>
      <w:tr>
        <w:trPr>
          <w:trHeight w:val="571"/>
        </w:trPr>
        <w:tc>
          <w:tcPr>
            <w:tcW w:w="680" w:type="dxa"/>
            <w:vAlign w:val="bottom"/>
          </w:tcPr>
          <w:p>
            <w:pPr>
              <w:jc w:val="center"/>
              <w:ind w:right="191"/>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August 10,</w:t>
            </w:r>
          </w:p>
        </w:tc>
        <w:tc>
          <w:tcPr>
            <w:tcW w:w="720" w:type="dxa"/>
            <w:vAlign w:val="bottom"/>
          </w:tcPr>
          <w:p>
            <w:pPr>
              <w:jc w:val="center"/>
              <w:ind w:left="151"/>
              <w:spacing w:after="0"/>
              <w:rPr>
                <w:sz w:val="20"/>
                <w:szCs w:val="20"/>
                <w:color w:val="auto"/>
              </w:rPr>
            </w:pPr>
            <w:r>
              <w:rPr>
                <w:rFonts w:ascii="Arial" w:cs="Arial" w:eastAsia="Arial" w:hAnsi="Arial"/>
                <w:sz w:val="18"/>
                <w:szCs w:val="18"/>
                <w:color w:val="auto"/>
              </w:rPr>
              <w:t>10.1</w:t>
            </w:r>
          </w:p>
        </w:tc>
      </w:tr>
      <w:tr>
        <w:trPr>
          <w:trHeight w:val="203"/>
        </w:trPr>
        <w:tc>
          <w:tcPr>
            <w:tcW w:w="68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rPr>
              <w:t>2021</w:t>
            </w:r>
          </w:p>
        </w:tc>
        <w:tc>
          <w:tcPr>
            <w:tcW w:w="720" w:type="dxa"/>
            <w:vAlign w:val="bottom"/>
          </w:tcPr>
          <w:p>
            <w:pPr>
              <w:spacing w:after="0"/>
              <w:rPr>
                <w:sz w:val="17"/>
                <w:szCs w:val="17"/>
                <w:color w:val="auto"/>
              </w:rPr>
            </w:pPr>
          </w:p>
        </w:tc>
      </w:tr>
      <w:tr>
        <w:trPr>
          <w:trHeight w:val="203"/>
        </w:trPr>
        <w:tc>
          <w:tcPr>
            <w:tcW w:w="680" w:type="dxa"/>
            <w:vAlign w:val="bottom"/>
          </w:tcPr>
          <w:p>
            <w:pPr>
              <w:jc w:val="center"/>
              <w:ind w:right="191"/>
              <w:spacing w:after="0" w:line="202"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October 5,</w:t>
            </w:r>
          </w:p>
        </w:tc>
        <w:tc>
          <w:tcPr>
            <w:tcW w:w="720" w:type="dxa"/>
            <w:vAlign w:val="bottom"/>
          </w:tcPr>
          <w:p>
            <w:pPr>
              <w:jc w:val="center"/>
              <w:ind w:left="151"/>
              <w:spacing w:after="0" w:line="202" w:lineRule="exact"/>
              <w:rPr>
                <w:sz w:val="20"/>
                <w:szCs w:val="20"/>
                <w:color w:val="auto"/>
              </w:rPr>
            </w:pPr>
            <w:r>
              <w:rPr>
                <w:rFonts w:ascii="Arial" w:cs="Arial" w:eastAsia="Arial" w:hAnsi="Arial"/>
                <w:sz w:val="18"/>
                <w:szCs w:val="18"/>
                <w:color w:val="auto"/>
              </w:rPr>
              <w:t>10.1</w:t>
            </w:r>
          </w:p>
        </w:tc>
      </w:tr>
      <w:tr>
        <w:trPr>
          <w:trHeight w:val="203"/>
        </w:trPr>
        <w:tc>
          <w:tcPr>
            <w:tcW w:w="68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rPr>
              <w:t>2023</w:t>
            </w:r>
          </w:p>
        </w:tc>
        <w:tc>
          <w:tcPr>
            <w:tcW w:w="720" w:type="dxa"/>
            <w:vAlign w:val="bottom"/>
          </w:tcPr>
          <w:p>
            <w:pPr>
              <w:spacing w:after="0"/>
              <w:rPr>
                <w:sz w:val="17"/>
                <w:szCs w:val="17"/>
                <w:color w:val="auto"/>
              </w:rPr>
            </w:pPr>
          </w:p>
        </w:tc>
      </w:tr>
      <w:tr>
        <w:trPr>
          <w:trHeight w:val="203"/>
        </w:trPr>
        <w:tc>
          <w:tcPr>
            <w:tcW w:w="680" w:type="dxa"/>
            <w:vAlign w:val="bottom"/>
          </w:tcPr>
          <w:p>
            <w:pPr>
              <w:jc w:val="center"/>
              <w:ind w:right="191"/>
              <w:spacing w:after="0" w:line="202"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October 5,</w:t>
            </w:r>
          </w:p>
        </w:tc>
        <w:tc>
          <w:tcPr>
            <w:tcW w:w="720" w:type="dxa"/>
            <w:vAlign w:val="bottom"/>
          </w:tcPr>
          <w:p>
            <w:pPr>
              <w:jc w:val="center"/>
              <w:ind w:left="151"/>
              <w:spacing w:after="0" w:line="202" w:lineRule="exact"/>
              <w:rPr>
                <w:sz w:val="20"/>
                <w:szCs w:val="20"/>
                <w:color w:val="auto"/>
              </w:rPr>
            </w:pPr>
            <w:r>
              <w:rPr>
                <w:rFonts w:ascii="Arial" w:cs="Arial" w:eastAsia="Arial" w:hAnsi="Arial"/>
                <w:sz w:val="18"/>
                <w:szCs w:val="18"/>
                <w:color w:val="auto"/>
              </w:rPr>
              <w:t>10.2</w:t>
            </w:r>
          </w:p>
        </w:tc>
      </w:tr>
      <w:tr>
        <w:trPr>
          <w:trHeight w:val="203"/>
        </w:trPr>
        <w:tc>
          <w:tcPr>
            <w:tcW w:w="68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rPr>
              <w:t>2023</w:t>
            </w:r>
          </w:p>
        </w:tc>
        <w:tc>
          <w:tcPr>
            <w:tcW w:w="720" w:type="dxa"/>
            <w:vAlign w:val="bottom"/>
          </w:tcPr>
          <w:p>
            <w:pPr>
              <w:spacing w:after="0"/>
              <w:rPr>
                <w:sz w:val="17"/>
                <w:szCs w:val="17"/>
                <w:color w:val="auto"/>
              </w:rPr>
            </w:pPr>
          </w:p>
        </w:tc>
      </w:tr>
      <w:tr>
        <w:trPr>
          <w:trHeight w:val="203"/>
        </w:trPr>
        <w:tc>
          <w:tcPr>
            <w:tcW w:w="680" w:type="dxa"/>
            <w:vAlign w:val="bottom"/>
          </w:tcPr>
          <w:p>
            <w:pPr>
              <w:jc w:val="center"/>
              <w:ind w:right="191"/>
              <w:spacing w:after="0" w:line="202"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51"/>
              <w:spacing w:after="0" w:line="202" w:lineRule="exact"/>
              <w:rPr>
                <w:sz w:val="20"/>
                <w:szCs w:val="20"/>
                <w:color w:val="auto"/>
              </w:rPr>
            </w:pPr>
            <w:r>
              <w:rPr>
                <w:rFonts w:ascii="Arial" w:cs="Arial" w:eastAsia="Arial" w:hAnsi="Arial"/>
                <w:sz w:val="18"/>
                <w:szCs w:val="18"/>
                <w:color w:val="auto"/>
              </w:rPr>
              <w:t>10.1</w:t>
            </w:r>
          </w:p>
        </w:tc>
      </w:tr>
      <w:tr>
        <w:trPr>
          <w:trHeight w:val="239"/>
        </w:trPr>
        <w:tc>
          <w:tcPr>
            <w:tcW w:w="6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2023</w:t>
            </w:r>
          </w:p>
        </w:tc>
        <w:tc>
          <w:tcPr>
            <w:tcW w:w="720" w:type="dxa"/>
            <w:vAlign w:val="bottom"/>
          </w:tcPr>
          <w:p>
            <w:pPr>
              <w:spacing w:after="0"/>
              <w:rPr>
                <w:sz w:val="20"/>
                <w:szCs w:val="20"/>
                <w:color w:val="auto"/>
              </w:rPr>
            </w:pPr>
          </w:p>
        </w:tc>
      </w:tr>
      <w:tr>
        <w:trPr>
          <w:trHeight w:val="571"/>
        </w:trPr>
        <w:tc>
          <w:tcPr>
            <w:tcW w:w="680" w:type="dxa"/>
            <w:vAlign w:val="bottom"/>
          </w:tcPr>
          <w:p>
            <w:pPr>
              <w:jc w:val="center"/>
              <w:ind w:right="19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51"/>
              <w:spacing w:after="0"/>
              <w:rPr>
                <w:sz w:val="20"/>
                <w:szCs w:val="20"/>
                <w:color w:val="auto"/>
              </w:rPr>
            </w:pPr>
            <w:r>
              <w:rPr>
                <w:rFonts w:ascii="Arial" w:cs="Arial" w:eastAsia="Arial" w:hAnsi="Arial"/>
                <w:sz w:val="18"/>
                <w:szCs w:val="18"/>
                <w:color w:val="auto"/>
              </w:rPr>
              <w:t>10.2</w:t>
            </w:r>
          </w:p>
        </w:tc>
      </w:tr>
      <w:tr>
        <w:trPr>
          <w:trHeight w:val="239"/>
        </w:trPr>
        <w:tc>
          <w:tcPr>
            <w:tcW w:w="6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2023</w:t>
            </w:r>
          </w:p>
        </w:tc>
        <w:tc>
          <w:tcPr>
            <w:tcW w:w="720" w:type="dxa"/>
            <w:vAlign w:val="bottom"/>
          </w:tcPr>
          <w:p>
            <w:pPr>
              <w:spacing w:after="0"/>
              <w:rPr>
                <w:sz w:val="20"/>
                <w:szCs w:val="20"/>
                <w:color w:val="auto"/>
              </w:rPr>
            </w:pPr>
          </w:p>
        </w:tc>
      </w:tr>
      <w:tr>
        <w:trPr>
          <w:trHeight w:val="571"/>
        </w:trPr>
        <w:tc>
          <w:tcPr>
            <w:tcW w:w="680" w:type="dxa"/>
            <w:vAlign w:val="bottom"/>
          </w:tcPr>
          <w:p>
            <w:pPr>
              <w:jc w:val="center"/>
              <w:ind w:right="19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51"/>
              <w:spacing w:after="0"/>
              <w:rPr>
                <w:sz w:val="20"/>
                <w:szCs w:val="20"/>
                <w:color w:val="auto"/>
              </w:rPr>
            </w:pPr>
            <w:r>
              <w:rPr>
                <w:rFonts w:ascii="Arial" w:cs="Arial" w:eastAsia="Arial" w:hAnsi="Arial"/>
                <w:sz w:val="18"/>
                <w:szCs w:val="18"/>
                <w:color w:val="auto"/>
              </w:rPr>
              <w:t>10.3</w:t>
            </w:r>
          </w:p>
        </w:tc>
      </w:tr>
      <w:tr>
        <w:trPr>
          <w:trHeight w:val="239"/>
        </w:trPr>
        <w:tc>
          <w:tcPr>
            <w:tcW w:w="6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2023</w:t>
            </w:r>
          </w:p>
        </w:tc>
        <w:tc>
          <w:tcPr>
            <w:tcW w:w="720" w:type="dxa"/>
            <w:vAlign w:val="bottom"/>
          </w:tcPr>
          <w:p>
            <w:pPr>
              <w:spacing w:after="0"/>
              <w:rPr>
                <w:sz w:val="20"/>
                <w:szCs w:val="20"/>
                <w:color w:val="auto"/>
              </w:rPr>
            </w:pPr>
          </w:p>
        </w:tc>
      </w:tr>
      <w:tr>
        <w:trPr>
          <w:trHeight w:val="976"/>
        </w:trPr>
        <w:tc>
          <w:tcPr>
            <w:tcW w:w="680" w:type="dxa"/>
            <w:vAlign w:val="bottom"/>
          </w:tcPr>
          <w:p>
            <w:pPr>
              <w:jc w:val="center"/>
              <w:ind w:right="19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September</w:t>
            </w:r>
          </w:p>
        </w:tc>
        <w:tc>
          <w:tcPr>
            <w:tcW w:w="720" w:type="dxa"/>
            <w:vAlign w:val="bottom"/>
          </w:tcPr>
          <w:p>
            <w:pPr>
              <w:jc w:val="center"/>
              <w:ind w:left="151"/>
              <w:spacing w:after="0"/>
              <w:rPr>
                <w:sz w:val="20"/>
                <w:szCs w:val="20"/>
                <w:color w:val="auto"/>
              </w:rPr>
            </w:pPr>
            <w:r>
              <w:rPr>
                <w:rFonts w:ascii="Arial" w:cs="Arial" w:eastAsia="Arial" w:hAnsi="Arial"/>
                <w:sz w:val="18"/>
                <w:szCs w:val="18"/>
                <w:color w:val="auto"/>
              </w:rPr>
              <w:t>10.1</w:t>
            </w:r>
          </w:p>
        </w:tc>
      </w:tr>
      <w:tr>
        <w:trPr>
          <w:trHeight w:val="239"/>
        </w:trPr>
        <w:tc>
          <w:tcPr>
            <w:tcW w:w="6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25, 2023</w:t>
            </w:r>
          </w:p>
        </w:tc>
        <w:tc>
          <w:tcPr>
            <w:tcW w:w="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200" w:space="480"/>
            <w:col w:w="3820"/>
          </w:cols>
          <w:pgMar w:left="980" w:top="648" w:right="14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as adopted pursuant to Section 302 of the</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Sarbanes-Oxley Act of 2002.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5940" w:type="dxa"/>
            <w:vAlign w:val="bottom"/>
            <w:gridSpan w:val="8"/>
          </w:tcPr>
          <w:p>
            <w:pPr>
              <w:spacing w:after="0"/>
              <w:rPr>
                <w:sz w:val="20"/>
                <w:szCs w:val="20"/>
                <w:color w:val="auto"/>
              </w:rPr>
            </w:pPr>
            <w:r>
              <w:rPr>
                <w:rFonts w:ascii="Arial" w:cs="Arial" w:eastAsia="Arial" w:hAnsi="Arial"/>
                <w:sz w:val="18"/>
                <w:szCs w:val="18"/>
                <w:color w:val="0000EE"/>
              </w:rPr>
              <w:t>Certification of Chief Executive Officer pursuant</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32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to 18 U.S.C. Section 1350, as adopted pursuant</w:t>
            </w:r>
          </w:p>
        </w:tc>
        <w:tc>
          <w:tcPr>
            <w:tcW w:w="40" w:type="dxa"/>
            <w:vAlign w:val="bottom"/>
            <w:tcBorders>
              <w:bottom w:val="single" w:sz="8" w:color="0000EE"/>
            </w:tcBorders>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20" w:type="dxa"/>
            <w:vAlign w:val="bottom"/>
            <w:gridSpan w:val="7"/>
          </w:tcPr>
          <w:p>
            <w:pPr>
              <w:spacing w:after="0" w:line="182" w:lineRule="exact"/>
              <w:rPr>
                <w:sz w:val="20"/>
                <w:szCs w:val="20"/>
                <w:color w:val="auto"/>
              </w:rPr>
            </w:pPr>
            <w:r>
              <w:rPr>
                <w:rFonts w:ascii="Arial" w:cs="Arial" w:eastAsia="Arial" w:hAnsi="Arial"/>
                <w:sz w:val="18"/>
                <w:szCs w:val="18"/>
                <w:color w:val="0000EE"/>
              </w:rPr>
              <w:t>to Section 906 of the Sarbanes-Oxley Act of</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3"/>
              </w:rPr>
              <w:t>2002.</w:t>
            </w:r>
          </w:p>
        </w:tc>
        <w:tc>
          <w:tcPr>
            <w:tcW w:w="1480" w:type="dxa"/>
            <w:vAlign w:val="bottom"/>
            <w:tcBorders>
              <w:top w:val="single" w:sz="8" w:color="0000EE"/>
            </w:tcBorders>
          </w:tcPr>
          <w:p>
            <w:pPr>
              <w:spacing w:after="0"/>
              <w:rPr>
                <w:sz w:val="15"/>
                <w:szCs w:val="15"/>
                <w:color w:val="auto"/>
              </w:rPr>
            </w:pPr>
          </w:p>
        </w:tc>
        <w:tc>
          <w:tcPr>
            <w:tcW w:w="14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71"/>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5940" w:type="dxa"/>
            <w:vAlign w:val="bottom"/>
            <w:gridSpan w:val="8"/>
          </w:tcPr>
          <w:p>
            <w:pPr>
              <w:spacing w:after="0"/>
              <w:rPr>
                <w:sz w:val="20"/>
                <w:szCs w:val="20"/>
                <w:color w:val="auto"/>
              </w:rPr>
            </w:pPr>
            <w:r>
              <w:rPr>
                <w:rFonts w:ascii="Arial" w:cs="Arial" w:eastAsia="Arial" w:hAnsi="Arial"/>
                <w:sz w:val="18"/>
                <w:szCs w:val="18"/>
                <w:color w:val="0000EE"/>
              </w:rPr>
              <w:t>Certification of Chief Financial Officer pursuant</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320" w:type="dxa"/>
            <w:vAlign w:val="bottom"/>
          </w:tcPr>
          <w:p>
            <w:pPr>
              <w:spacing w:after="0"/>
              <w:rPr>
                <w:sz w:val="15"/>
                <w:szCs w:val="15"/>
                <w:color w:val="auto"/>
              </w:rPr>
            </w:pPr>
          </w:p>
        </w:tc>
        <w:tc>
          <w:tcPr>
            <w:tcW w:w="3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6"/>
              </w:rPr>
              <w:t>to 18 U.S.C. Section 1350, as adopted pursuant</w:t>
            </w:r>
          </w:p>
        </w:tc>
        <w:tc>
          <w:tcPr>
            <w:tcW w:w="2220" w:type="dxa"/>
            <w:vAlign w:val="bottom"/>
            <w:gridSpan w:val="3"/>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to Section 906 of the Sarbanes-Oxley Act of</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3"/>
              </w:rPr>
              <w:t>2002.</w:t>
            </w:r>
          </w:p>
        </w:tc>
        <w:tc>
          <w:tcPr>
            <w:tcW w:w="1480" w:type="dxa"/>
            <w:vAlign w:val="bottom"/>
            <w:tcBorders>
              <w:top w:val="single" w:sz="8" w:color="0000EE"/>
            </w:tcBorders>
          </w:tcPr>
          <w:p>
            <w:pPr>
              <w:spacing w:after="0"/>
              <w:rPr>
                <w:sz w:val="15"/>
                <w:szCs w:val="15"/>
                <w:color w:val="auto"/>
              </w:rPr>
            </w:pPr>
          </w:p>
        </w:tc>
        <w:tc>
          <w:tcPr>
            <w:tcW w:w="14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72"/>
        </w:trPr>
        <w:tc>
          <w:tcPr>
            <w:tcW w:w="1320" w:type="dxa"/>
            <w:vAlign w:val="bottom"/>
          </w:tcPr>
          <w:p>
            <w:pPr>
              <w:spacing w:after="0"/>
              <w:rPr>
                <w:sz w:val="20"/>
                <w:szCs w:val="20"/>
                <w:color w:val="auto"/>
              </w:rPr>
            </w:pPr>
            <w:r>
              <w:rPr>
                <w:rFonts w:ascii="Arial" w:cs="Arial" w:eastAsia="Arial" w:hAnsi="Arial"/>
                <w:sz w:val="18"/>
                <w:szCs w:val="18"/>
                <w:color w:val="auto"/>
              </w:rPr>
              <w:t>97.1</w:t>
            </w:r>
          </w:p>
        </w:tc>
        <w:tc>
          <w:tcPr>
            <w:tcW w:w="5940" w:type="dxa"/>
            <w:vAlign w:val="bottom"/>
            <w:gridSpan w:val="8"/>
          </w:tcPr>
          <w:p>
            <w:pPr>
              <w:spacing w:after="0"/>
              <w:rPr>
                <w:sz w:val="20"/>
                <w:szCs w:val="20"/>
                <w:color w:val="auto"/>
              </w:rPr>
            </w:pPr>
            <w:r>
              <w:rPr>
                <w:rFonts w:ascii="Arial" w:cs="Arial" w:eastAsia="Arial" w:hAnsi="Arial"/>
                <w:sz w:val="18"/>
                <w:szCs w:val="18"/>
                <w:color w:val="0000EE"/>
              </w:rPr>
              <w:t>Policy Relating to Recovery of Erroneously</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32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Awarded Compensation</w:t>
            </w:r>
          </w:p>
        </w:tc>
        <w:tc>
          <w:tcPr>
            <w:tcW w:w="1480" w:type="dxa"/>
            <w:vAlign w:val="bottom"/>
            <w:tcBorders>
              <w:top w:val="single" w:sz="8" w:color="0000EE"/>
            </w:tcBorders>
          </w:tcPr>
          <w:p>
            <w:pPr>
              <w:spacing w:after="0"/>
              <w:rPr>
                <w:sz w:val="15"/>
                <w:szCs w:val="15"/>
                <w:color w:val="auto"/>
              </w:rPr>
            </w:pPr>
          </w:p>
        </w:tc>
        <w:tc>
          <w:tcPr>
            <w:tcW w:w="2540" w:type="dxa"/>
            <w:vAlign w:val="bottom"/>
            <w:gridSpan w:val="5"/>
          </w:tcPr>
          <w:p>
            <w:pPr>
              <w:spacing w:after="0"/>
              <w:rPr>
                <w:sz w:val="15"/>
                <w:szCs w:val="15"/>
                <w:color w:val="auto"/>
              </w:rPr>
            </w:pPr>
          </w:p>
        </w:tc>
        <w:tc>
          <w:tcPr>
            <w:tcW w:w="2240" w:type="dxa"/>
            <w:vAlign w:val="bottom"/>
          </w:tcPr>
          <w:p>
            <w:pPr>
              <w:spacing w:after="0"/>
              <w:rPr>
                <w:sz w:val="15"/>
                <w:szCs w:val="15"/>
                <w:color w:val="auto"/>
              </w:rPr>
            </w:pPr>
          </w:p>
        </w:tc>
      </w:tr>
      <w:tr>
        <w:trPr>
          <w:trHeight w:val="380"/>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5940" w:type="dxa"/>
            <w:vAlign w:val="bottom"/>
            <w:gridSpan w:val="8"/>
          </w:tcPr>
          <w:p>
            <w:pPr>
              <w:spacing w:after="0"/>
              <w:rPr>
                <w:sz w:val="20"/>
                <w:szCs w:val="20"/>
                <w:color w:val="auto"/>
              </w:rPr>
            </w:pPr>
            <w:r>
              <w:rPr>
                <w:rFonts w:ascii="Arial" w:cs="Arial" w:eastAsia="Arial" w:hAnsi="Arial"/>
                <w:sz w:val="18"/>
                <w:szCs w:val="18"/>
                <w:color w:val="auto"/>
              </w:rPr>
              <w:t>The following financial statements from the</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203"/>
        </w:trPr>
        <w:tc>
          <w:tcPr>
            <w:tcW w:w="1320" w:type="dxa"/>
            <w:vAlign w:val="bottom"/>
          </w:tcPr>
          <w:p>
            <w:pPr>
              <w:spacing w:after="0"/>
              <w:rPr>
                <w:sz w:val="17"/>
                <w:szCs w:val="17"/>
                <w:color w:val="auto"/>
              </w:rPr>
            </w:pPr>
          </w:p>
        </w:tc>
        <w:tc>
          <w:tcPr>
            <w:tcW w:w="5940" w:type="dxa"/>
            <w:vAlign w:val="bottom"/>
            <w:gridSpan w:val="8"/>
          </w:tcPr>
          <w:p>
            <w:pPr>
              <w:spacing w:after="0" w:line="202" w:lineRule="exact"/>
              <w:rPr>
                <w:sz w:val="20"/>
                <w:szCs w:val="20"/>
                <w:color w:val="auto"/>
              </w:rPr>
            </w:pPr>
            <w:r>
              <w:rPr>
                <w:rFonts w:ascii="Arial" w:cs="Arial" w:eastAsia="Arial" w:hAnsi="Arial"/>
                <w:sz w:val="18"/>
                <w:szCs w:val="18"/>
                <w:color w:val="auto"/>
              </w:rPr>
              <w:t>Company’s Yearly Report on Form 10-K for the</w:t>
            </w:r>
          </w:p>
        </w:tc>
        <w:tc>
          <w:tcPr>
            <w:tcW w:w="22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940" w:type="dxa"/>
            <w:vAlign w:val="bottom"/>
            <w:gridSpan w:val="8"/>
          </w:tcPr>
          <w:p>
            <w:pPr>
              <w:spacing w:after="0" w:line="202" w:lineRule="exact"/>
              <w:rPr>
                <w:sz w:val="20"/>
                <w:szCs w:val="20"/>
                <w:color w:val="auto"/>
              </w:rPr>
            </w:pPr>
            <w:r>
              <w:rPr>
                <w:rFonts w:ascii="Arial" w:cs="Arial" w:eastAsia="Arial" w:hAnsi="Arial"/>
                <w:sz w:val="18"/>
                <w:szCs w:val="18"/>
                <w:color w:val="auto"/>
              </w:rPr>
              <w:t>fiscal year ended December 31, 2024 formatted</w:t>
            </w:r>
          </w:p>
        </w:tc>
        <w:tc>
          <w:tcPr>
            <w:tcW w:w="22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940" w:type="dxa"/>
            <w:vAlign w:val="bottom"/>
            <w:gridSpan w:val="8"/>
          </w:tcPr>
          <w:p>
            <w:pPr>
              <w:spacing w:after="0" w:line="202" w:lineRule="exact"/>
              <w:rPr>
                <w:sz w:val="20"/>
                <w:szCs w:val="20"/>
                <w:color w:val="auto"/>
              </w:rPr>
            </w:pPr>
            <w:r>
              <w:rPr>
                <w:rFonts w:ascii="Arial" w:cs="Arial" w:eastAsia="Arial" w:hAnsi="Arial"/>
                <w:sz w:val="18"/>
                <w:szCs w:val="18"/>
                <w:color w:val="auto"/>
              </w:rPr>
              <w:t>in Inline XBRL: (i) Balance Sheets, (ii)</w:t>
            </w:r>
          </w:p>
        </w:tc>
        <w:tc>
          <w:tcPr>
            <w:tcW w:w="22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940" w:type="dxa"/>
            <w:vAlign w:val="bottom"/>
            <w:gridSpan w:val="8"/>
          </w:tcPr>
          <w:p>
            <w:pPr>
              <w:spacing w:after="0" w:line="202" w:lineRule="exact"/>
              <w:rPr>
                <w:sz w:val="20"/>
                <w:szCs w:val="20"/>
                <w:color w:val="auto"/>
              </w:rPr>
            </w:pPr>
            <w:r>
              <w:rPr>
                <w:rFonts w:ascii="Arial" w:cs="Arial" w:eastAsia="Arial" w:hAnsi="Arial"/>
                <w:sz w:val="18"/>
                <w:szCs w:val="18"/>
                <w:color w:val="auto"/>
              </w:rPr>
              <w:t>Statements of Operations, (iii) Statements of</w:t>
            </w:r>
          </w:p>
        </w:tc>
        <w:tc>
          <w:tcPr>
            <w:tcW w:w="22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940" w:type="dxa"/>
            <w:vAlign w:val="bottom"/>
            <w:gridSpan w:val="8"/>
          </w:tcPr>
          <w:p>
            <w:pPr>
              <w:spacing w:after="0" w:line="202" w:lineRule="exact"/>
              <w:rPr>
                <w:sz w:val="20"/>
                <w:szCs w:val="20"/>
                <w:color w:val="auto"/>
              </w:rPr>
            </w:pPr>
            <w:r>
              <w:rPr>
                <w:rFonts w:ascii="Arial" w:cs="Arial" w:eastAsia="Arial" w:hAnsi="Arial"/>
                <w:sz w:val="18"/>
                <w:szCs w:val="18"/>
                <w:color w:val="auto"/>
              </w:rPr>
              <w:t>Stockholders’ Equity (Deficit) and (vi) Notes to</w:t>
            </w:r>
          </w:p>
        </w:tc>
        <w:tc>
          <w:tcPr>
            <w:tcW w:w="22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940" w:type="dxa"/>
            <w:vAlign w:val="bottom"/>
            <w:gridSpan w:val="8"/>
          </w:tcPr>
          <w:p>
            <w:pPr>
              <w:spacing w:after="0" w:line="202" w:lineRule="exact"/>
              <w:rPr>
                <w:sz w:val="20"/>
                <w:szCs w:val="20"/>
                <w:color w:val="auto"/>
              </w:rPr>
            </w:pPr>
            <w:r>
              <w:rPr>
                <w:rFonts w:ascii="Arial" w:cs="Arial" w:eastAsia="Arial" w:hAnsi="Arial"/>
                <w:sz w:val="18"/>
                <w:szCs w:val="18"/>
                <w:color w:val="auto"/>
              </w:rPr>
              <w:t>Financial Statements, tagged as blocks of text</w:t>
            </w:r>
          </w:p>
        </w:tc>
        <w:tc>
          <w:tcPr>
            <w:tcW w:w="2240" w:type="dxa"/>
            <w:vAlign w:val="bottom"/>
          </w:tcPr>
          <w:p>
            <w:pPr>
              <w:spacing w:after="0"/>
              <w:rPr>
                <w:sz w:val="17"/>
                <w:szCs w:val="17"/>
                <w:color w:val="auto"/>
              </w:rPr>
            </w:pPr>
          </w:p>
        </w:tc>
      </w:tr>
      <w:tr>
        <w:trPr>
          <w:trHeight w:val="239"/>
        </w:trPr>
        <w:tc>
          <w:tcPr>
            <w:tcW w:w="1320" w:type="dxa"/>
            <w:vAlign w:val="bottom"/>
          </w:tcPr>
          <w:p>
            <w:pPr>
              <w:spacing w:after="0"/>
              <w:rPr>
                <w:sz w:val="20"/>
                <w:szCs w:val="20"/>
                <w:color w:val="auto"/>
              </w:rPr>
            </w:pPr>
          </w:p>
        </w:tc>
        <w:tc>
          <w:tcPr>
            <w:tcW w:w="5940" w:type="dxa"/>
            <w:vAlign w:val="bottom"/>
            <w:gridSpan w:val="8"/>
          </w:tcPr>
          <w:p>
            <w:pPr>
              <w:spacing w:after="0"/>
              <w:rPr>
                <w:sz w:val="20"/>
                <w:szCs w:val="20"/>
                <w:color w:val="auto"/>
              </w:rPr>
            </w:pPr>
            <w:r>
              <w:rPr>
                <w:rFonts w:ascii="Arial" w:cs="Arial" w:eastAsia="Arial" w:hAnsi="Arial"/>
                <w:sz w:val="18"/>
                <w:szCs w:val="18"/>
                <w:color w:val="auto"/>
              </w:rPr>
              <w:t>and including detailed tags.</w:t>
            </w:r>
          </w:p>
        </w:tc>
        <w:tc>
          <w:tcPr>
            <w:tcW w:w="2240" w:type="dxa"/>
            <w:vAlign w:val="bottom"/>
          </w:tcPr>
          <w:p>
            <w:pPr>
              <w:spacing w:after="0"/>
              <w:rPr>
                <w:sz w:val="20"/>
                <w:szCs w:val="20"/>
                <w:color w:val="auto"/>
              </w:rPr>
            </w:pPr>
          </w:p>
        </w:tc>
      </w:tr>
      <w:tr>
        <w:trPr>
          <w:trHeight w:val="355"/>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594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239"/>
        </w:trPr>
        <w:tc>
          <w:tcPr>
            <w:tcW w:w="1320" w:type="dxa"/>
            <w:vAlign w:val="bottom"/>
          </w:tcPr>
          <w:p>
            <w:pPr>
              <w:spacing w:after="0"/>
              <w:rPr>
                <w:sz w:val="20"/>
                <w:szCs w:val="20"/>
                <w:color w:val="auto"/>
              </w:rPr>
            </w:pPr>
          </w:p>
        </w:tc>
        <w:tc>
          <w:tcPr>
            <w:tcW w:w="5940" w:type="dxa"/>
            <w:vAlign w:val="bottom"/>
            <w:gridSpan w:val="8"/>
          </w:tcPr>
          <w:p>
            <w:pPr>
              <w:spacing w:after="0"/>
              <w:rPr>
                <w:sz w:val="20"/>
                <w:szCs w:val="20"/>
                <w:color w:val="auto"/>
              </w:rPr>
            </w:pPr>
            <w:r>
              <w:rPr>
                <w:rFonts w:ascii="Arial" w:cs="Arial" w:eastAsia="Arial" w:hAnsi="Arial"/>
                <w:sz w:val="18"/>
                <w:szCs w:val="18"/>
                <w:color w:val="auto"/>
              </w:rPr>
              <w:t>Inline XBRL and contained in Exhibit 101)</w:t>
            </w:r>
          </w:p>
        </w:tc>
        <w:tc>
          <w:tcPr>
            <w:tcW w:w="2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15684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3"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jc w:val="both"/>
        <w:ind w:left="340" w:right="20" w:hanging="332"/>
        <w:spacing w:after="0" w:line="24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 and is not to be incorporated by reference into any filing of Harmony Biosciences Holdings,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74" w:lineRule="exact"/>
        <w:rPr>
          <w:sz w:val="20"/>
          <w:szCs w:val="20"/>
          <w:color w:val="auto"/>
        </w:rPr>
      </w:pPr>
    </w:p>
    <w:p>
      <w:pPr>
        <w:ind w:left="380" w:right="20" w:hanging="372"/>
        <w:spacing w:after="0" w:line="271"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portions of this document that the Company customarily and actually treats as private or confidential and is not material have been redacted in accordance with Regulation S-K, Item 601(b)(10)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9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HARMONY BIOSCIENCES HOLDINGS, INC.</w:t>
      </w:r>
    </w:p>
    <w:p>
      <w:pPr>
        <w:spacing w:after="0" w:line="306"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8890</wp:posOffset>
            </wp:positionV>
            <wp:extent cx="29489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Jeffrey M. Dayno</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w:t>
      </w:r>
    </w:p>
    <w:p>
      <w:pPr>
        <w:ind w:left="5300"/>
        <w:spacing w:after="0" w:line="234" w:lineRule="auto"/>
        <w:rPr>
          <w:sz w:val="20"/>
          <w:szCs w:val="20"/>
          <w:color w:val="auto"/>
        </w:rPr>
      </w:pPr>
      <w:r>
        <w:rPr>
          <w:rFonts w:ascii="Arial" w:cs="Arial" w:eastAsia="Arial" w:hAnsi="Arial"/>
          <w:sz w:val="18"/>
          <w:szCs w:val="18"/>
          <w:color w:val="auto"/>
        </w:rPr>
        <w:t>President, Chief Executive Officer and Director (principal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25, 2025</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200" w:type="dxa"/>
            <w:vAlign w:val="bottom"/>
          </w:tcPr>
          <w:p>
            <w:pPr>
              <w:spacing w:after="0"/>
              <w:rPr>
                <w:sz w:val="19"/>
                <w:szCs w:val="19"/>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392"/>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Jeffrey M. Dayno</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President, Chief Executive Officer and 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39"/>
        </w:trPr>
        <w:tc>
          <w:tcPr>
            <w:tcW w:w="2500" w:type="dxa"/>
            <w:vAlign w:val="bottom"/>
          </w:tcPr>
          <w:p>
            <w:pPr>
              <w:jc w:val="center"/>
              <w:spacing w:after="0"/>
              <w:rPr>
                <w:sz w:val="20"/>
                <w:szCs w:val="20"/>
                <w:color w:val="auto"/>
              </w:rPr>
            </w:pPr>
            <w:r>
              <w:rPr>
                <w:rFonts w:ascii="Arial" w:cs="Arial" w:eastAsia="Arial" w:hAnsi="Arial"/>
                <w:sz w:val="18"/>
                <w:szCs w:val="18"/>
                <w:color w:val="auto"/>
                <w:w w:val="98"/>
              </w:rPr>
              <w:t>Jeffrey M. Dayno</w:t>
            </w:r>
          </w:p>
        </w:tc>
        <w:tc>
          <w:tcPr>
            <w:tcW w:w="200" w:type="dxa"/>
            <w:vAlign w:val="bottom"/>
          </w:tcPr>
          <w:p>
            <w:pPr>
              <w:spacing w:after="0"/>
              <w:rPr>
                <w:sz w:val="20"/>
                <w:szCs w:val="20"/>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(Principal Executive Officer)</w:t>
            </w:r>
          </w:p>
        </w:tc>
        <w:tc>
          <w:tcPr>
            <w:tcW w:w="2480" w:type="dxa"/>
            <w:vAlign w:val="bottom"/>
          </w:tcPr>
          <w:p>
            <w:pPr>
              <w:spacing w:after="0"/>
              <w:rPr>
                <w:sz w:val="20"/>
                <w:szCs w:val="20"/>
                <w:color w:val="auto"/>
              </w:rPr>
            </w:pPr>
          </w:p>
        </w:tc>
      </w:tr>
      <w:tr>
        <w:trPr>
          <w:trHeight w:val="350"/>
        </w:trPr>
        <w:tc>
          <w:tcPr>
            <w:tcW w:w="2500" w:type="dxa"/>
            <w:vAlign w:val="bottom"/>
          </w:tcPr>
          <w:p>
            <w:pPr>
              <w:jc w:val="center"/>
              <w:spacing w:after="0"/>
              <w:rPr>
                <w:sz w:val="20"/>
                <w:szCs w:val="20"/>
                <w:color w:val="auto"/>
              </w:rPr>
            </w:pPr>
            <w:r>
              <w:rPr>
                <w:rFonts w:ascii="Arial" w:cs="Arial" w:eastAsia="Arial" w:hAnsi="Arial"/>
                <w:sz w:val="18"/>
                <w:szCs w:val="18"/>
                <w:color w:val="auto"/>
                <w:w w:val="99"/>
              </w:rPr>
              <w:t>/s/ Sandip Kapadia</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Chief Financial Officer and Chief Administrative Officer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15"/>
        </w:trPr>
        <w:tc>
          <w:tcPr>
            <w:tcW w:w="2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8"/>
              </w:rPr>
              <w:t>(Principal</w:t>
            </w:r>
          </w:p>
        </w:tc>
        <w:tc>
          <w:tcPr>
            <w:tcW w:w="2480" w:type="dxa"/>
            <w:vAlign w:val="bottom"/>
          </w:tcPr>
          <w:p>
            <w:pPr>
              <w:spacing w:after="0"/>
              <w:rPr>
                <w:sz w:val="18"/>
                <w:szCs w:val="18"/>
                <w:color w:val="auto"/>
              </w:rPr>
            </w:pPr>
          </w:p>
        </w:tc>
      </w:tr>
      <w:tr>
        <w:trPr>
          <w:trHeight w:val="239"/>
        </w:trPr>
        <w:tc>
          <w:tcPr>
            <w:tcW w:w="2500" w:type="dxa"/>
            <w:vAlign w:val="bottom"/>
          </w:tcPr>
          <w:p>
            <w:pPr>
              <w:jc w:val="center"/>
              <w:spacing w:after="0"/>
              <w:rPr>
                <w:sz w:val="20"/>
                <w:szCs w:val="20"/>
                <w:color w:val="auto"/>
              </w:rPr>
            </w:pPr>
            <w:r>
              <w:rPr>
                <w:rFonts w:ascii="Arial" w:cs="Arial" w:eastAsia="Arial" w:hAnsi="Arial"/>
                <w:sz w:val="18"/>
                <w:szCs w:val="18"/>
                <w:color w:val="auto"/>
                <w:w w:val="99"/>
              </w:rPr>
              <w:t>Sandip Kapadia</w:t>
            </w:r>
          </w:p>
        </w:tc>
        <w:tc>
          <w:tcPr>
            <w:tcW w:w="200" w:type="dxa"/>
            <w:vAlign w:val="bottom"/>
          </w:tcPr>
          <w:p>
            <w:pPr>
              <w:spacing w:after="0"/>
              <w:rPr>
                <w:sz w:val="20"/>
                <w:szCs w:val="20"/>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Financial Officer and Principal Accounting Officer)</w:t>
            </w: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Jeffrey S. Aronin</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Chairman of the Board</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Jeffrey S. Aronin</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Peter Anastasiou</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Peter Anastasiou</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Antonio Gracias</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Antonio Gracias</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 Mark Graf</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8"/>
              </w:rPr>
              <w:t>R. Mark Graf</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Juan A. Sabater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Juan A. Sabater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Gary Sender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Gary Sender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Linda Szyper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Linda Szyper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Andreas Wicki</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25, 2025</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Andreas Wicki</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629"/>
        </w:trPr>
        <w:tc>
          <w:tcPr>
            <w:tcW w:w="2500" w:type="dxa"/>
            <w:vAlign w:val="bottom"/>
          </w:tcPr>
          <w:p>
            <w:pPr>
              <w:spacing w:after="0"/>
              <w:rPr>
                <w:sz w:val="24"/>
                <w:szCs w:val="24"/>
                <w:color w:val="auto"/>
              </w:rPr>
            </w:pPr>
          </w:p>
        </w:tc>
        <w:tc>
          <w:tcPr>
            <w:tcW w:w="474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125</w:t>
            </w: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43"/>
        </w:trPr>
        <w:tc>
          <w:tcPr>
            <w:tcW w:w="2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tc>
      </w:tr>
      <w:tr>
        <w:trPr>
          <w:trHeight w:val="443"/>
        </w:trPr>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HARMONY BIOSCIENCES HOLDINGS, INC.</w:t>
            </w:r>
          </w:p>
        </w:tc>
        <w:tc>
          <w:tcPr>
            <w:tcW w:w="1760" w:type="dxa"/>
            <w:vAlign w:val="bottom"/>
          </w:tcPr>
          <w:p>
            <w:pPr>
              <w:spacing w:after="0"/>
              <w:rPr>
                <w:sz w:val="24"/>
                <w:szCs w:val="24"/>
                <w:color w:val="auto"/>
              </w:rPr>
            </w:pPr>
          </w:p>
        </w:tc>
      </w:tr>
      <w:tr>
        <w:trPr>
          <w:trHeight w:val="286"/>
        </w:trPr>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INSIDER TRADING COMPLIANCE POLICY</w:t>
            </w:r>
          </w:p>
        </w:tc>
        <w:tc>
          <w:tcPr>
            <w:tcW w:w="1760" w:type="dxa"/>
            <w:vAlign w:val="bottom"/>
          </w:tcPr>
          <w:p>
            <w:pPr>
              <w:spacing w:after="0"/>
              <w:rPr>
                <w:sz w:val="24"/>
                <w:szCs w:val="24"/>
                <w:color w:val="auto"/>
              </w:rPr>
            </w:pPr>
          </w:p>
        </w:tc>
      </w:tr>
      <w:tr>
        <w:trPr>
          <w:trHeight w:val="486"/>
        </w:trPr>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CONTENTS</w:t>
            </w:r>
          </w:p>
        </w:tc>
        <w:tc>
          <w:tcPr>
            <w:tcW w:w="1760" w:type="dxa"/>
            <w:vAlign w:val="bottom"/>
          </w:tcPr>
          <w:p>
            <w:pPr>
              <w:spacing w:after="0"/>
              <w:rPr>
                <w:sz w:val="24"/>
                <w:szCs w:val="24"/>
                <w:color w:val="auto"/>
              </w:rPr>
            </w:pPr>
          </w:p>
        </w:tc>
      </w:tr>
      <w:tr>
        <w:trPr>
          <w:trHeight w:val="486"/>
        </w:trPr>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51"/>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78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SUMMARY</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78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STATEMENT OF POLICIES PROHIBITING INSIDER TRADING</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78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EXPLANATION OF INSIDER TRADING</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51"/>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78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STATEMENT OF PROCEDURES PREVENTING INSIDER TRADING</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51"/>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78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ADDITIONAL PROHIBITED TRANSACTIONS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51"/>
        </w:trPr>
        <w:tc>
          <w:tcPr>
            <w:tcW w:w="8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VI.  RULE 10b5-1 TRADING PLANS, SECTION 16 AND RULE 144</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51"/>
        </w:trPr>
        <w:tc>
          <w:tcPr>
            <w:tcW w:w="8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VII. EXECUTION AND RETURN OF CERTIFICATION OF COMPLIANCE</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9"/>
        </w:trPr>
        <w:tc>
          <w:tcPr>
            <w:tcW w:w="8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I INDIVIDUALS SUBJECT TO PRE-CLEARANCE REQUIREMENT</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31"/>
        </w:trPr>
        <w:tc>
          <w:tcPr>
            <w:tcW w:w="8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ATTACHMENT A SHORT-SWING PROFIT RULE SECTION 16(B) CHECKLIST</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0"/>
        </w:trPr>
        <w:tc>
          <w:tcPr>
            <w:tcW w:w="1660" w:type="dxa"/>
            <w:vAlign w:val="bottom"/>
            <w:gridSpan w:val="3"/>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31"/>
        </w:trPr>
        <w:tc>
          <w:tcPr>
            <w:tcW w:w="8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ATTACHMENT B CERTIFICATION OF COMPLIANCE</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1364"/>
        </w:trPr>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24" w:right="999" w:bottom="1440" w:gutter="0" w:footer="0" w:header="0"/>
        </w:sectPr>
      </w:pPr>
    </w:p>
    <w:bookmarkStart w:id="126" w:name="page127"/>
    <w:bookmarkEnd w:id="126"/>
    <w:p>
      <w:pPr>
        <w:ind w:left="2720"/>
        <w:spacing w:after="0"/>
        <w:rPr>
          <w:sz w:val="20"/>
          <w:szCs w:val="20"/>
          <w:color w:val="auto"/>
        </w:rPr>
      </w:pPr>
      <w:r>
        <w:rPr>
          <w:rFonts w:ascii="Times New Roman" w:cs="Times New Roman" w:eastAsia="Times New Roman" w:hAnsi="Times New Roman"/>
          <w:sz w:val="22"/>
          <w:szCs w:val="22"/>
          <w:b w:val="1"/>
          <w:bCs w:val="1"/>
          <w:color w:val="auto"/>
        </w:rPr>
        <w:t>HARMONY BIOSCIENCES HOLDINGS, INC.</w:t>
      </w:r>
    </w:p>
    <w:p>
      <w:pPr>
        <w:spacing w:after="0" w:line="1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(Adopted and approved on August 10, 2020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effective as of August 18, 2020)</w:t>
      </w:r>
    </w:p>
    <w:p>
      <w:pPr>
        <w:spacing w:after="0" w:line="182"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SUMMARY</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Preventing insider trading is necessary to comply with securities laws and to preserve the reputation and integrity of Harmony Biosciences Holdings, Inc. (together with its subsidiaries,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criminal fines of up to $5 million for individuals and $25 million for corporations. Insider trading is also prohibited by this Insider Trading Compliance Policy (this “</w:t>
      </w:r>
      <w:r>
        <w:rPr>
          <w:rFonts w:ascii="Times New Roman" w:cs="Times New Roman" w:eastAsia="Times New Roman" w:hAnsi="Times New Roman"/>
          <w:sz w:val="22"/>
          <w:szCs w:val="22"/>
          <w:b w:val="1"/>
          <w:bCs w:val="1"/>
          <w:u w:val="single" w:color="auto"/>
          <w:color w:val="auto"/>
        </w:rPr>
        <w:t>Policy</w:t>
      </w:r>
      <w:r>
        <w:rPr>
          <w:rFonts w:ascii="Times New Roman" w:cs="Times New Roman" w:eastAsia="Times New Roman" w:hAnsi="Times New Roman"/>
          <w:sz w:val="22"/>
          <w:szCs w:val="22"/>
          <w:color w:val="auto"/>
        </w:rPr>
        <w:t>”), and violation of this Policy may result in Company-imposed sanctions, including removal or dismissal for cause.</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Policy applies to all officers, directors and employees of the Company, and certain consultants specified by management (“</w:t>
      </w:r>
      <w:r>
        <w:rPr>
          <w:rFonts w:ascii="Times New Roman" w:cs="Times New Roman" w:eastAsia="Times New Roman" w:hAnsi="Times New Roman"/>
          <w:sz w:val="22"/>
          <w:szCs w:val="22"/>
          <w:b w:val="1"/>
          <w:bCs w:val="1"/>
          <w:u w:val="single" w:color="auto"/>
          <w:color w:val="auto"/>
        </w:rPr>
        <w:t>specified consultants</w:t>
      </w:r>
      <w:r>
        <w:rPr>
          <w:rFonts w:ascii="Times New Roman" w:cs="Times New Roman" w:eastAsia="Times New Roman" w:hAnsi="Times New Roman"/>
          <w:sz w:val="22"/>
          <w:szCs w:val="22"/>
          <w:color w:val="auto"/>
        </w:rPr>
        <w:t>”).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and transactions by these entities should be treated for the purposes of this Policy and applicable securities laws as if they were for the individual’s own account. This Policy extends to all activities within and outside an individual’s Company duties. Every officer, director, employee and specified consultant must review this Policy. Questions regarding the Policy should be directed to the Company’s General Counsel.</w:t>
      </w:r>
    </w:p>
    <w:p>
      <w:pPr>
        <w:spacing w:after="0" w:line="178"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 OF POLICIES PROHIBITING INSIDER TRADING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whether the issuer of such security is the Company or any other company.</w:t>
      </w:r>
    </w:p>
    <w:p>
      <w:pPr>
        <w:spacing w:after="0" w:line="16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Additionally, no officer, director, employee and specified consultant shall purchase or sell any security of the Company during the period beginning on the 15</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22"/>
          <w:szCs w:val="22"/>
          <w:b w:val="1"/>
          <w:bCs w:val="1"/>
          <w:color w:val="auto"/>
        </w:rPr>
        <w:t xml:space="preserve"> calendar day of the month on which any fiscal quarter of the Company ends and ending upon completion of the first full trading day after the public release of earnings data for such fiscal quarter or during any other trading suspension period declared by the Company. For the purposes of this Policy, a “trading day” is a day on which national stock exchanges are open for trading.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These prohibitions do not apply to:</w:t>
      </w:r>
    </w:p>
    <w:p>
      <w:pPr>
        <w:spacing w:after="0" w:line="206" w:lineRule="exact"/>
        <w:rPr>
          <w:sz w:val="20"/>
          <w:szCs w:val="20"/>
          <w:color w:val="auto"/>
        </w:rPr>
      </w:pPr>
    </w:p>
    <w:p>
      <w:pPr>
        <w:ind w:left="1620" w:hanging="640"/>
        <w:spacing w:after="0" w:line="258" w:lineRule="auto"/>
        <w:tabs>
          <w:tab w:leader="none" w:pos="16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from the Company or sales of the Company’s securities to the Company;</w:t>
      </w:r>
    </w:p>
    <w:p>
      <w:pPr>
        <w:spacing w:after="0" w:line="158" w:lineRule="exact"/>
        <w:rPr>
          <w:rFonts w:ascii="Times New Roman" w:cs="Times New Roman" w:eastAsia="Times New Roman" w:hAnsi="Times New Roman"/>
          <w:sz w:val="22"/>
          <w:szCs w:val="22"/>
          <w:color w:val="auto"/>
        </w:rPr>
      </w:pPr>
    </w:p>
    <w:p>
      <w:pPr>
        <w:ind w:left="1620" w:hanging="640"/>
        <w:spacing w:after="0" w:line="258" w:lineRule="auto"/>
        <w:tabs>
          <w:tab w:leader="none" w:pos="16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exercises of stock options or other equity awards or the surrender of shares to the Company in payment of the exercise price or in satisfaction of any tax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27" w:name="page128"/>
    <w:bookmarkEnd w:id="127"/>
    <w:p>
      <w:pPr>
        <w:jc w:val="both"/>
        <w:ind w:left="1620"/>
        <w:spacing w:after="0" w:line="255" w:lineRule="auto"/>
        <w:rPr>
          <w:sz w:val="20"/>
          <w:szCs w:val="20"/>
          <w:color w:val="auto"/>
        </w:rPr>
      </w:pPr>
      <w:r>
        <w:rPr>
          <w:rFonts w:ascii="Times New Roman" w:cs="Times New Roman" w:eastAsia="Times New Roman" w:hAnsi="Times New Roman"/>
          <w:sz w:val="21"/>
          <w:szCs w:val="21"/>
          <w:color w:val="auto"/>
        </w:rPr>
        <w:t xml:space="preserve">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1"/>
          <w:szCs w:val="21"/>
          <w:u w:val="single" w:color="auto"/>
          <w:color w:val="auto"/>
        </w:rPr>
        <w:t>does</w:t>
      </w:r>
      <w:r>
        <w:rPr>
          <w:rFonts w:ascii="Times New Roman" w:cs="Times New Roman" w:eastAsia="Times New Roman" w:hAnsi="Times New Roman"/>
          <w:sz w:val="21"/>
          <w:szCs w:val="21"/>
          <w:color w:val="auto"/>
        </w:rPr>
        <w:t xml:space="preserve"> involve a market sale of the Company’s securities, and therefore would not qualify under this exception);</w:t>
      </w:r>
    </w:p>
    <w:p>
      <w:pPr>
        <w:spacing w:after="0" w:line="162" w:lineRule="exact"/>
        <w:rPr>
          <w:sz w:val="20"/>
          <w:szCs w:val="20"/>
          <w:color w:val="auto"/>
        </w:rPr>
      </w:pPr>
    </w:p>
    <w:p>
      <w:pPr>
        <w:jc w:val="both"/>
        <w:ind w:left="1620" w:hanging="640"/>
        <w:spacing w:after="0" w:line="239" w:lineRule="auto"/>
        <w:tabs>
          <w:tab w:leader="none" w:pos="16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 contributions to, or the acquisition of Company securities under an “employee stock purchase plan” (within the meaning of the Internal Revenue Code of 1986, as amended) maintained by the Company (“</w:t>
      </w:r>
      <w:r>
        <w:rPr>
          <w:rFonts w:ascii="Times New Roman" w:cs="Times New Roman" w:eastAsia="Times New Roman" w:hAnsi="Times New Roman"/>
          <w:sz w:val="22"/>
          <w:szCs w:val="22"/>
          <w:b w:val="1"/>
          <w:bCs w:val="1"/>
          <w:u w:val="single" w:color="auto"/>
          <w:color w:val="auto"/>
        </w:rPr>
        <w:t>ESPP</w:t>
      </w:r>
      <w:r>
        <w:rPr>
          <w:rFonts w:ascii="Times New Roman" w:cs="Times New Roman" w:eastAsia="Times New Roman" w:hAnsi="Times New Roman"/>
          <w:sz w:val="22"/>
          <w:szCs w:val="22"/>
          <w:color w:val="auto"/>
        </w:rPr>
        <w:t>”), in each case, pursuant to the terms and conditions of the applicable plan or the employees’ advance instructions;</w:t>
      </w:r>
    </w:p>
    <w:p>
      <w:pPr>
        <w:spacing w:after="0" w:line="176"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gifts of the Company’s securities; or</w:t>
      </w:r>
    </w:p>
    <w:p>
      <w:pPr>
        <w:spacing w:after="0" w:line="210" w:lineRule="exact"/>
        <w:rPr>
          <w:rFonts w:ascii="Times New Roman" w:cs="Times New Roman" w:eastAsia="Times New Roman" w:hAnsi="Times New Roman"/>
          <w:sz w:val="22"/>
          <w:szCs w:val="22"/>
          <w:color w:val="auto"/>
        </w:rPr>
      </w:pPr>
    </w:p>
    <w:p>
      <w:pPr>
        <w:jc w:val="both"/>
        <w:ind w:left="1620" w:hanging="640"/>
        <w:spacing w:after="0" w:line="234" w:lineRule="auto"/>
        <w:tabs>
          <w:tab w:leader="none" w:pos="16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requirements of the affirmative defense provided by Rule 10b5-1 (“</w:t>
      </w:r>
      <w:r>
        <w:rPr>
          <w:rFonts w:ascii="Times New Roman" w:cs="Times New Roman" w:eastAsia="Times New Roman" w:hAnsi="Times New Roman"/>
          <w:sz w:val="22"/>
          <w:szCs w:val="22"/>
          <w:b w:val="1"/>
          <w:bCs w:val="1"/>
          <w:u w:val="single" w:color="auto"/>
          <w:color w:val="auto"/>
        </w:rPr>
        <w:t>Rule 10b5-1</w:t>
      </w:r>
      <w:r>
        <w:rPr>
          <w:rFonts w:ascii="Times New Roman" w:cs="Times New Roman" w:eastAsia="Times New Roman" w:hAnsi="Times New Roman"/>
          <w:sz w:val="22"/>
          <w:szCs w:val="22"/>
          <w:color w:val="auto"/>
        </w:rPr>
        <w:t>”) promulgated under the Securities Exchange Act of 1934, as amended (the “</w:t>
      </w:r>
      <w:r>
        <w:rPr>
          <w:rFonts w:ascii="Times New Roman" w:cs="Times New Roman" w:eastAsia="Times New Roman" w:hAnsi="Times New Roman"/>
          <w:sz w:val="22"/>
          <w:szCs w:val="22"/>
          <w:b w:val="1"/>
          <w:bCs w:val="1"/>
          <w:u w:val="single" w:color="auto"/>
          <w:color w:val="auto"/>
        </w:rPr>
        <w:t>1934 Act</w:t>
      </w:r>
      <w:r>
        <w:rPr>
          <w:rFonts w:ascii="Times New Roman" w:cs="Times New Roman" w:eastAsia="Times New Roman" w:hAnsi="Times New Roman"/>
          <w:sz w:val="22"/>
          <w:szCs w:val="22"/>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No officer, director, employee or specified consultant shall directly or indirectly communicate (or “</w:t>
      </w:r>
      <w:r>
        <w:rPr>
          <w:rFonts w:ascii="Times New Roman" w:cs="Times New Roman" w:eastAsia="Times New Roman" w:hAnsi="Times New Roman"/>
          <w:sz w:val="22"/>
          <w:szCs w:val="22"/>
          <w:b w:val="1"/>
          <w:bCs w:val="1"/>
          <w:u w:val="single" w:color="auto"/>
          <w:color w:val="auto"/>
        </w:rPr>
        <w:t>tip</w:t>
      </w:r>
      <w:r>
        <w:rPr>
          <w:rFonts w:ascii="Times New Roman" w:cs="Times New Roman" w:eastAsia="Times New Roman" w:hAnsi="Times New Roman"/>
          <w:sz w:val="22"/>
          <w:szCs w:val="22"/>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76"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EXPLANATION OF INSIDER TRADING</w:t>
      </w:r>
    </w:p>
    <w:p>
      <w:pPr>
        <w:spacing w:after="0" w:line="2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Insider trading</w:t>
      </w:r>
      <w:r>
        <w:rPr>
          <w:rFonts w:ascii="Times New Roman" w:cs="Times New Roman" w:eastAsia="Times New Roman" w:hAnsi="Times New Roman"/>
          <w:sz w:val="22"/>
          <w:szCs w:val="22"/>
          <w:color w:val="auto"/>
        </w:rPr>
        <w:t>” refers to the purchase or sale of a security while in possession of “material,” “non-public” information relating to the security or its issuer.</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w:t>
      </w:r>
      <w:r>
        <w:rPr>
          <w:rFonts w:ascii="Times New Roman" w:cs="Times New Roman" w:eastAsia="Times New Roman" w:hAnsi="Times New Roman"/>
          <w:sz w:val="22"/>
          <w:szCs w:val="22"/>
          <w:color w:val="auto"/>
        </w:rPr>
        <w:t>” includes stocks, bonds, notes, debentures, options, warrants and other convertible securities, as well as derivative instruments.</w:t>
      </w:r>
    </w:p>
    <w:p>
      <w:pPr>
        <w:spacing w:after="0" w:line="1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Purchase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Sale</w:t>
      </w:r>
      <w:r>
        <w:rPr>
          <w:rFonts w:ascii="Times New Roman" w:cs="Times New Roman" w:eastAsia="Times New Roman" w:hAnsi="Times New Roman"/>
          <w:sz w:val="21"/>
          <w:szCs w:val="21"/>
          <w:color w:val="auto"/>
        </w:rPr>
        <w:t>” are defined broadly under the federal securities law. “</w:t>
      </w:r>
      <w:r>
        <w:rPr>
          <w:rFonts w:ascii="Times New Roman" w:cs="Times New Roman" w:eastAsia="Times New Roman" w:hAnsi="Times New Roman"/>
          <w:sz w:val="21"/>
          <w:szCs w:val="21"/>
          <w:i w:val="1"/>
          <w:iCs w:val="1"/>
          <w:color w:val="auto"/>
        </w:rPr>
        <w:t>Purchase</w:t>
      </w:r>
      <w:r>
        <w:rPr>
          <w:rFonts w:ascii="Times New Roman" w:cs="Times New Roman" w:eastAsia="Times New Roman" w:hAnsi="Times New Roman"/>
          <w:sz w:val="21"/>
          <w:szCs w:val="21"/>
          <w:color w:val="auto"/>
        </w:rPr>
        <w:t>” includes not only the actual purchase of a security, but any contract to purchase or otherwise acquire a security. “</w:t>
      </w:r>
      <w:r>
        <w:rPr>
          <w:rFonts w:ascii="Times New Roman" w:cs="Times New Roman" w:eastAsia="Times New Roman" w:hAnsi="Times New Roman"/>
          <w:sz w:val="21"/>
          <w:szCs w:val="21"/>
          <w:i w:val="1"/>
          <w:iCs w:val="1"/>
          <w:color w:val="auto"/>
        </w:rPr>
        <w:t>Sale</w:t>
      </w:r>
      <w:r>
        <w:rPr>
          <w:rFonts w:ascii="Times New Roman" w:cs="Times New Roman" w:eastAsia="Times New Roman" w:hAnsi="Times New Roman"/>
          <w:sz w:val="21"/>
          <w:szCs w:val="21"/>
          <w:color w:val="auto"/>
        </w:rPr>
        <w:t>”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is generally understood that insider trading includes the following:</w:t>
      </w:r>
    </w:p>
    <w:p>
      <w:pPr>
        <w:spacing w:after="0" w:line="206" w:lineRule="exact"/>
        <w:rPr>
          <w:sz w:val="20"/>
          <w:szCs w:val="20"/>
          <w:color w:val="auto"/>
        </w:rPr>
      </w:pPr>
    </w:p>
    <w:p>
      <w:pPr>
        <w:ind w:left="1300" w:hanging="644"/>
        <w:spacing w:after="0" w:line="258" w:lineRule="auto"/>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insiders or persons in a “special relationship” with a public company while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8" w:name="page129"/>
    <w:bookmarkEnd w:id="128"/>
    <w:p>
      <w:pPr>
        <w:jc w:val="both"/>
        <w:ind w:left="1300" w:hanging="644"/>
        <w:spacing w:after="0" w:line="244"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173"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such information.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Persons in a “special relationship” with a public company include, but are not limited to:</w:t>
      </w:r>
    </w:p>
    <w:p>
      <w:pPr>
        <w:spacing w:after="0" w:line="206"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officers and employees;</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engaging in professional or business activities for or on behalf of the company; and</w:t>
      </w:r>
    </w:p>
    <w:p>
      <w:pPr>
        <w:spacing w:after="0" w:line="202" w:lineRule="exact"/>
        <w:rPr>
          <w:rFonts w:ascii="Times New Roman" w:cs="Times New Roman" w:eastAsia="Times New Roman" w:hAnsi="Times New Roman"/>
          <w:sz w:val="22"/>
          <w:szCs w:val="22"/>
          <w:color w:val="auto"/>
        </w:rPr>
      </w:pPr>
    </w:p>
    <w:p>
      <w:pPr>
        <w:ind w:left="1300" w:hanging="644"/>
        <w:spacing w:after="0" w:line="262" w:lineRule="auto"/>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anyone who learns of material information (a “</w:t>
      </w:r>
      <w:r>
        <w:rPr>
          <w:rFonts w:ascii="Times New Roman" w:cs="Times New Roman" w:eastAsia="Times New Roman" w:hAnsi="Times New Roman"/>
          <w:sz w:val="22"/>
          <w:szCs w:val="22"/>
          <w:b w:val="1"/>
          <w:bCs w:val="1"/>
          <w:u w:val="single" w:color="auto"/>
          <w:color w:val="auto"/>
        </w:rPr>
        <w:t>tippee</w:t>
      </w:r>
      <w:r>
        <w:rPr>
          <w:rFonts w:ascii="Times New Roman" w:cs="Times New Roman" w:eastAsia="Times New Roman" w:hAnsi="Times New Roman"/>
          <w:sz w:val="22"/>
          <w:szCs w:val="22"/>
          <w:color w:val="auto"/>
        </w:rPr>
        <w:t>”) from someone that the tippee knows or should know is a person in a special relationship with the company.</w:t>
      </w:r>
    </w:p>
    <w:p>
      <w:pPr>
        <w:spacing w:after="0" w:line="154"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Facts are Material?</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17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 dividends; corporate earnings or earnings forecasts; possible mergers, acquisitions, tender offers or dispositions; major new products or product developments; important business developments such as major contract or license awards or cancellations; clinical trial results; developments regarding strategic collaborators or partnerships; the status of regulatory submissions; management or control changes;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210"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is Non-public?</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1"/>
          <w:szCs w:val="21"/>
          <w:u w:val="single" w:color="auto"/>
          <w:color w:val="auto"/>
        </w:rPr>
        <w:t>Dow Jones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 Wire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Reuters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The Wall Street Journal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Associated Press</w:t>
      </w:r>
      <w:r>
        <w:rPr>
          <w:rFonts w:ascii="Times New Roman" w:cs="Times New Roman" w:eastAsia="Times New Roman" w:hAnsi="Times New Roman"/>
          <w:sz w:val="21"/>
          <w:szCs w:val="21"/>
          <w:color w:val="auto"/>
        </w:rPr>
        <w:t xml:space="preserve"> , or </w:t>
      </w:r>
      <w:r>
        <w:rPr>
          <w:rFonts w:ascii="Times New Roman" w:cs="Times New Roman" w:eastAsia="Times New Roman" w:hAnsi="Times New Roman"/>
          <w:sz w:val="21"/>
          <w:szCs w:val="21"/>
          <w:u w:val="single" w:color="auto"/>
          <w:color w:val="auto"/>
        </w:rPr>
        <w:t>United Press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International</w:t>
      </w:r>
      <w:r>
        <w:rPr>
          <w:rFonts w:ascii="Times New Roman" w:cs="Times New Roman" w:eastAsia="Times New Roman" w:hAnsi="Times New Roman"/>
          <w:sz w:val="21"/>
          <w:szCs w:val="21"/>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1"/>
          <w:szCs w:val="21"/>
          <w:b w:val="1"/>
          <w:bCs w:val="1"/>
          <w:u w:val="single" w:color="auto"/>
          <w:color w:val="auto"/>
        </w:rPr>
        <w:t>SEC</w:t>
      </w:r>
      <w:r>
        <w:rPr>
          <w:rFonts w:ascii="Times New Roman" w:cs="Times New Roman" w:eastAsia="Times New Roman" w:hAnsi="Times New Roman"/>
          <w:sz w:val="21"/>
          <w:szCs w:val="21"/>
          <w:color w:val="auto"/>
        </w:rPr>
        <w:t>”) that are available on the SEC’s web site.</w:t>
      </w:r>
    </w:p>
    <w:p>
      <w:pPr>
        <w:spacing w:after="0" w:line="17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9" w:name="page130"/>
    <w:bookmarkEnd w:id="129"/>
    <w:p>
      <w:pPr>
        <w:ind w:right="20"/>
        <w:spacing w:after="0" w:line="258" w:lineRule="auto"/>
        <w:rPr>
          <w:sz w:val="20"/>
          <w:szCs w:val="20"/>
          <w:color w:val="auto"/>
        </w:rPr>
      </w:pPr>
      <w:r>
        <w:rPr>
          <w:rFonts w:ascii="Times New Roman" w:cs="Times New Roman" w:eastAsia="Times New Roman" w:hAnsi="Times New Roman"/>
          <w:sz w:val="22"/>
          <w:szCs w:val="22"/>
          <w:color w:val="auto"/>
        </w:rPr>
        <w:t>one full trading day following publication as a reasonable waiting period before such information is deemed to be public.</w:t>
      </w:r>
    </w:p>
    <w:p>
      <w:pPr>
        <w:spacing w:after="0" w:line="158"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 is an Insider?</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“Insiders” include officers, directors, employees and certain consultants of a company and anyone else who has material inside information about a company. Insiders have independent fiduciary duties to their company and its stockholders not to trade on material, non-public information relating to the company’s securities. All officers, directors, employees and certain consultants of the Company should consider themselves insiders with respect to material, non-public information about the Company’s business, activities and securities.</w:t>
      </w:r>
    </w:p>
    <w:p>
      <w:pPr>
        <w:spacing w:after="0" w:line="1" w:lineRule="exact"/>
        <w:rPr>
          <w:sz w:val="20"/>
          <w:szCs w:val="20"/>
          <w:color w:val="auto"/>
        </w:rPr>
      </w:pPr>
    </w:p>
    <w:p>
      <w:pPr>
        <w:jc w:val="both"/>
        <w:ind w:firstLine="105"/>
        <w:spacing w:after="0" w:line="233" w:lineRule="auto"/>
        <w:rPr>
          <w:sz w:val="20"/>
          <w:szCs w:val="20"/>
          <w:color w:val="auto"/>
        </w:rPr>
      </w:pPr>
      <w:r>
        <w:rPr>
          <w:rFonts w:ascii="Times New Roman" w:cs="Times New Roman" w:eastAsia="Times New Roman" w:hAnsi="Times New Roman"/>
          <w:sz w:val="22"/>
          <w:szCs w:val="22"/>
          <w:color w:val="auto"/>
        </w:rPr>
        <w:t>Officers, directors, employees and certain consultants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 disclosure of Company information) or to anyone within the Company other than on a need-to-know basis.</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180"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by Persons Other than Insiders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 third party (“</w:t>
      </w:r>
      <w:r>
        <w:rPr>
          <w:rFonts w:ascii="Times New Roman" w:cs="Times New Roman" w:eastAsia="Times New Roman" w:hAnsi="Times New Roman"/>
          <w:sz w:val="22"/>
          <w:szCs w:val="22"/>
          <w:b w:val="1"/>
          <w:bCs w:val="1"/>
          <w:u w:val="single" w:color="auto"/>
          <w:color w:val="auto"/>
        </w:rPr>
        <w:t>tippee</w:t>
      </w:r>
      <w:r>
        <w:rPr>
          <w:rFonts w:ascii="Times New Roman" w:cs="Times New Roman" w:eastAsia="Times New Roman" w:hAnsi="Times New Roman"/>
          <w:sz w:val="22"/>
          <w:szCs w:val="22"/>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7"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Penalties for Engaging in Insider Trading</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77"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administrative sanctions;</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industry self-regulatory organization sanctions;</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0" w:name="page131"/>
    <w:bookmarkEnd w:id="130"/>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awards to private plaintiffs;</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all profits;</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 $1,425,000 or three times the amount of profit gained or loss avoided by the violator;</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for individual violators of up to $5,000,000 ($25,000,000 for an entity); and</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sentences of up to 20 years.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80"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Size of Transaction and Reason for Transaction Do Not Matter</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size of the transaction or the amount of profit received does not have to be significant to result in prosecution. The SEC has the ability to monitor even the smallest trades, and the SEC performs routine market surveillance. Brokers or dealers are required by law to inform the SEC of any possible violations by people who may have material, non-public information. The SEC aggressively investigates even small insider trading violations.</w:t>
      </w:r>
    </w:p>
    <w:p>
      <w:pPr>
        <w:spacing w:after="0" w:line="177"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Examples of Insider Trading</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Examples of insider trading cases include actions brought against corporate officers, directors, employees and consultants who traded in a company’s securities after learning of significant confidential corporate developments; friends, business associates, family members and other tippees of such officers, directors, employees and consultants who traded in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following are illustrations of insider trading violations. These illustrations are hypothetical and, consequently, not intended to reflect on the actual activities or business of the Company or any other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Trading by Insider</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1" w:name="page132"/>
    <w:bookmarkEnd w:id="131"/>
    <w:p>
      <w:pPr>
        <w:jc w:val="both"/>
        <w:spacing w:after="0" w:line="258" w:lineRule="auto"/>
        <w:rPr>
          <w:sz w:val="20"/>
          <w:szCs w:val="20"/>
          <w:color w:val="auto"/>
        </w:rPr>
      </w:pPr>
      <w:r>
        <w:rPr>
          <w:rFonts w:ascii="Times New Roman" w:cs="Times New Roman" w:eastAsia="Times New Roman" w:hAnsi="Times New Roman"/>
          <w:sz w:val="22"/>
          <w:szCs w:val="22"/>
          <w:color w:val="auto"/>
        </w:rPr>
        <w:t>years in jail. Depending upon the circumstances, X Corporation and the individual to whom the officer reports also could be liable as controlling persons.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Trading by Tippee</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177"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of Records Falsification and False Statements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u w:val="single" w:color="auto"/>
          <w:color w:val="auto"/>
        </w:rPr>
        <w:t>STATEMENT OF PROCEDURES PREVENTING INSIDER TRADING</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employee is required to follow these procedures.</w:t>
      </w:r>
    </w:p>
    <w:p>
      <w:pPr>
        <w:spacing w:after="0" w:line="158"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Trades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2"/>
          <w:szCs w:val="22"/>
          <w:b w:val="1"/>
          <w:bCs w:val="1"/>
          <w:color w:val="auto"/>
        </w:rPr>
        <w:t>all transactions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in the Company’s securities (including without limitation, acquisitions and dispositions of Company stock, the exercise of stock options and the sale of Company stock issued upon exercise of stock options) by officers, directors and certain key employees and specified consultants listed on </w:t>
      </w:r>
      <w:r>
        <w:rPr>
          <w:rFonts w:ascii="Times New Roman" w:cs="Times New Roman" w:eastAsia="Times New Roman" w:hAnsi="Times New Roman"/>
          <w:sz w:val="22"/>
          <w:szCs w:val="22"/>
          <w:b w:val="1"/>
          <w:bCs w:val="1"/>
          <w:u w:val="single" w:color="auto"/>
          <w:color w:val="auto"/>
        </w:rPr>
        <w:t>Schedule I</w:t>
      </w:r>
      <w:r>
        <w:rPr>
          <w:rFonts w:ascii="Times New Roman" w:cs="Times New Roman" w:eastAsia="Times New Roman" w:hAnsi="Times New Roman"/>
          <w:sz w:val="22"/>
          <w:szCs w:val="22"/>
          <w:b w:val="1"/>
          <w:bCs w:val="1"/>
          <w:color w:val="auto"/>
        </w:rPr>
        <w:t xml:space="preserve"> (as amended from time to time) (each, a “</w:t>
      </w:r>
      <w:r>
        <w:rPr>
          <w:rFonts w:ascii="Times New Roman" w:cs="Times New Roman" w:eastAsia="Times New Roman" w:hAnsi="Times New Roman"/>
          <w:sz w:val="22"/>
          <w:szCs w:val="22"/>
          <w:b w:val="1"/>
          <w:bCs w:val="1"/>
          <w:u w:val="single" w:color="auto"/>
          <w:color w:val="auto"/>
        </w:rPr>
        <w:t>Pre-Clearance Person</w:t>
      </w:r>
      <w:r>
        <w:rPr>
          <w:rFonts w:ascii="Times New Roman" w:cs="Times New Roman" w:eastAsia="Times New Roman" w:hAnsi="Times New Roman"/>
          <w:sz w:val="22"/>
          <w:szCs w:val="22"/>
          <w:b w:val="1"/>
          <w:bCs w:val="1"/>
          <w:color w:val="auto"/>
        </w:rPr>
        <w:t xml:space="preserve">”) must be pre-cleared </w:t>
      </w:r>
      <w:r>
        <w:rPr>
          <w:rFonts w:ascii="Times New Roman" w:cs="Times New Roman" w:eastAsia="Times New Roman" w:hAnsi="Times New Roman"/>
          <w:sz w:val="22"/>
          <w:szCs w:val="22"/>
          <w:color w:val="auto"/>
        </w:rPr>
        <w:t>by the Company’s General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Pre-clearance does not relieve anyone of his or her responsibility under SEC rules.</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A request for pre-clearance may be oral or in writing (including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other securities to be involved. In addition, the Pre-Clearance Person must execute a certification (in the form approved by the General Counsel) that he or she is not aware of material nonpublic information about the Company. The General Counsel shall have sole discretion to decide whether to clear any contemplated transaction (the Chief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2" w:name="page133"/>
    <w:bookmarkEnd w:id="132"/>
    <w:p>
      <w:pPr>
        <w:jc w:val="both"/>
        <w:spacing w:after="0" w:line="234" w:lineRule="auto"/>
        <w:rPr>
          <w:sz w:val="20"/>
          <w:szCs w:val="20"/>
          <w:color w:val="auto"/>
        </w:rPr>
      </w:pPr>
      <w:r>
        <w:rPr>
          <w:rFonts w:ascii="Times New Roman" w:cs="Times New Roman" w:eastAsia="Times New Roman" w:hAnsi="Times New Roman"/>
          <w:sz w:val="22"/>
          <w:szCs w:val="22"/>
          <w:color w:val="auto"/>
        </w:rPr>
        <w:t>Officer or the Chief Financial Officer shall have sole discretion to decide whether to clear transactions by the General Counsel or persons or entities subject to this policy as a result of their relationship with the General Counsel). All trades that are pre-cleared must be effected within three business days of receipt of the pre-clearance unless a specific exception has been granted by the General Counsel (or the Chief Executive Officer or the Chief Financial Officer in the event of trades by the General Counsel). A pre-cleared trade (or any portion of a pre-cleared trade) that has not been effected during the three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None of the Company, the General Counsel or the Company’s other employees will have any liability for any delay in reviewing, or refusal of, a request for pre-clearance submitted pursuant to this Section IV.A. Notwithstanding any pre-clearance of a transaction pursuant to this Section IV.A, none of the Company, the General Counsel or the Company’s other employees assumes any liability for the legality or consequences of such transaction to the person engaging in such transaction.</w:t>
      </w:r>
    </w:p>
    <w:p>
      <w:pPr>
        <w:spacing w:after="0" w:line="177"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20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Additionally, no officer, director, employee or specified consultant shall purchase or sell any security of the Company during the period beginning on the 15</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22"/>
          <w:szCs w:val="22"/>
          <w:b w:val="1"/>
          <w:bCs w:val="1"/>
          <w:color w:val="auto"/>
        </w:rPr>
        <w:t xml:space="preserve"> calendar day of the month on which any fiscal quarter of the Company ends and ending upon completion of the first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w:t>
      </w:r>
    </w:p>
    <w:p>
      <w:pPr>
        <w:spacing w:after="0" w:line="181" w:lineRule="exact"/>
        <w:rPr>
          <w:sz w:val="20"/>
          <w:szCs w:val="20"/>
          <w:color w:val="auto"/>
        </w:rPr>
      </w:pPr>
    </w:p>
    <w:p>
      <w:pPr>
        <w:ind w:left="1620" w:hanging="640"/>
        <w:spacing w:after="0" w:line="258" w:lineRule="auto"/>
        <w:tabs>
          <w:tab w:leader="none" w:pos="16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from the Company or sales of the Company’s securities to the Company;</w:t>
      </w:r>
    </w:p>
    <w:p>
      <w:pPr>
        <w:spacing w:after="0" w:line="158" w:lineRule="exact"/>
        <w:rPr>
          <w:rFonts w:ascii="Times New Roman" w:cs="Times New Roman" w:eastAsia="Times New Roman" w:hAnsi="Times New Roman"/>
          <w:sz w:val="22"/>
          <w:szCs w:val="22"/>
          <w:color w:val="auto"/>
        </w:rPr>
      </w:pPr>
    </w:p>
    <w:p>
      <w:pPr>
        <w:jc w:val="both"/>
        <w:ind w:left="1620" w:hanging="640"/>
        <w:spacing w:after="0" w:line="236" w:lineRule="auto"/>
        <w:tabs>
          <w:tab w:leader="none" w:pos="16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the surrender of shares to the Company in payment of the exercise price or in satisfaction of any tax withholding obligations in a manner permitted by the applicable equity award agreement, or vesting of equity-based awards that do not involve a market sale of the Company’s securities (the “cashless exercise” of a Company 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181" w:lineRule="exact"/>
        <w:rPr>
          <w:rFonts w:ascii="Times New Roman" w:cs="Times New Roman" w:eastAsia="Times New Roman" w:hAnsi="Times New Roman"/>
          <w:sz w:val="22"/>
          <w:szCs w:val="22"/>
          <w:color w:val="auto"/>
        </w:rPr>
      </w:pPr>
    </w:p>
    <w:p>
      <w:pPr>
        <w:jc w:val="both"/>
        <w:ind w:left="1620" w:hanging="640"/>
        <w:spacing w:after="0" w:line="244" w:lineRule="auto"/>
        <w:tabs>
          <w:tab w:leader="none" w:pos="16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 contributions to, or the acquisition of Company securities under an ESPP, in each case, pursuant to the terms and conditions of the applicable plan or the employees’ advance instructions;</w:t>
      </w:r>
    </w:p>
    <w:p>
      <w:pPr>
        <w:spacing w:after="0" w:line="169"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gifts of the Company’s securities; and</w:t>
      </w:r>
    </w:p>
    <w:p>
      <w:pPr>
        <w:spacing w:after="0" w:line="210" w:lineRule="exact"/>
        <w:rPr>
          <w:rFonts w:ascii="Times New Roman" w:cs="Times New Roman" w:eastAsia="Times New Roman" w:hAnsi="Times New Roman"/>
          <w:sz w:val="22"/>
          <w:szCs w:val="22"/>
          <w:color w:val="auto"/>
        </w:rPr>
      </w:pPr>
    </w:p>
    <w:p>
      <w:pPr>
        <w:jc w:val="both"/>
        <w:ind w:left="1620" w:right="20" w:hanging="640"/>
        <w:spacing w:after="0" w:line="236" w:lineRule="auto"/>
        <w:tabs>
          <w:tab w:leader="none" w:pos="16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3" w:name="page134"/>
    <w:bookmarkEnd w:id="133"/>
    <w:p>
      <w:pPr>
        <w:ind w:left="1620"/>
        <w:spacing w:after="0" w:line="258" w:lineRule="auto"/>
        <w:rPr>
          <w:sz w:val="20"/>
          <w:szCs w:val="20"/>
          <w:color w:val="auto"/>
        </w:rPr>
      </w:pPr>
      <w:r>
        <w:rPr>
          <w:rFonts w:ascii="Times New Roman" w:cs="Times New Roman" w:eastAsia="Times New Roman" w:hAnsi="Times New Roman"/>
          <w:sz w:val="22"/>
          <w:szCs w:val="22"/>
          <w:color w:val="auto"/>
        </w:rPr>
        <w:t>pre-clearance without such amendment or modification being pre-cleared in advance pursuant to this Policy.</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Company’s General Counsel or, in the case of exceptions for the General Counsel, the Chief Executive Officer or the Chief Financial Officer, or, in the case of exceptions for directors, the Board of Directors or Audit Committee of the Board of Directors.</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From time to time, the Company, through the Board of Directors or the Company’s Chief Executive Officer, Chief Financial Officer or General Counsel, may recommend that officers, directors, employees, specified consultants or others suspend trading in the Company’s securities because of developments that have not yet been disclosed to the public. Subject to the exceptions noted above, all those affected should not trade in our securities while the suspension is in effect, and should not disclose to others that we have suspended trading.</w:t>
      </w:r>
    </w:p>
    <w:p>
      <w:pPr>
        <w:spacing w:after="0" w:line="177"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With the exception of the pre-clearance requirement, this Policy continues to apply to transactions in the Company’s securities even after termination of service to the Company. If an individual is in possession of material, non-public information when his or her service terminates, that individual may not trade in the Company’s securities until that information has become public or is no longer material.</w:t>
      </w:r>
    </w:p>
    <w:p>
      <w:pPr>
        <w:spacing w:after="0" w:line="180"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Relating to the Company</w:t>
      </w:r>
    </w:p>
    <w:p>
      <w:pPr>
        <w:spacing w:after="0" w:line="206" w:lineRule="exact"/>
        <w:rPr>
          <w:sz w:val="20"/>
          <w:szCs w:val="20"/>
          <w:color w:val="auto"/>
        </w:rPr>
      </w:pPr>
    </w:p>
    <w:p>
      <w:pPr>
        <w:ind w:left="1960" w:hanging="656"/>
        <w:spacing w:after="0"/>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Information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16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173" w:lineRule="exact"/>
        <w:rPr>
          <w:sz w:val="20"/>
          <w:szCs w:val="20"/>
          <w:color w:val="auto"/>
        </w:rPr>
      </w:pPr>
    </w:p>
    <w:p>
      <w:pPr>
        <w:ind w:left="1960" w:hanging="656"/>
        <w:spacing w:after="0"/>
        <w:tabs>
          <w:tab w:leader="none" w:pos="19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Inquiries From Third Parties</w:t>
      </w:r>
    </w:p>
    <w:p>
      <w:pPr>
        <w:spacing w:after="0" w:line="2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Inquiries from third parties, such as industry analysts or members of the media, about the Company should be directed to the Company’s Chief Financial Officer or General Counsel.</w:t>
      </w:r>
    </w:p>
    <w:p>
      <w:pPr>
        <w:spacing w:after="0" w:line="158"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Access to Company Information</w:t>
      </w:r>
    </w:p>
    <w:p>
      <w:pPr>
        <w:spacing w:after="0" w:line="2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 following procedures are designed to maintain confidentiality with respect to the Company’s business operations and activities.</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All officers, directors, employees and consultants should take all steps and precautions necessary to restrict access to, and secure, material, non-public information by,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4" w:name="page135"/>
    <w:bookmarkEnd w:id="134"/>
    <w:p>
      <w:pPr>
        <w:ind w:left="1300" w:hanging="644"/>
        <w:spacing w:after="0"/>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confidentiality of Company-related transactions;</w:t>
      </w:r>
    </w:p>
    <w:p>
      <w:pPr>
        <w:spacing w:after="0" w:line="165"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32"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removing and cleaning up all confidential documents and other materials from conference rooms following the conclusion of any meetings;</w:t>
      </w:r>
    </w:p>
    <w:p>
      <w:pPr>
        <w:spacing w:after="0" w:line="117"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Disposing of all confidential documents and other papers, after there is no longer any business or other legally required need, through shredders when appropriate;</w:t>
      </w:r>
    </w:p>
    <w:p>
      <w:pPr>
        <w:spacing w:after="0" w:line="131"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areas likely to contain confidential documents or material, non-public information;</w:t>
      </w:r>
    </w:p>
    <w:p>
      <w:pPr>
        <w:spacing w:after="0" w:line="117"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Safeguarding laptop computers, tablets, memory sticks, CDs and other items that contain confidential information; and</w:t>
      </w:r>
    </w:p>
    <w:p>
      <w:pPr>
        <w:spacing w:after="0" w:line="117" w:lineRule="exact"/>
        <w:rPr>
          <w:rFonts w:ascii="Times New Roman" w:cs="Times New Roman" w:eastAsia="Times New Roman" w:hAnsi="Times New Roman"/>
          <w:sz w:val="22"/>
          <w:szCs w:val="22"/>
          <w:color w:val="auto"/>
        </w:rPr>
      </w:pPr>
    </w:p>
    <w:p>
      <w:pPr>
        <w:ind w:left="1300" w:right="20" w:hanging="644"/>
        <w:spacing w:after="0" w:line="282" w:lineRule="auto"/>
        <w:tabs>
          <w:tab w:leader="none" w:pos="130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Avoiding the discussion of material, non-public information in places where the information could be overheard by others such as in elevators, restrooms, hallways, restaurants, airplanes or taxicabs.</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Personnel involved with material, non-public information, to the extent feasible, should conduct their business and activities in areas separate from other Company activities.</w:t>
      </w:r>
    </w:p>
    <w:p>
      <w:pPr>
        <w:spacing w:after="0" w:line="118"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PROHIBITED TRANSACTIONS</w:t>
      </w:r>
    </w:p>
    <w:p>
      <w:pPr>
        <w:spacing w:after="0" w:line="16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officers, directors, employees and specified consultants shall comply with the following policies with respect to certain transactions in the Company securities:</w:t>
      </w:r>
    </w:p>
    <w:p>
      <w:pPr>
        <w:spacing w:after="0" w:line="153"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p>
    <w:p>
      <w:pPr>
        <w:spacing w:after="0" w:line="16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from making short sales of the Company’s equity securities,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sales of shares that the insider does not own at the time of sale, or sales of shares against which the insider does not deliver the shares within 20 days after the sale.</w:t>
      </w:r>
    </w:p>
    <w:p>
      <w:pPr>
        <w:spacing w:after="0" w:line="130"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Publicly Traded Options</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an officer, director, employee or consultant is trading based on inside information. Transactions in options also may focus an officer’s, director’s,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5" w:name="page136"/>
    <w:bookmarkEnd w:id="135"/>
    <w:p>
      <w:pPr>
        <w:jc w:val="both"/>
        <w:spacing w:after="0" w:line="244" w:lineRule="auto"/>
        <w:rPr>
          <w:sz w:val="20"/>
          <w:szCs w:val="20"/>
          <w:color w:val="auto"/>
        </w:rPr>
      </w:pPr>
      <w:r>
        <w:rPr>
          <w:rFonts w:ascii="Times New Roman" w:cs="Times New Roman" w:eastAsia="Times New Roman" w:hAnsi="Times New Roman"/>
          <w:sz w:val="22"/>
          <w:szCs w:val="22"/>
          <w:color w:val="auto"/>
        </w:rPr>
        <w:t>employee’s or consultant’s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spacing w:after="0" w:line="173"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Certain forms of hedging or monetization transactions, such as zero-cost collars and forward sale contracts, allow an officer, director, employee or consultant to lock in much of the value of his or her stock holdings, often in exchange for all or part of the potential for upside appreciation in the stock. These transactions allow the officer, director, employee or consultant to continue to own the covered securities, but without the full risks and rewards of ownership. When that occurs, the officer, director, employee or consultant may no longer have the same objectives as the Company’s other stockholders. Therefore, such transactions involving the Company’s equity securities are prohibited by this Policy.</w:t>
      </w:r>
    </w:p>
    <w:p>
      <w:pPr>
        <w:spacing w:after="0" w:line="183" w:lineRule="exact"/>
        <w:rPr>
          <w:sz w:val="20"/>
          <w:szCs w:val="20"/>
          <w:color w:val="auto"/>
        </w:rPr>
      </w:pPr>
    </w:p>
    <w:p>
      <w:pPr>
        <w:ind w:left="640" w:firstLine="16"/>
        <w:spacing w:after="0" w:line="258" w:lineRule="auto"/>
        <w:tabs>
          <w:tab w:leader="none" w:pos="13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of the Company’s Securities on Margin; Pledging the Company’s Securities to Secure Margin or Other Loans</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under the Company’s equity plans). Margin purchases of the Company’s securities are prohibited by this Policy. Pledging the Company’s securities as collateral to secure loans is also prohibited. This prohibition means, among other things, that you cannot hold the Company’s securities in a “margin account” (which would allow you to borrow against your holdings to buy securities).</w:t>
      </w:r>
    </w:p>
    <w:p>
      <w:pPr>
        <w:spacing w:after="0" w:line="181"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 and Executive Officer Cashless Exercises</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and (iii) the director or officer uses a “T+3” cashless exercise arrangement, in which the Company agrees to deliver stock against the payment of the purchase price on the same day the sale of the stock underlying the equity award settles. Under a T+3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Company’s General Counsel.</w:t>
      </w:r>
    </w:p>
    <w:p>
      <w:pPr>
        <w:spacing w:after="0" w:line="179"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Partnership Distributions</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6" w:name="page137"/>
    <w:bookmarkEnd w:id="136"/>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Stock Purchase Plan</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trading prohibitions and restrictions set forth in this Policy do not apply to periodic contributions to, or the acquisition of Company securities under an ESPP, in each case, pursuant to the terms and conditions of the applicable plan or the employees’ advance instructions.</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u w:val="single" w:color="auto"/>
          <w:color w:val="auto"/>
        </w:rPr>
        <w:t>RULE 10b5-1 TRADING PLANS, SECTION 16 AND RULE 144</w:t>
      </w:r>
    </w:p>
    <w:p>
      <w:pPr>
        <w:spacing w:after="0" w:line="206"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10b5-1 Trading Plans</w:t>
      </w:r>
    </w:p>
    <w:p>
      <w:pPr>
        <w:spacing w:after="0" w:line="206" w:lineRule="exact"/>
        <w:rPr>
          <w:sz w:val="20"/>
          <w:szCs w:val="20"/>
          <w:color w:val="auto"/>
        </w:rPr>
      </w:pPr>
    </w:p>
    <w:p>
      <w:pPr>
        <w:ind w:left="1960" w:hanging="656"/>
        <w:spacing w:after="0"/>
        <w:tabs>
          <w:tab w:leader="none" w:pos="19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Rule 10b5-1 will protect directors, officers, employees and consultants from insider trading liability under Rule 10b5-1 for transactions under a previously established contract, plan or instruction to trade in the Company’s stock (a “</w:t>
      </w:r>
      <w:r>
        <w:rPr>
          <w:rFonts w:ascii="Times New Roman" w:cs="Times New Roman" w:eastAsia="Times New Roman" w:hAnsi="Times New Roman"/>
          <w:sz w:val="21"/>
          <w:szCs w:val="21"/>
          <w:b w:val="1"/>
          <w:bCs w:val="1"/>
          <w:u w:val="single" w:color="auto"/>
          <w:color w:val="auto"/>
        </w:rPr>
        <w:t>Trading Plan</w:t>
      </w:r>
      <w:r>
        <w:rPr>
          <w:rFonts w:ascii="Times New Roman" w:cs="Times New Roman" w:eastAsia="Times New Roman" w:hAnsi="Times New Roman"/>
          <w:sz w:val="21"/>
          <w:szCs w:val="21"/>
          <w:color w:val="auto"/>
        </w:rPr>
        <w:t>”) entered into in good faith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General Counsel (or in the case of a Trading Plan to be entered into by the General Counsel, the Company’s Chief Financial Officer), or such other person as the Board of Directors may designate from time to time (the “</w:t>
      </w:r>
      <w:r>
        <w:rPr>
          <w:rFonts w:ascii="Times New Roman" w:cs="Times New Roman" w:eastAsia="Times New Roman" w:hAnsi="Times New Roman"/>
          <w:sz w:val="21"/>
          <w:szCs w:val="21"/>
          <w:b w:val="1"/>
          <w:bCs w:val="1"/>
          <w:u w:val="single" w:color="auto"/>
          <w:color w:val="auto"/>
        </w:rPr>
        <w:t>Authorizing Officer</w:t>
      </w:r>
      <w:r>
        <w:rPr>
          <w:rFonts w:ascii="Times New Roman" w:cs="Times New Roman" w:eastAsia="Times New Roman" w:hAnsi="Times New Roman"/>
          <w:sz w:val="21"/>
          <w:szCs w:val="21"/>
          <w:color w:val="auto"/>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Trading Plans do not exempt individuals from complying with Section 16 short-swing profit rules or liability.</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 director, officer, employee or consultant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7" w:name="page138"/>
    <w:bookmarkEnd w:id="137"/>
    <w:p>
      <w:pPr>
        <w:jc w:val="both"/>
        <w:spacing w:after="0" w:line="239" w:lineRule="auto"/>
        <w:rPr>
          <w:sz w:val="20"/>
          <w:szCs w:val="20"/>
          <w:color w:val="auto"/>
        </w:rPr>
      </w:pPr>
      <w:r>
        <w:rPr>
          <w:rFonts w:ascii="Times New Roman" w:cs="Times New Roman" w:eastAsia="Times New Roman" w:hAnsi="Times New Roman"/>
          <w:sz w:val="22"/>
          <w:szCs w:val="22"/>
          <w:color w:val="auto"/>
        </w:rPr>
        <w:t>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Officers, directors, employees and consultants may adopt Trading Plans with brokers that outline a pre-set plan for trading of the Company’s stock, including the exercise of options. Trades pursuant to a Trading Plan generally may occur at any time. However, the Company requires a cooling-off period of 30 days between the establishment of a Trading Plan and commencement of any transactions under such plan. An individual may adopt more than one Trading Plan. Please review the following description of how a Trading Plan works.</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Pursuant to Rule 10b5-1, an individual’s purchase or sale of securities will not be “on the basis of” material, non-public information if:</w:t>
      </w:r>
    </w:p>
    <w:p>
      <w:pPr>
        <w:spacing w:after="0" w:line="158" w:lineRule="exact"/>
        <w:rPr>
          <w:sz w:val="20"/>
          <w:szCs w:val="20"/>
          <w:color w:val="auto"/>
        </w:rPr>
      </w:pPr>
    </w:p>
    <w:p>
      <w:pPr>
        <w:jc w:val="both"/>
        <w:ind w:left="1300" w:right="20" w:hanging="644"/>
        <w:spacing w:after="0" w:line="244" w:lineRule="auto"/>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Trading Plan must either:</w:t>
      </w:r>
    </w:p>
    <w:p>
      <w:pPr>
        <w:spacing w:after="0" w:line="206" w:lineRule="exact"/>
        <w:rPr>
          <w:rFonts w:ascii="Times New Roman" w:cs="Times New Roman" w:eastAsia="Times New Roman" w:hAnsi="Times New Roman"/>
          <w:sz w:val="22"/>
          <w:szCs w:val="22"/>
          <w:color w:val="auto"/>
        </w:rPr>
      </w:pPr>
    </w:p>
    <w:p>
      <w:pPr>
        <w:ind w:left="1960" w:hanging="656"/>
        <w:spacing w:after="0" w:line="282" w:lineRule="auto"/>
        <w:tabs>
          <w:tab w:leader="none" w:pos="196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specify the amount of securities to be purchased or sold, the price at which the securities are to be purchased or sold and the date on which the securities are to be purchased or sold;</w:t>
      </w:r>
    </w:p>
    <w:p>
      <w:pPr>
        <w:spacing w:after="0" w:line="134" w:lineRule="exact"/>
        <w:rPr>
          <w:rFonts w:ascii="Times New Roman" w:cs="Times New Roman" w:eastAsia="Times New Roman" w:hAnsi="Times New Roman"/>
          <w:sz w:val="21"/>
          <w:szCs w:val="21"/>
          <w:color w:val="auto"/>
        </w:rPr>
      </w:pPr>
    </w:p>
    <w:p>
      <w:pPr>
        <w:ind w:left="1960" w:right="20" w:hanging="656"/>
        <w:spacing w:after="0" w:line="258" w:lineRule="auto"/>
        <w:tabs>
          <w:tab w:leader="none" w:pos="196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written formula or computer program for determining the amount, price and date of the transactions; or</w:t>
      </w:r>
    </w:p>
    <w:p>
      <w:pPr>
        <w:spacing w:after="0" w:line="158" w:lineRule="exact"/>
        <w:rPr>
          <w:rFonts w:ascii="Times New Roman" w:cs="Times New Roman" w:eastAsia="Times New Roman" w:hAnsi="Times New Roman"/>
          <w:sz w:val="22"/>
          <w:szCs w:val="22"/>
          <w:color w:val="auto"/>
        </w:rPr>
      </w:pPr>
    </w:p>
    <w:p>
      <w:pPr>
        <w:ind w:left="1960" w:hanging="656"/>
        <w:spacing w:after="0" w:line="258" w:lineRule="auto"/>
        <w:tabs>
          <w:tab w:leader="none" w:pos="196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the individual from exercising any subsequent influence over the purchase or sale of the Company’s stock under the Trading Plan in question.</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the purchase or sale must occur pursuant to the Trading Plan and the individual must not enter into a corresponding hedging transaction or alter or deviate from the Trading Plan.</w:t>
      </w:r>
    </w:p>
    <w:p>
      <w:pPr>
        <w:spacing w:after="0" w:line="158" w:lineRule="exact"/>
        <w:rPr>
          <w:sz w:val="20"/>
          <w:szCs w:val="20"/>
          <w:color w:val="auto"/>
        </w:rPr>
      </w:pPr>
    </w:p>
    <w:p>
      <w:pPr>
        <w:ind w:left="1960" w:hanging="656"/>
        <w:spacing w:after="0"/>
        <w:tabs>
          <w:tab w:leader="none" w:pos="19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of and Amendments to Trading Plans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Revocation of Trading Plans should occur only in unusual circumstances. Effectiveness of any revocation or amendment of a Trading Plan will be subject to the prior review and approval of the Authorizing Officer. Once a Trading Plan has been revoked, the participant should wait at least 30 days before trading outside of a Trading Plan and 180 days before establishing a new Trading Plan. You should note that revocation of a Trading Plan can result in the loss of an affirmative defense for past or future transactions under a Trading Plan. You should consult with your own legal counsel before deciding to revoke a Trading Plan. In any event, you should not assume that compliance with the 180-day bar will protect you from possible adverse legal consequences of a Trading Plan revocation.</w:t>
      </w:r>
    </w:p>
    <w:p>
      <w:pPr>
        <w:spacing w:after="0" w:line="17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 person acting in good faith may amend a prior Trading Plan so long as such amendments are made outside of a quarterly trading black-out period and at a time when the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8" w:name="page139"/>
    <w:bookmarkEnd w:id="138"/>
    <w:p>
      <w:pPr>
        <w:jc w:val="both"/>
        <w:spacing w:after="0" w:line="258" w:lineRule="auto"/>
        <w:rPr>
          <w:sz w:val="20"/>
          <w:szCs w:val="20"/>
          <w:color w:val="auto"/>
        </w:rPr>
      </w:pPr>
      <w:r>
        <w:rPr>
          <w:rFonts w:ascii="Times New Roman" w:cs="Times New Roman" w:eastAsia="Times New Roman" w:hAnsi="Times New Roman"/>
          <w:sz w:val="22"/>
          <w:szCs w:val="22"/>
          <w:color w:val="auto"/>
        </w:rPr>
        <w:t>participant does not possess material, non-public information. Plan amendments must not take effect for at least 30 days after the plan amendments are made.</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spacing w:after="0" w:line="181" w:lineRule="exact"/>
        <w:rPr>
          <w:sz w:val="20"/>
          <w:szCs w:val="20"/>
          <w:color w:val="auto"/>
        </w:rPr>
      </w:pPr>
    </w:p>
    <w:p>
      <w:pPr>
        <w:ind w:left="1960" w:hanging="656"/>
        <w:spacing w:after="0"/>
        <w:tabs>
          <w:tab w:leader="none" w:pos="19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Plans</w:t>
      </w:r>
    </w:p>
    <w:p>
      <w:pPr>
        <w:spacing w:after="0" w:line="2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21"/>
          <w:szCs w:val="21"/>
          <w:color w:val="auto"/>
        </w:rPr>
        <w:t>Although non-discretionary Trading Plans are preferred, discretionary Trading Plans, where the discretion or control over trading is transferred to a broker, are permitted if pre-approved by the Authorizing Officer.</w:t>
      </w:r>
    </w:p>
    <w:p>
      <w:pPr>
        <w:spacing w:after="0" w:line="13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Authorizing Officer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77" w:lineRule="exact"/>
        <w:rPr>
          <w:sz w:val="20"/>
          <w:szCs w:val="20"/>
          <w:color w:val="auto"/>
        </w:rPr>
      </w:pPr>
    </w:p>
    <w:p>
      <w:pPr>
        <w:ind w:left="1960" w:hanging="656"/>
        <w:spacing w:after="0"/>
        <w:tabs>
          <w:tab w:leader="none" w:pos="19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(if Required)</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If required, an SEC Form 144 will be filled out and filed by the individual/brokerage firm in accordance with the existing rules regarding Form 144 filings. A footnote at the bottom of the Form 144 should indicate that</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trades “are in accordance with a Trading Plan that complies with Rule 10b5-1 and expires .”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-648335</wp:posOffset>
            </wp:positionV>
            <wp:extent cx="2654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159" w:lineRule="exact"/>
        <w:rPr>
          <w:sz w:val="20"/>
          <w:szCs w:val="20"/>
          <w:color w:val="auto"/>
        </w:rPr>
      </w:pPr>
    </w:p>
    <w:p>
      <w:pPr>
        <w:ind w:left="1960" w:hanging="656"/>
        <w:spacing w:after="0"/>
        <w:tabs>
          <w:tab w:leader="none" w:pos="19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Exercises of options for cash may be executed at any time. “Cashless exercise” option exercises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78" w:lineRule="exact"/>
        <w:rPr>
          <w:sz w:val="20"/>
          <w:szCs w:val="20"/>
          <w:color w:val="auto"/>
        </w:rPr>
      </w:pPr>
    </w:p>
    <w:p>
      <w:pPr>
        <w:ind w:left="1960" w:hanging="656"/>
        <w:spacing w:after="0"/>
        <w:tabs>
          <w:tab w:leader="none" w:pos="19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a Trading Plan</w:t>
      </w:r>
    </w:p>
    <w:p>
      <w:pPr>
        <w:spacing w:after="0" w:line="2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158" w:lineRule="exact"/>
        <w:rPr>
          <w:sz w:val="20"/>
          <w:szCs w:val="20"/>
          <w:color w:val="auto"/>
        </w:rPr>
      </w:pPr>
    </w:p>
    <w:p>
      <w:pPr>
        <w:ind w:left="1960" w:hanging="656"/>
        <w:spacing w:after="0"/>
        <w:tabs>
          <w:tab w:leader="none" w:pos="19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Announcements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9" w:name="page140"/>
    <w:bookmarkEnd w:id="139"/>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spacing w:after="0" w:line="180" w:lineRule="exact"/>
        <w:rPr>
          <w:sz w:val="20"/>
          <w:szCs w:val="20"/>
          <w:color w:val="auto"/>
        </w:rPr>
      </w:pPr>
    </w:p>
    <w:p>
      <w:pPr>
        <w:ind w:left="1960" w:hanging="656"/>
        <w:spacing w:after="0"/>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173" w:lineRule="exact"/>
        <w:rPr>
          <w:sz w:val="20"/>
          <w:szCs w:val="20"/>
          <w:color w:val="auto"/>
        </w:rPr>
      </w:pPr>
    </w:p>
    <w:p>
      <w:pPr>
        <w:ind w:left="1960" w:hanging="656"/>
        <w:spacing w:after="0"/>
        <w:tabs>
          <w:tab w:leader="none" w:pos="19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Section 16 Protection</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use of Trading Plans does not exempt participants from complying with the Section 16 reporting rules or liability for short-swing trades.</w:t>
      </w:r>
    </w:p>
    <w:p>
      <w:pPr>
        <w:spacing w:after="0" w:line="158" w:lineRule="exact"/>
        <w:rPr>
          <w:sz w:val="20"/>
          <w:szCs w:val="20"/>
          <w:color w:val="auto"/>
        </w:rPr>
      </w:pPr>
    </w:p>
    <w:p>
      <w:pPr>
        <w:ind w:left="1960" w:hanging="656"/>
        <w:spacing w:after="0"/>
        <w:tabs>
          <w:tab w:leader="none" w:pos="19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None of the Company, the Authorizing Officer or the Company’s other employees will have any liability for any delay in reviewing, or refusal of, a Trading Plan submitted pursuant to this Section VI.A. Notwithstanding any review of a Trading Plan pursuant to this Section VI.A, none of the Company, the Authorizing Officer or the Company’s other employees assumes any liability for the legality or consequences relating to such Trading Plan to the person adopting such Trading Plan.</w:t>
      </w:r>
    </w:p>
    <w:p>
      <w:pPr>
        <w:spacing w:after="0" w:line="177" w:lineRule="exact"/>
        <w:rPr>
          <w:sz w:val="20"/>
          <w:szCs w:val="20"/>
          <w:color w:val="auto"/>
        </w:rPr>
      </w:pPr>
    </w:p>
    <w:p>
      <w:pPr>
        <w:ind w:left="640" w:firstLine="16"/>
        <w:spacing w:after="0" w:line="258" w:lineRule="auto"/>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 Insider Reporting Requirements, Short-Swing Profits and Short Sales (Applicable to Officers, Directors and 10% Stockholders)</w:t>
      </w:r>
    </w:p>
    <w:p>
      <w:pPr>
        <w:spacing w:after="0" w:line="158" w:lineRule="exact"/>
        <w:rPr>
          <w:sz w:val="20"/>
          <w:szCs w:val="20"/>
          <w:color w:val="auto"/>
        </w:rPr>
      </w:pPr>
    </w:p>
    <w:p>
      <w:pPr>
        <w:ind w:left="1960" w:hanging="656"/>
        <w:spacing w:after="0"/>
        <w:tabs>
          <w:tab w:leader="none" w:pos="19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Obligations Under Section 16(a): SEC Forms 3, 4 and 5</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16(a) of the 1934 Act generally requires all officers, directors and 10% stockholders (“</w:t>
      </w:r>
      <w:r>
        <w:rPr>
          <w:rFonts w:ascii="Times New Roman" w:cs="Times New Roman" w:eastAsia="Times New Roman" w:hAnsi="Times New Roman"/>
          <w:sz w:val="22"/>
          <w:szCs w:val="22"/>
          <w:b w:val="1"/>
          <w:bCs w:val="1"/>
          <w:u w:val="single" w:color="auto"/>
          <w:color w:val="auto"/>
        </w:rPr>
        <w:t>insiders</w:t>
      </w:r>
      <w:r>
        <w:rPr>
          <w:rFonts w:ascii="Times New Roman" w:cs="Times New Roman" w:eastAsia="Times New Roman" w:hAnsi="Times New Roman"/>
          <w:sz w:val="22"/>
          <w:szCs w:val="22"/>
          <w:color w:val="auto"/>
        </w:rPr>
        <w:t xml:space="preserve">”),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days after the date on which such change occurs, or in certain cases on Form 5, within 45 days after fiscal year end. The two-day Form 4 deadline begins to run from the trade date rather than the settlement date. A Form 4 must be filed even if, as a result of balancing transactions, there has been no net change in holdings. In certain situations, purchases or sales of Company stock made within six months </w:t>
      </w:r>
      <w:r>
        <w:rPr>
          <w:rFonts w:ascii="Times New Roman" w:cs="Times New Roman" w:eastAsia="Times New Roman" w:hAnsi="Times New Roman"/>
          <w:sz w:val="22"/>
          <w:szCs w:val="22"/>
          <w:i w:val="1"/>
          <w:iCs w:val="1"/>
          <w:color w:val="auto"/>
        </w:rPr>
        <w:t>prior</w:t>
      </w:r>
      <w:r>
        <w:rPr>
          <w:rFonts w:ascii="Times New Roman" w:cs="Times New Roman" w:eastAsia="Times New Roman" w:hAnsi="Times New Roman"/>
          <w:sz w:val="22"/>
          <w:szCs w:val="22"/>
          <w:color w:val="auto"/>
        </w:rPr>
        <w:t xml:space="preserve"> to the filing of a Form 3 must be reported on Form 4. Similarly, certain purchases or sales of Company stock made within six months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an officer or director ceases to be an insider must be reported on Form 4.</w:t>
      </w:r>
    </w:p>
    <w:p>
      <w:pPr>
        <w:spacing w:after="0" w:line="180" w:lineRule="exact"/>
        <w:rPr>
          <w:sz w:val="20"/>
          <w:szCs w:val="20"/>
          <w:color w:val="auto"/>
        </w:rPr>
      </w:pPr>
    </w:p>
    <w:p>
      <w:pPr>
        <w:ind w:left="1960" w:hanging="656"/>
        <w:spacing w:after="0"/>
        <w:tabs>
          <w:tab w:leader="none" w:pos="19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Profits Under Section 16(b)</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For the purpose of preventing the unfair use of information which may have been obtained by an insider, any profits realized by any officer, director or 10% stockholder from any “purchase” and “sale” of Company stock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0" w:name="page141"/>
    <w:bookmarkEnd w:id="140"/>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The liability of an insider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17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Officers and directors should consult the attached “Short-Swing Profit Rule Section 16(b) Checklist” attached hereto as “Attachment A” in addition to consulting the General Counsel prior to engaging in any transactions involving the Company’s securities, including without limitation, the Company’s stock, options or warrants.</w:t>
      </w:r>
    </w:p>
    <w:p>
      <w:pPr>
        <w:spacing w:after="0" w:line="180" w:lineRule="exact"/>
        <w:rPr>
          <w:sz w:val="20"/>
          <w:szCs w:val="20"/>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 Prohibited Under Section 16(c)</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16(c) of the 1934 Act prohibits insiders absolutely from making short 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General Counsel should be consulted if you have any questions regarding reporting obligations, short-swing profits or short sales under Section 16.</w:t>
      </w:r>
    </w:p>
    <w:p>
      <w:pPr>
        <w:spacing w:after="0" w:line="158"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144 (Applicable to Officers, Directors and 10% Stockholders)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Rule 144 provides a safe harbor exemption to the 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w:t>
      </w:r>
      <w:r>
        <w:rPr>
          <w:rFonts w:ascii="Times New Roman" w:cs="Times New Roman" w:eastAsia="Times New Roman" w:hAnsi="Times New Roman"/>
          <w:sz w:val="22"/>
          <w:szCs w:val="22"/>
          <w:i w:val="1"/>
          <w:iCs w:val="1"/>
          <w:color w:val="auto"/>
        </w:rPr>
        <w:t>any</w:t>
      </w:r>
      <w:r>
        <w:rPr>
          <w:rFonts w:ascii="Times New Roman" w:cs="Times New Roman" w:eastAsia="Times New Roman" w:hAnsi="Times New Roman"/>
          <w:sz w:val="22"/>
          <w:szCs w:val="22"/>
          <w:color w:val="auto"/>
        </w:rPr>
        <w:t xml:space="preserve"> securities owned by directors, executive officers or other “affiliates” of the issuer, including stock purchased in the open market and stock received upon exercise of stock options. Sales of Company securities by affiliates (generally, directors, officers and 10% stockholders of the Company) must comply with the requirements of Rule 144, which are summarized below:</w:t>
      </w:r>
    </w:p>
    <w:p>
      <w:pPr>
        <w:spacing w:after="0" w:line="177" w:lineRule="exact"/>
        <w:rPr>
          <w:sz w:val="20"/>
          <w:szCs w:val="20"/>
          <w:color w:val="auto"/>
        </w:rPr>
      </w:pPr>
    </w:p>
    <w:p>
      <w:pPr>
        <w:ind w:left="1300" w:hanging="644"/>
        <w:spacing w:after="0" w:line="264" w:lineRule="auto"/>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Current Public Information. </w:t>
      </w:r>
      <w:r>
        <w:rPr>
          <w:rFonts w:ascii="Times New Roman" w:cs="Times New Roman" w:eastAsia="Times New Roman" w:hAnsi="Times New Roman"/>
          <w:sz w:val="22"/>
          <w:szCs w:val="22"/>
          <w:color w:val="auto"/>
        </w:rPr>
        <w:t>The Company must have filed all SEC-required reports during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last 12 months.</w:t>
      </w:r>
    </w:p>
    <w:p>
      <w:pPr>
        <w:spacing w:after="0" w:line="145"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Volume Limitations. </w:t>
      </w:r>
      <w:r>
        <w:rPr>
          <w:rFonts w:ascii="Times New Roman" w:cs="Times New Roman" w:eastAsia="Times New Roman" w:hAnsi="Times New Roman"/>
          <w:sz w:val="22"/>
          <w:szCs w:val="22"/>
          <w:color w:val="auto"/>
        </w:rPr>
        <w:t xml:space="preserve">Total sales of Company common stock by a covered individual for any three-month period may not exceed the </w:t>
      </w:r>
      <w:r>
        <w:rPr>
          <w:rFonts w:ascii="Times New Roman" w:cs="Times New Roman" w:eastAsia="Times New Roman" w:hAnsi="Times New Roman"/>
          <w:sz w:val="22"/>
          <w:szCs w:val="22"/>
          <w:i w:val="1"/>
          <w:iCs w:val="1"/>
          <w:color w:val="auto"/>
        </w:rPr>
        <w:t>greater</w:t>
      </w:r>
      <w:r>
        <w:rPr>
          <w:rFonts w:ascii="Times New Roman" w:cs="Times New Roman" w:eastAsia="Times New Roman" w:hAnsi="Times New Roman"/>
          <w:sz w:val="22"/>
          <w:szCs w:val="22"/>
          <w:color w:val="auto"/>
        </w:rPr>
        <w:t xml:space="preserve">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1" w:name="page142"/>
    <w:bookmarkEnd w:id="141"/>
    <w:p>
      <w:pPr>
        <w:jc w:val="both"/>
        <w:ind w:left="1300" w:hanging="644"/>
        <w:spacing w:after="0" w:line="235" w:lineRule="auto"/>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Method of Sale. </w:t>
      </w:r>
      <w:r>
        <w:rPr>
          <w:rFonts w:ascii="Times New Roman" w:cs="Times New Roman" w:eastAsia="Times New Roman" w:hAnsi="Times New Roman"/>
          <w:sz w:val="22"/>
          <w:szCs w:val="22"/>
          <w:color w:val="auto"/>
        </w:rPr>
        <w:t>The shares must be sold either in a “broker’s transaction” or in a transaction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directly with a “market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64" w:lineRule="auto"/>
        <w:tabs>
          <w:tab w:leader="none" w:pos="13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Notice of Proposed Sale. </w:t>
      </w:r>
      <w:r>
        <w:rPr>
          <w:rFonts w:ascii="Times New Roman" w:cs="Times New Roman" w:eastAsia="Times New Roman" w:hAnsi="Times New Roman"/>
          <w:sz w:val="21"/>
          <w:szCs w:val="21"/>
          <w:color w:val="auto"/>
        </w:rPr>
        <w:t>A notice of the sale (a Form 144) must be filed with the SEC at the time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sale. Brokers generally have internal procedures for executing sales under Rule 144 and will assist you in completing the Form 144 and in complying with the other requirements of Rule 144.</w:t>
      </w:r>
    </w:p>
    <w:p>
      <w:pPr>
        <w:spacing w:after="0" w:line="1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you are subject to Rule 144, you must instruct your broker who handles trades in Company securities to follow the brokerage firm’s Rule 144 compliance procedures in connection with all trades.</w:t>
      </w:r>
    </w:p>
    <w:p>
      <w:pPr>
        <w:spacing w:after="0" w:line="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2"/>
          <w:szCs w:val="22"/>
          <w:u w:val="single" w:color="auto"/>
          <w:color w:val="auto"/>
        </w:rPr>
        <w:t>EXECUTION AND RETURN OF CERTIFICATION OF COMPLIANCE</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reading this Policy, all officers, directors and employees should execute and return to the Company’s General Counsel the Certification of Compliance form attached hereto as “Attachment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INDIVIDUALS SUBJECT TO PRE-CLEARANCE REQUIREMENT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All Directors and Executive Officers of the Company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All Section 16 Officers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All members of the Finance and Legal Departments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2"/>
          <w:szCs w:val="22"/>
          <w:u w:val="single" w:color="auto"/>
          <w:color w:val="auto"/>
        </w:rPr>
        <w:t>ATTACHMENT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SHORT-SWING PROFIT RULE SECTION 16(B) CHECKLIST</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Note: ANY combination of PURCHASE AND SALE or SALE AND PURCHASE within six months of each other by an officer, director or 10% stockholder (or any family member living in the same household or certain affiliated entities) results in a violation of Section 16(b), and the “profit” must be recovered by Harmony Biosciences Holdings, Inc.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It makes no difference how long the shares being sold have been held or, for officers and directors, that you were an insider for only one of the two matching transactions. The highest priced sale will be matched with the lowest priced purchase within the six-month period.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Sales</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If a sale is to be made by an officer, director or 10% stockholder (or any family member living in the same household or certain affiliated entities):</w:t>
      </w:r>
    </w:p>
    <w:p>
      <w:pPr>
        <w:spacing w:after="0" w:line="158" w:lineRule="exact"/>
        <w:rPr>
          <w:sz w:val="20"/>
          <w:szCs w:val="20"/>
          <w:color w:val="auto"/>
        </w:rPr>
      </w:pPr>
    </w:p>
    <w:p>
      <w:pPr>
        <w:ind w:left="1300" w:firstLine="4"/>
        <w:spacing w:after="0" w:line="258" w:lineRule="auto"/>
        <w:tabs>
          <w:tab w:leader="none" w:pos="194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there been any purchases by the insider (or family members living in the same household or certain affiliated entities) within the past six months?</w:t>
      </w:r>
    </w:p>
    <w:p>
      <w:pPr>
        <w:spacing w:after="0" w:line="158" w:lineRule="exact"/>
        <w:rPr>
          <w:rFonts w:ascii="Times New Roman" w:cs="Times New Roman" w:eastAsia="Times New Roman" w:hAnsi="Times New Roman"/>
          <w:sz w:val="22"/>
          <w:szCs w:val="22"/>
          <w:color w:val="auto"/>
        </w:rPr>
      </w:pPr>
    </w:p>
    <w:p>
      <w:pPr>
        <w:ind w:left="1300" w:firstLine="4"/>
        <w:spacing w:after="0" w:line="258" w:lineRule="auto"/>
        <w:tabs>
          <w:tab w:leader="none" w:pos="194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there been any option grants or exercises not exempt under Rule 16b-3 within the past six months?</w:t>
      </w:r>
    </w:p>
    <w:p>
      <w:pPr>
        <w:spacing w:after="0" w:line="158" w:lineRule="exact"/>
        <w:rPr>
          <w:rFonts w:ascii="Times New Roman" w:cs="Times New Roman" w:eastAsia="Times New Roman" w:hAnsi="Times New Roman"/>
          <w:sz w:val="22"/>
          <w:szCs w:val="22"/>
          <w:color w:val="auto"/>
        </w:rPr>
      </w:pPr>
    </w:p>
    <w:p>
      <w:pPr>
        <w:ind w:left="1300" w:firstLine="4"/>
        <w:spacing w:after="0" w:line="258" w:lineRule="auto"/>
        <w:tabs>
          <w:tab w:leader="none" w:pos="194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any purchases (or non-exempt option exercises) anticipated or required within the next six months?</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Form 4 been prepared?</w:t>
      </w:r>
    </w:p>
    <w:p>
      <w:pPr>
        <w:spacing w:after="0" w:line="206"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Note: If a sale is to be made by an affiliate of the Company, has a Form 144 been prepared and has the broker been reminded to sell pursuant to Rule 144?</w:t>
      </w:r>
    </w:p>
    <w:p>
      <w:pPr>
        <w:spacing w:after="0" w:line="15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Purchases And Option Exercises</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a purchase or option exercise for Company stock is to be made:</w:t>
      </w:r>
    </w:p>
    <w:p>
      <w:pPr>
        <w:spacing w:after="0" w:line="206" w:lineRule="exact"/>
        <w:rPr>
          <w:sz w:val="20"/>
          <w:szCs w:val="20"/>
          <w:color w:val="auto"/>
        </w:rPr>
      </w:pPr>
    </w:p>
    <w:p>
      <w:pPr>
        <w:ind w:left="1300" w:right="20" w:firstLine="4"/>
        <w:spacing w:after="0" w:line="258" w:lineRule="auto"/>
        <w:tabs>
          <w:tab w:leader="none" w:pos="194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there been any sales by the insider (or family members living in the same household or certain affiliated entities) within the past six months?</w:t>
      </w:r>
    </w:p>
    <w:p>
      <w:pPr>
        <w:spacing w:after="0" w:line="158" w:lineRule="exact"/>
        <w:rPr>
          <w:rFonts w:ascii="Times New Roman" w:cs="Times New Roman" w:eastAsia="Times New Roman" w:hAnsi="Times New Roman"/>
          <w:sz w:val="22"/>
          <w:szCs w:val="22"/>
          <w:color w:val="auto"/>
        </w:rPr>
      </w:pPr>
    </w:p>
    <w:p>
      <w:pPr>
        <w:ind w:left="1300" w:firstLine="4"/>
        <w:spacing w:after="0" w:line="258" w:lineRule="auto"/>
        <w:tabs>
          <w:tab w:leader="none" w:pos="194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any sales anticipated or required within the next six months (such as tax-related or year-end transactions)?</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Form 4 been prepared?</w:t>
      </w:r>
    </w:p>
    <w:p>
      <w:pPr>
        <w:spacing w:after="0" w:line="202"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Before proceeding with a purchase or sale, consider whether you are aware of material inside information which could affect the price of the Company stock. All transactions in the Company’s securities by officers and directors must be </w:t>
      </w:r>
      <w:r>
        <w:rPr>
          <w:rFonts w:ascii="Times New Roman" w:cs="Times New Roman" w:eastAsia="Times New Roman" w:hAnsi="Times New Roman"/>
          <w:sz w:val="22"/>
          <w:szCs w:val="22"/>
          <w:b w:val="1"/>
          <w:bCs w:val="1"/>
          <w:u w:val="single" w:color="auto"/>
          <w:color w:val="auto"/>
        </w:rPr>
        <w:t>pre-cleared</w:t>
      </w:r>
      <w:r>
        <w:rPr>
          <w:rFonts w:ascii="Times New Roman" w:cs="Times New Roman" w:eastAsia="Times New Roman" w:hAnsi="Times New Roman"/>
          <w:sz w:val="22"/>
          <w:szCs w:val="22"/>
          <w:b w:val="1"/>
          <w:bCs w:val="1"/>
          <w:color w:val="auto"/>
        </w:rPr>
        <w:t xml:space="preserve"> by contacting the Company’s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5"/>
              </w:rPr>
              <w:t>ATTACHMENT B</w:t>
            </w:r>
          </w:p>
        </w:tc>
        <w:tc>
          <w:tcPr>
            <w:tcW w:w="360" w:type="dxa"/>
            <w:vAlign w:val="bottom"/>
          </w:tcPr>
          <w:p>
            <w:pPr>
              <w:spacing w:after="0"/>
              <w:rPr>
                <w:sz w:val="22"/>
                <w:szCs w:val="22"/>
                <w:color w:val="auto"/>
              </w:rPr>
            </w:pPr>
          </w:p>
        </w:tc>
        <w:tc>
          <w:tcPr>
            <w:tcW w:w="3500" w:type="dxa"/>
            <w:vAlign w:val="bottom"/>
          </w:tcPr>
          <w:p>
            <w:pPr>
              <w:spacing w:after="0"/>
              <w:rPr>
                <w:sz w:val="22"/>
                <w:szCs w:val="22"/>
                <w:color w:val="auto"/>
              </w:rPr>
            </w:pPr>
          </w:p>
        </w:tc>
      </w:tr>
      <w:tr>
        <w:trPr>
          <w:trHeight w:val="491"/>
        </w:trPr>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40" w:type="dxa"/>
            <w:vAlign w:val="bottom"/>
            <w:gridSpan w:val="6"/>
          </w:tcPr>
          <w:p>
            <w:pPr>
              <w:jc w:val="center"/>
              <w:ind w:right="892"/>
              <w:spacing w:after="0"/>
              <w:rPr>
                <w:sz w:val="20"/>
                <w:szCs w:val="20"/>
                <w:color w:val="auto"/>
              </w:rPr>
            </w:pPr>
            <w:r>
              <w:rPr>
                <w:rFonts w:ascii="Times New Roman" w:cs="Times New Roman" w:eastAsia="Times New Roman" w:hAnsi="Times New Roman"/>
                <w:sz w:val="22"/>
                <w:szCs w:val="22"/>
                <w:color w:val="auto"/>
                <w:w w:val="97"/>
              </w:rPr>
              <w:t>CERTIFICATION OF COMPLIANCE</w:t>
            </w:r>
          </w:p>
        </w:tc>
      </w:tr>
      <w:tr>
        <w:trPr>
          <w:trHeight w:val="407"/>
        </w:trPr>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w w:val="96"/>
              </w:rPr>
              <w:t>RETURN BY [</w:t>
            </w: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00" w:type="dxa"/>
            <w:vAlign w:val="bottom"/>
          </w:tcPr>
          <w:p>
            <w:pPr>
              <w:jc w:val="right"/>
              <w:ind w:right="3312"/>
              <w:spacing w:after="0"/>
              <w:rPr>
                <w:sz w:val="20"/>
                <w:szCs w:val="20"/>
                <w:color w:val="auto"/>
              </w:rPr>
            </w:pPr>
            <w:r>
              <w:rPr>
                <w:rFonts w:ascii="Times New Roman" w:cs="Times New Roman" w:eastAsia="Times New Roman" w:hAnsi="Times New Roman"/>
                <w:sz w:val="22"/>
                <w:szCs w:val="22"/>
                <w:color w:val="auto"/>
                <w:w w:val="81"/>
              </w:rPr>
              <w:t>]</w:t>
            </w:r>
          </w:p>
        </w:tc>
      </w:tr>
      <w:tr>
        <w:trPr>
          <w:trHeight w:val="49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4780" w:type="dxa"/>
            <w:vAlign w:val="bottom"/>
            <w:gridSpan w:val="5"/>
          </w:tcPr>
          <w:p>
            <w:pPr>
              <w:ind w:left="300"/>
              <w:spacing w:after="0"/>
              <w:rPr>
                <w:sz w:val="20"/>
                <w:szCs w:val="20"/>
                <w:color w:val="auto"/>
              </w:rPr>
            </w:pPr>
            <w:r>
              <w:rPr>
                <w:rFonts w:ascii="Times New Roman" w:cs="Times New Roman" w:eastAsia="Times New Roman" w:hAnsi="Times New Roman"/>
                <w:sz w:val="22"/>
                <w:szCs w:val="22"/>
                <w:color w:val="auto"/>
              </w:rPr>
              <w:t>Stephanie Wisdo, General Counsel</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7"/>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FROM:</w:t>
            </w:r>
          </w:p>
        </w:tc>
        <w:tc>
          <w:tcPr>
            <w:tcW w:w="30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5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RE:</w:t>
            </w:r>
          </w:p>
        </w:tc>
        <w:tc>
          <w:tcPr>
            <w:tcW w:w="8640" w:type="dxa"/>
            <w:vAlign w:val="bottom"/>
            <w:gridSpan w:val="7"/>
          </w:tcPr>
          <w:p>
            <w:pPr>
              <w:ind w:left="300"/>
              <w:spacing w:after="0"/>
              <w:rPr>
                <w:sz w:val="20"/>
                <w:szCs w:val="20"/>
                <w:color w:val="auto"/>
              </w:rPr>
            </w:pPr>
            <w:r>
              <w:rPr>
                <w:rFonts w:ascii="Times New Roman" w:cs="Times New Roman" w:eastAsia="Times New Roman" w:hAnsi="Times New Roman"/>
                <w:sz w:val="22"/>
                <w:szCs w:val="22"/>
                <w:color w:val="auto"/>
                <w:w w:val="98"/>
              </w:rPr>
              <w:t>INSIDER TRADING COMPLIANCE POLICY OF HARMONY BIOSCIENCES HOLDINGS,</w:t>
            </w:r>
          </w:p>
        </w:tc>
      </w:tr>
      <w:tr>
        <w:trPr>
          <w:trHeight w:val="282"/>
        </w:trPr>
        <w:tc>
          <w:tcPr>
            <w:tcW w:w="1000" w:type="dxa"/>
            <w:vAlign w:val="bottom"/>
          </w:tcPr>
          <w:p>
            <w:pPr>
              <w:spacing w:after="0"/>
              <w:rPr>
                <w:sz w:val="24"/>
                <w:szCs w:val="24"/>
                <w:color w:val="auto"/>
              </w:rPr>
            </w:pPr>
          </w:p>
        </w:tc>
        <w:tc>
          <w:tcPr>
            <w:tcW w:w="4780" w:type="dxa"/>
            <w:vAlign w:val="bottom"/>
            <w:gridSpan w:val="5"/>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bl>
    <w:p>
      <w:pPr>
        <w:spacing w:after="0" w:line="17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I have received, reviewed and understand the above-referenced Insider Trading Compliance Policy and undertake, as a condition to my present and continued employment (or, if I am not an employee, affiliation with) Harmony Biosciences Holdings, Inc., to comply fully with the policies and procedures contained therein.</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 hereby certify, to the best of my knowledge, that during the calendar year ending December 31,</w:t>
      </w:r>
    </w:p>
    <w:p>
      <w:pPr>
        <w:spacing w:after="0" w:line="14" w:lineRule="exact"/>
        <w:rPr>
          <w:sz w:val="20"/>
          <w:szCs w:val="20"/>
          <w:color w:val="auto"/>
        </w:rPr>
      </w:pPr>
    </w:p>
    <w:p>
      <w:pPr>
        <w:ind w:firstLine="8"/>
        <w:spacing w:after="0" w:line="237" w:lineRule="auto"/>
        <w:tabs>
          <w:tab w:leader="none" w:pos="58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 have complied fully with all policies and procedures set forth in the above-referenced 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-186055</wp:posOffset>
            </wp:positionV>
            <wp:extent cx="231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62922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30689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5" w:right="9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540" w:type="dxa"/>
            <w:vAlign w:val="bottom"/>
          </w:tcPr>
          <w:p>
            <w:pPr>
              <w:spacing w:after="0"/>
              <w:rPr>
                <w:sz w:val="21"/>
                <w:szCs w:val="21"/>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9"/>
                <w:szCs w:val="19"/>
                <w:b w:val="1"/>
                <w:bCs w:val="1"/>
                <w:color w:val="auto"/>
              </w:rPr>
              <w:t>Subsidiaries of Harmony Biosciences Holdings, Inc.</w:t>
            </w:r>
          </w:p>
        </w:tc>
      </w:tr>
      <w:tr>
        <w:trPr>
          <w:trHeight w:val="330"/>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7380" w:type="dxa"/>
            <w:vAlign w:val="bottom"/>
          </w:tcPr>
          <w:p>
            <w:pPr>
              <w:jc w:val="center"/>
              <w:ind w:right="2197"/>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411"/>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Harmony Biosciences, LLC</w:t>
            </w:r>
          </w:p>
        </w:tc>
        <w:tc>
          <w:tcPr>
            <w:tcW w:w="7380" w:type="dxa"/>
            <w:vAlign w:val="bottom"/>
          </w:tcPr>
          <w:p>
            <w:pPr>
              <w:jc w:val="center"/>
              <w:ind w:right="2197"/>
              <w:spacing w:after="0"/>
              <w:rPr>
                <w:sz w:val="20"/>
                <w:szCs w:val="20"/>
                <w:color w:val="auto"/>
              </w:rPr>
            </w:pPr>
            <w:r>
              <w:rPr>
                <w:rFonts w:ascii="Times New Roman" w:cs="Times New Roman" w:eastAsia="Times New Roman" w:hAnsi="Times New Roman"/>
                <w:sz w:val="16"/>
                <w:szCs w:val="16"/>
                <w:color w:val="auto"/>
              </w:rPr>
              <w:t>Delaware, USA</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Harmony Biosciences</w:t>
            </w:r>
          </w:p>
        </w:tc>
        <w:tc>
          <w:tcPr>
            <w:tcW w:w="7380" w:type="dxa"/>
            <w:vAlign w:val="bottom"/>
          </w:tcPr>
          <w:p>
            <w:pPr>
              <w:spacing w:after="0"/>
              <w:rPr>
                <w:sz w:val="17"/>
                <w:szCs w:val="17"/>
                <w:color w:val="auto"/>
              </w:rPr>
            </w:pP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Management, Inc.</w:t>
            </w:r>
          </w:p>
        </w:tc>
        <w:tc>
          <w:tcPr>
            <w:tcW w:w="7380" w:type="dxa"/>
            <w:vAlign w:val="bottom"/>
          </w:tcPr>
          <w:p>
            <w:pPr>
              <w:jc w:val="center"/>
              <w:ind w:right="2197"/>
              <w:spacing w:after="0"/>
              <w:rPr>
                <w:sz w:val="20"/>
                <w:szCs w:val="20"/>
                <w:color w:val="auto"/>
              </w:rPr>
            </w:pPr>
            <w:r>
              <w:rPr>
                <w:rFonts w:ascii="Times New Roman" w:cs="Times New Roman" w:eastAsia="Times New Roman" w:hAnsi="Times New Roman"/>
                <w:sz w:val="16"/>
                <w:szCs w:val="16"/>
                <w:color w:val="auto"/>
              </w:rPr>
              <w:t>Delaware, USA</w:t>
            </w:r>
          </w:p>
        </w:tc>
      </w:tr>
      <w:tr>
        <w:trPr>
          <w:trHeight w:val="405"/>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Zynerba Pharmaceuticals Pty Ltd</w:t>
            </w:r>
          </w:p>
        </w:tc>
        <w:tc>
          <w:tcPr>
            <w:tcW w:w="7380" w:type="dxa"/>
            <w:vAlign w:val="bottom"/>
          </w:tcPr>
          <w:p>
            <w:pPr>
              <w:jc w:val="center"/>
              <w:ind w:right="2217"/>
              <w:spacing w:after="0"/>
              <w:rPr>
                <w:sz w:val="20"/>
                <w:szCs w:val="20"/>
                <w:color w:val="auto"/>
              </w:rPr>
            </w:pPr>
            <w:r>
              <w:rPr>
                <w:rFonts w:ascii="Times New Roman" w:cs="Times New Roman" w:eastAsia="Times New Roman" w:hAnsi="Times New Roman"/>
                <w:sz w:val="16"/>
                <w:szCs w:val="16"/>
                <w:color w:val="auto"/>
              </w:rPr>
              <w:t>Australia</w:t>
            </w:r>
          </w:p>
        </w:tc>
      </w:tr>
      <w:tr>
        <w:trPr>
          <w:trHeight w:val="405"/>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Epygenix Therapeutics, Inc.</w:t>
            </w:r>
          </w:p>
        </w:tc>
        <w:tc>
          <w:tcPr>
            <w:tcW w:w="7380" w:type="dxa"/>
            <w:vAlign w:val="bottom"/>
          </w:tcPr>
          <w:p>
            <w:pPr>
              <w:jc w:val="center"/>
              <w:ind w:right="2217"/>
              <w:spacing w:after="0"/>
              <w:rPr>
                <w:sz w:val="20"/>
                <w:szCs w:val="20"/>
                <w:color w:val="auto"/>
              </w:rPr>
            </w:pPr>
            <w:r>
              <w:rPr>
                <w:rFonts w:ascii="Times New Roman" w:cs="Times New Roman" w:eastAsia="Times New Roman" w:hAnsi="Times New Roman"/>
                <w:sz w:val="16"/>
                <w:szCs w:val="16"/>
                <w:color w:val="auto"/>
                <w:w w:val="99"/>
              </w:rPr>
              <w:t>Wyoming, USA</w:t>
            </w:r>
          </w:p>
        </w:tc>
      </w:tr>
      <w:tr>
        <w:trPr>
          <w:trHeight w:val="783"/>
        </w:trPr>
        <w:tc>
          <w:tcPr>
            <w:tcW w:w="25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0" w:right="9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consent to the incorporation by reference in Registration Statements No. 333-248243, 333-26307, 333-271570 and 333-277269 on Form S-8 of our reports dated February 25, 2025, relating to the financial statements of Harmony Biosciences Holdings, Inc. and the effectiveness of Harmony Biosciences Holdings, Inc.’s internal control over financial reporting appearing in this Annual Report on Form 10-K for the year ended December 31,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M. Dayno</w:t>
            </w:r>
          </w:p>
        </w:tc>
        <w:tc>
          <w:tcPr>
            <w:tcW w:w="4880" w:type="dxa"/>
            <w:vAlign w:val="bottom"/>
          </w:tcPr>
          <w:p>
            <w:pPr>
              <w:spacing w:after="0"/>
              <w:rPr>
                <w:sz w:val="20"/>
                <w:szCs w:val="20"/>
                <w:color w:val="auto"/>
              </w:rPr>
            </w:pPr>
          </w:p>
        </w:tc>
      </w:tr>
      <w:tr>
        <w:trPr>
          <w:trHeight w:val="4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M. Dayno</w:t>
            </w:r>
          </w:p>
        </w:tc>
      </w:tr>
      <w:tr>
        <w:trPr>
          <w:trHeight w:val="216"/>
        </w:trPr>
        <w:tc>
          <w:tcPr>
            <w:tcW w:w="68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8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6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00" w:hanging="341"/>
        <w:spacing w:after="0"/>
        <w:tabs>
          <w:tab w:leader="none" w:pos="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20" w:hanging="359"/>
        <w:spacing w:after="0" w:line="260" w:lineRule="auto"/>
        <w:tabs>
          <w:tab w:leader="none" w:pos="1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00" w:right="340" w:hanging="341"/>
        <w:spacing w:after="0" w:line="265" w:lineRule="auto"/>
        <w:tabs>
          <w:tab w:leader="none" w:pos="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20" w:right="340" w:hanging="359"/>
        <w:spacing w:after="0" w:line="265" w:lineRule="auto"/>
        <w:tabs>
          <w:tab w:leader="none" w:pos="1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20" w:right="160" w:hanging="359"/>
        <w:spacing w:after="0" w:line="285" w:lineRule="auto"/>
        <w:tabs>
          <w:tab w:leader="none" w:pos="1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Sandip Kapadia</w:t>
            </w:r>
          </w:p>
        </w:tc>
        <w:tc>
          <w:tcPr>
            <w:tcW w:w="4960" w:type="dxa"/>
            <w:vAlign w:val="bottom"/>
          </w:tcPr>
          <w:p>
            <w:pPr>
              <w:spacing w:after="0"/>
              <w:rPr>
                <w:sz w:val="20"/>
                <w:szCs w:val="20"/>
                <w:color w:val="auto"/>
              </w:rPr>
            </w:pPr>
          </w:p>
        </w:tc>
      </w:tr>
      <w:tr>
        <w:trPr>
          <w:trHeight w:val="4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Sandip Kapadia</w:t>
            </w:r>
          </w:p>
        </w:tc>
      </w:tr>
      <w:tr>
        <w:trPr>
          <w:trHeight w:val="216"/>
        </w:trPr>
        <w:tc>
          <w:tcPr>
            <w:tcW w:w="66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r>
      <w:tr>
        <w:trPr>
          <w:trHeight w:val="234"/>
        </w:trPr>
        <w:tc>
          <w:tcPr>
            <w:tcW w:w="66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776"/>
        </w:trPr>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2025</w:t>
      </w:r>
    </w:p>
    <w:p>
      <w:pPr>
        <w:spacing w:after="0" w:line="1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-1905</wp:posOffset>
            </wp:positionV>
            <wp:extent cx="28289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Name: Jeffrey M. Dayno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Chief Executive Officer and Director</w:t>
      </w:r>
    </w:p>
    <w:p>
      <w:pPr>
        <w:ind w:left="58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February 25, 2025</w:t>
      </w:r>
    </w:p>
    <w:p>
      <w:pPr>
        <w:spacing w:after="0" w:line="1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Sandip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wp:posOffset>
            </wp:positionV>
            <wp:extent cx="28289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Name: Sandip Kapadia</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Financial Officer and Chief Administrative Officer</w:t>
      </w:r>
    </w:p>
    <w:p>
      <w:pPr>
        <w:ind w:left="600"/>
        <w:spacing w:after="0" w:line="234" w:lineRule="auto"/>
        <w:rPr>
          <w:sz w:val="20"/>
          <w:szCs w:val="20"/>
          <w:color w:val="auto"/>
        </w:rPr>
      </w:pPr>
      <w:r>
        <w:rPr>
          <w:rFonts w:ascii="Arial" w:cs="Arial" w:eastAsia="Arial" w:hAnsi="Arial"/>
          <w:sz w:val="18"/>
          <w:szCs w:val="18"/>
          <w:color w:val="auto"/>
        </w:rPr>
        <w:t>(Principal Financial Officer and Principal Accounting</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Officer)</w:t>
      </w:r>
    </w:p>
    <w:p>
      <w:pPr>
        <w:spacing w:after="0" w:line="180"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1" w:name="page152"/>
    <w:bookmarkEnd w:id="151"/>
    <w:p>
      <w:pPr>
        <w:ind w:left="7820"/>
        <w:spacing w:after="0"/>
        <w:rPr>
          <w:sz w:val="20"/>
          <w:szCs w:val="20"/>
          <w:color w:val="auto"/>
        </w:rPr>
      </w:pPr>
      <w:r>
        <w:rPr>
          <w:rFonts w:ascii="Calibri" w:cs="Calibri" w:eastAsia="Calibri" w:hAnsi="Calibri"/>
          <w:sz w:val="20"/>
          <w:szCs w:val="20"/>
          <w:b w:val="1"/>
          <w:bCs w:val="1"/>
          <w:color w:val="auto"/>
        </w:rPr>
        <w:t>Exhibit 97.1</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HARMONY BIOSCIENCES HOLDINGS,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1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Harmony Biosciences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73" w:lineRule="exact"/>
        <w:rPr>
          <w:sz w:val="20"/>
          <w:szCs w:val="20"/>
          <w:color w:val="auto"/>
        </w:rPr>
      </w:pPr>
    </w:p>
    <w:p>
      <w:pPr>
        <w:ind w:left="860" w:hanging="651"/>
        <w:spacing w:after="0"/>
        <w:tabs>
          <w:tab w:leader="none" w:pos="8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Policy shall apply to current and former Officers. Each Officer shall be required to sign an Acknowledgment Agreement pursuant to which such Officer will agree to be bound by the terms of, and comply with, this Policy; however, any Officer’s failure to sign any such Acknowledgment Agreement shall not negate the application of this Policy to the Officer.</w:t>
      </w:r>
    </w:p>
    <w:p>
      <w:pPr>
        <w:spacing w:after="0" w:line="175" w:lineRule="exact"/>
        <w:rPr>
          <w:sz w:val="20"/>
          <w:szCs w:val="20"/>
          <w:color w:val="auto"/>
        </w:rPr>
      </w:pPr>
    </w:p>
    <w:p>
      <w:pPr>
        <w:ind w:left="860" w:hanging="651"/>
        <w:spacing w:after="0"/>
        <w:tabs>
          <w:tab w:leader="none" w:pos="86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83" w:lineRule="exact"/>
        <w:rPr>
          <w:sz w:val="20"/>
          <w:szCs w:val="20"/>
          <w:color w:val="auto"/>
        </w:rPr>
      </w:pPr>
    </w:p>
    <w:p>
      <w:pPr>
        <w:ind w:left="860" w:hanging="651"/>
        <w:spacing w:after="0"/>
        <w:tabs>
          <w:tab w:leader="none" w:pos="8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24"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21"/>
          <w:szCs w:val="21"/>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860" w:hanging="651"/>
        <w:spacing w:after="0"/>
        <w:tabs>
          <w:tab w:leader="none" w:pos="86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solely time-vesting equity awards, reimbursement or repayment by any person subject to this Policy of the Erroneously Awarded Compensation, and, to the extent permitted by law, an offset of the Erroneously Awarded Compensation against other</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2" w:name="page153"/>
    <w:bookmarkEnd w:id="152"/>
    <w:p>
      <w:pPr>
        <w:jc w:val="both"/>
        <w:ind w:left="200" w:right="219"/>
        <w:spacing w:after="0" w:line="247" w:lineRule="auto"/>
        <w:rPr>
          <w:sz w:val="20"/>
          <w:szCs w:val="20"/>
          <w:color w:val="auto"/>
        </w:rPr>
      </w:pPr>
      <w:r>
        <w:rPr>
          <w:rFonts w:ascii="Times New Roman" w:cs="Times New Roman" w:eastAsia="Times New Roman" w:hAnsi="Times New Roman"/>
          <w:sz w:val="22"/>
          <w:szCs w:val="22"/>
          <w:color w:val="auto"/>
        </w:rPr>
        <w:t>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81" w:lineRule="exact"/>
        <w:rPr>
          <w:sz w:val="20"/>
          <w:szCs w:val="20"/>
          <w:color w:val="auto"/>
        </w:rPr>
      </w:pPr>
    </w:p>
    <w:p>
      <w:pPr>
        <w:ind w:left="860" w:hanging="651"/>
        <w:spacing w:after="0"/>
        <w:tabs>
          <w:tab w:leader="none" w:pos="86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3" w:lineRule="exact"/>
        <w:rPr>
          <w:sz w:val="20"/>
          <w:szCs w:val="20"/>
          <w:color w:val="auto"/>
        </w:rPr>
      </w:pPr>
    </w:p>
    <w:p>
      <w:pPr>
        <w:ind w:left="860" w:hanging="651"/>
        <w:spacing w:after="0"/>
        <w:tabs>
          <w:tab w:leader="none" w:pos="86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75" w:lineRule="exact"/>
        <w:rPr>
          <w:sz w:val="20"/>
          <w:szCs w:val="20"/>
          <w:color w:val="auto"/>
        </w:rPr>
      </w:pPr>
    </w:p>
    <w:p>
      <w:pPr>
        <w:ind w:left="860" w:hanging="651"/>
        <w:spacing w:after="0"/>
        <w:tabs>
          <w:tab w:leader="none" w:pos="86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83" w:lineRule="exact"/>
        <w:rPr>
          <w:sz w:val="20"/>
          <w:szCs w:val="20"/>
          <w:color w:val="auto"/>
        </w:rPr>
      </w:pPr>
    </w:p>
    <w:p>
      <w:pPr>
        <w:ind w:left="860" w:hanging="651"/>
        <w:spacing w:after="0"/>
        <w:tabs>
          <w:tab w:leader="none" w:pos="8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24"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1"/>
          <w:szCs w:val="21"/>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699770</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53" w:name="page154"/>
    <w:bookmarkEnd w:id="153"/>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77" w:lineRule="exact"/>
        <w:rPr>
          <w:sz w:val="20"/>
          <w:szCs w:val="20"/>
          <w:color w:val="auto"/>
        </w:rPr>
      </w:pPr>
    </w:p>
    <w:p>
      <w:pPr>
        <w:ind w:left="860" w:hanging="651"/>
        <w:spacing w:after="0"/>
        <w:tabs>
          <w:tab w:leader="none" w:pos="8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2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7" w:lineRule="exact"/>
        <w:rPr>
          <w:sz w:val="20"/>
          <w:szCs w:val="20"/>
          <w:color w:val="auto"/>
        </w:rPr>
      </w:pPr>
    </w:p>
    <w:p>
      <w:pPr>
        <w:ind w:left="860" w:hanging="651"/>
        <w:spacing w:after="0"/>
        <w:tabs>
          <w:tab w:leader="none" w:pos="86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89" w:lineRule="exact"/>
        <w:rPr>
          <w:sz w:val="20"/>
          <w:szCs w:val="20"/>
          <w:color w:val="auto"/>
        </w:rPr>
      </w:pPr>
    </w:p>
    <w:p>
      <w:pPr>
        <w:ind w:left="860" w:hanging="651"/>
        <w:spacing w:after="0"/>
        <w:tabs>
          <w:tab w:leader="none" w:pos="8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64"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2"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708660</wp:posOffset>
            </wp:positionV>
            <wp:extent cx="5452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54" w:name="page155"/>
    <w:bookmarkEnd w:id="154"/>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ind w:left="200" w:right="219"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47" w:lineRule="exact"/>
        <w:rPr>
          <w:sz w:val="20"/>
          <w:szCs w:val="20"/>
          <w:color w:val="auto"/>
        </w:rPr>
      </w:pPr>
    </w:p>
    <w:p>
      <w:pPr>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has</w:t>
      </w:r>
    </w:p>
    <w:p>
      <w:pPr>
        <w:spacing w:after="0" w:line="1" w:lineRule="exact"/>
        <w:rPr>
          <w:sz w:val="20"/>
          <w:szCs w:val="20"/>
          <w:color w:val="auto"/>
        </w:rPr>
      </w:pPr>
    </w:p>
    <w:p>
      <w:pPr>
        <w:jc w:val="both"/>
        <w:ind w:left="200" w:right="219" w:firstLine="9"/>
        <w:spacing w:after="0" w:line="243" w:lineRule="auto"/>
        <w:tabs>
          <w:tab w:leader="none" w:pos="47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9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75" w:lineRule="exact"/>
        <w:rPr>
          <w:sz w:val="20"/>
          <w:szCs w:val="20"/>
          <w:color w:val="auto"/>
        </w:rPr>
      </w:pPr>
    </w:p>
    <w:p>
      <w:pPr>
        <w:jc w:val="both"/>
        <w:ind w:left="200" w:right="219"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708660</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55" w:name="page156"/>
    <w:bookmarkEnd w:id="155"/>
    <w:p>
      <w:pPr>
        <w:ind w:left="7820"/>
        <w:spacing w:after="0"/>
        <w:rPr>
          <w:sz w:val="20"/>
          <w:szCs w:val="20"/>
          <w:color w:val="auto"/>
        </w:rPr>
      </w:pPr>
      <w:r>
        <w:rPr>
          <w:rFonts w:ascii="Calibri" w:cs="Calibri" w:eastAsia="Calibri" w:hAnsi="Calibri"/>
          <w:sz w:val="20"/>
          <w:szCs w:val="20"/>
          <w:b w:val="1"/>
          <w:bCs w:val="1"/>
          <w:color w:val="auto"/>
        </w:rPr>
        <w:t>Exhibit 97.1</w:t>
      </w: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ACKNOWLEDGMENT AND CONSENT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0" w:lineRule="exact"/>
        <w:rPr>
          <w:sz w:val="20"/>
          <w:szCs w:val="20"/>
          <w:color w:val="auto"/>
        </w:rPr>
      </w:pPr>
    </w:p>
    <w:p>
      <w:pPr>
        <w:spacing w:after="0" w:line="223" w:lineRule="exact"/>
        <w:rPr>
          <w:sz w:val="20"/>
          <w:szCs w:val="20"/>
          <w:color w:val="auto"/>
        </w:rPr>
      </w:pPr>
    </w:p>
    <w:p>
      <w:pPr>
        <w:jc w:val="both"/>
        <w:ind w:left="200" w:right="219"/>
        <w:spacing w:after="0" w:line="296" w:lineRule="auto"/>
        <w:rPr>
          <w:sz w:val="20"/>
          <w:szCs w:val="20"/>
          <w:color w:val="auto"/>
        </w:rPr>
      </w:pPr>
      <w:r>
        <w:rPr>
          <w:rFonts w:ascii="Times New Roman" w:cs="Times New Roman" w:eastAsia="Times New Roman" w:hAnsi="Times New Roman"/>
          <w:sz w:val="22"/>
          <w:szCs w:val="22"/>
          <w:color w:val="auto"/>
        </w:rPr>
        <w:t>The undersigned has received a copy of the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adopted by Harmony Biosciences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78" w:lineRule="exact"/>
        <w:rPr>
          <w:sz w:val="20"/>
          <w:szCs w:val="20"/>
          <w:color w:val="auto"/>
        </w:rPr>
      </w:pPr>
    </w:p>
    <w:p>
      <w:pPr>
        <w:jc w:val="both"/>
        <w:ind w:left="200" w:right="219"/>
        <w:spacing w:after="0" w:line="262" w:lineRule="auto"/>
        <w:rPr>
          <w:sz w:val="20"/>
          <w:szCs w:val="20"/>
          <w:color w:val="auto"/>
        </w:rPr>
      </w:pPr>
      <w:r>
        <w:rPr>
          <w:rFonts w:ascii="Times New Roman" w:cs="Times New Roman" w:eastAsia="Times New Roman" w:hAnsi="Times New Roman"/>
          <w:sz w:val="22"/>
          <w:szCs w:val="22"/>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ectPr>
          <w:pgSz w:w="11900" w:h="16838" w:orient="portrait"/>
          <w:cols w:equalWidth="0" w:num="1">
            <w:col w:w="9019"/>
          </w:cols>
          <w:pgMar w:left="14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sectPr>
          <w:pgSz w:w="11900" w:h="16838" w:orient="portrait"/>
          <w:cols w:equalWidth="0" w:num="2">
            <w:col w:w="2360" w:space="320"/>
            <w:col w:w="6339"/>
          </w:cols>
          <w:pgMar w:left="1440" w:top="646"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11" w:lineRule="exact"/>
        <w:rPr>
          <w:sz w:val="20"/>
          <w:szCs w:val="20"/>
          <w:color w:val="auto"/>
        </w:rPr>
      </w:pPr>
    </w:p>
    <w:p>
      <w:pPr>
        <w:sectPr>
          <w:pgSz w:w="11900" w:h="16838" w:orient="portrait"/>
          <w:cols w:equalWidth="0" w:num="2">
            <w:col w:w="1960" w:space="720"/>
            <w:col w:w="6339"/>
          </w:cols>
          <w:pgMar w:left="1440" w:top="646" w:right="1440" w:bottom="1440" w:gutter="0" w:footer="0" w:header="0"/>
          <w:type w:val="continuous"/>
        </w:sectPr>
      </w:pPr>
    </w:p>
    <w:p>
      <w:pPr>
        <w:spacing w:after="0" w:line="38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38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64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64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o"/>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1)"/>
      <w:numFmt w:val="decimal"/>
      <w:start w:val="1"/>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decimal"/>
      <w:start w:val="3"/>
    </w:lvl>
  </w:abstractNum>
  <w:abstractNum w:abstractNumId="51">
    <w:nsid w:val="CC1016F"/>
    <w:multiLevelType w:val="hybridMultilevel"/>
    <w:lvl w:ilvl="0">
      <w:lvlJc w:val="left"/>
      <w:lvlText w:val="(%1)"/>
      <w:numFmt w:val="lowerRoman"/>
      <w:start w:val="1"/>
    </w:lvl>
  </w:abstractNum>
  <w:abstractNum w:abstractNumId="52">
    <w:nsid w:val="43F18422"/>
    <w:multiLevelType w:val="hybridMultilevel"/>
    <w:lvl w:ilvl="0">
      <w:lvlJc w:val="left"/>
      <w:lvlText w:val="%1."/>
      <w:numFmt w:val="decimal"/>
      <w:start w:val="13"/>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1."/>
      <w:numFmt w:val="decimal"/>
      <w:start w:val="14"/>
    </w:lvl>
  </w:abstractNum>
  <w:abstractNum w:abstractNumId="55">
    <w:nsid w:val="7F01579B"/>
    <w:multiLevelType w:val="hybridMultilevel"/>
    <w:lvl w:ilvl="0">
      <w:lvlJc w:val="left"/>
      <w:lvlText w:val="%1."/>
      <w:numFmt w:val="decimal"/>
      <w:start w:val="15"/>
    </w:lvl>
  </w:abstractNum>
  <w:abstractNum w:abstractNumId="56">
    <w:nsid w:val="49DA307D"/>
    <w:multiLevelType w:val="hybridMultilevel"/>
    <w:lvl w:ilvl="0">
      <w:lvlJc w:val="left"/>
      <w:lvlText w:val="%1"/>
      <w:numFmt w:val="decimal"/>
      <w:start w:val="1"/>
    </w:lvl>
    <w:lvl w:ilvl="1">
      <w:lvlJc w:val="left"/>
      <w:lvlText w:val="(%2)"/>
      <w:numFmt w:val="lowerLetter"/>
      <w:start w:val="1"/>
    </w:lvl>
  </w:abstractNum>
  <w:abstractNum w:abstractNumId="57">
    <w:nsid w:val="7055A5F5"/>
    <w:multiLevelType w:val="hybridMultilevel"/>
    <w:lvl w:ilvl="0">
      <w:lvlJc w:val="left"/>
      <w:lvlText w:val="%1."/>
      <w:numFmt w:val="decimal"/>
      <w:start w:val="17"/>
    </w:lvl>
    <w:lvl w:ilvl="1">
      <w:lvlJc w:val="left"/>
      <w:lvlText w:val="%2"/>
      <w:numFmt w:val="lowerLetter"/>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1."/>
      <w:numFmt w:val="upperLetter"/>
      <w:start w:val="9"/>
    </w:lvl>
  </w:abstractNum>
  <w:abstractNum w:abstractNumId="62">
    <w:nsid w:val="6AA78F7F"/>
    <w:multiLevelType w:val="hybridMultilevel"/>
    <w:lvl w:ilvl="0">
      <w:lvlJc w:val="left"/>
      <w:lvlText w:val="%1."/>
      <w:numFmt w:val="upperLetter"/>
      <w:start w:val="35"/>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1."/>
      <w:numFmt w:val="upperLetter"/>
      <w:start w:val="6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1."/>
      <w:numFmt w:val="upperLetter"/>
      <w:start w:val="1"/>
    </w:lvl>
  </w:abstractNum>
  <w:abstractNum w:abstractNumId="70">
    <w:nsid w:val="555C55B5"/>
    <w:multiLevelType w:val="hybridMultilevel"/>
    <w:lvl w:ilvl="0">
      <w:lvlJc w:val="left"/>
      <w:lvlText w:val="%1."/>
      <w:numFmt w:val="upperLetter"/>
      <w:start w:val="2"/>
    </w:lvl>
  </w:abstractNum>
  <w:abstractNum w:abstractNumId="71">
    <w:nsid w:val="3FA62ACA"/>
    <w:multiLevelType w:val="hybridMultilevel"/>
    <w:lvl w:ilvl="0">
      <w:lvlJc w:val="left"/>
      <w:lvlText w:val="%1."/>
      <w:numFmt w:val="upperLetter"/>
      <w:start w:val="3"/>
    </w:lvl>
  </w:abstractNum>
  <w:abstractNum w:abstractNumId="72">
    <w:nsid w:val="14FCE74E"/>
    <w:multiLevelType w:val="hybridMultilevel"/>
    <w:lvl w:ilvl="0">
      <w:lvlJc w:val="left"/>
      <w:lvlText w:val="%1."/>
      <w:numFmt w:val="upperLetter"/>
      <w:start w:val="4"/>
    </w:lvl>
  </w:abstractNum>
  <w:abstractNum w:abstractNumId="73">
    <w:nsid w:val="6A3DD3E8"/>
    <w:multiLevelType w:val="hybridMultilevel"/>
    <w:lvl w:ilvl="0">
      <w:lvlJc w:val="left"/>
      <w:lvlText w:val="%1."/>
      <w:numFmt w:val="upperLetter"/>
      <w:start w:val="5"/>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1."/>
      <w:numFmt w:val="upperLetter"/>
      <w:start w:val="6"/>
    </w:lvl>
  </w:abstractNum>
  <w:abstractNum w:abstractNumId="77">
    <w:nsid w:val="1FBFE8E0"/>
    <w:multiLevelType w:val="hybridMultilevel"/>
    <w:lvl w:ilvl="0">
      <w:lvlJc w:val="left"/>
      <w:lvlText w:val="%1."/>
      <w:numFmt w:val="upperLetter"/>
      <w:start w:val="7"/>
    </w:lvl>
  </w:abstractNum>
  <w:abstractNum w:abstractNumId="78">
    <w:nsid w:val="5092CA79"/>
    <w:multiLevelType w:val="hybridMultilevel"/>
    <w:lvl w:ilvl="0">
      <w:lvlJc w:val="left"/>
      <w:lvlText w:val="%1."/>
      <w:numFmt w:val="upperLetter"/>
      <w:start w:val="8"/>
    </w:lvl>
  </w:abstractNum>
  <w:abstractNum w:abstractNumId="79">
    <w:nsid w:val="1D545C4D"/>
    <w:multiLevelType w:val="hybridMultilevel"/>
    <w:lvl w:ilvl="0">
      <w:lvlJc w:val="left"/>
      <w:lvlText w:val="%1."/>
      <w:numFmt w:val="upperLetter"/>
      <w:start w:val="1"/>
    </w:lvl>
  </w:abstractNum>
  <w:abstractNum w:abstractNumId="80">
    <w:nsid w:val="59ADEA3D"/>
    <w:multiLevelType w:val="hybridMultilevel"/>
    <w:lvl w:ilvl="0">
      <w:lvlJc w:val="left"/>
      <w:lvlText w:val="%1."/>
      <w:numFmt w:val="upperLetter"/>
      <w:start w:val="2"/>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1."/>
      <w:numFmt w:val="upperLetter"/>
      <w:start w:val="3"/>
    </w:lvl>
  </w:abstractNum>
  <w:abstractNum w:abstractNumId="83">
    <w:nsid w:val="1D9F6E5F"/>
    <w:multiLevelType w:val="hybridMultilevel"/>
    <w:lvl w:ilvl="0">
      <w:lvlJc w:val="left"/>
      <w:lvlText w:val="%1."/>
      <w:numFmt w:val="upperLetter"/>
      <w:start w:val="4"/>
    </w:lvl>
  </w:abstractNum>
  <w:abstractNum w:abstractNumId="84">
    <w:nsid w:val="97E1B4E"/>
    <w:multiLevelType w:val="hybridMultilevel"/>
    <w:lvl w:ilvl="0">
      <w:lvlJc w:val="left"/>
      <w:lvlText w:val="%1."/>
      <w:numFmt w:val="decimal"/>
      <w:start w:val="1"/>
    </w:lvl>
  </w:abstractNum>
  <w:abstractNum w:abstractNumId="85">
    <w:nsid w:val="51088277"/>
    <w:multiLevelType w:val="hybridMultilevel"/>
    <w:lvl w:ilvl="0">
      <w:lvlJc w:val="left"/>
      <w:lvlText w:val="%1."/>
      <w:numFmt w:val="decimal"/>
      <w:start w:val="2"/>
    </w:lvl>
  </w:abstractNum>
  <w:abstractNum w:abstractNumId="86">
    <w:nsid w:val="1CA0C5FA"/>
    <w:multiLevelType w:val="hybridMultilevel"/>
    <w:lvl w:ilvl="0">
      <w:lvlJc w:val="left"/>
      <w:lvlText w:val="%1."/>
      <w:numFmt w:val="upperLetter"/>
      <w:start w:val="5"/>
    </w:lvl>
  </w:abstractNum>
  <w:abstractNum w:abstractNumId="87">
    <w:nsid w:val="53584BCB"/>
    <w:multiLevelType w:val="hybridMultilevel"/>
    <w:lvl w:ilvl="0">
      <w:lvlJc w:val="left"/>
      <w:lvlText w:val="●"/>
      <w:numFmt w:val="bullet"/>
      <w:start w:val="1"/>
    </w:lvl>
  </w:abstractNum>
  <w:abstractNum w:abstractNumId="88">
    <w:nsid w:val="415E286C"/>
    <w:multiLevelType w:val="hybridMultilevel"/>
    <w:lvl w:ilvl="0">
      <w:lvlJc w:val="left"/>
      <w:lvlText w:val="%1."/>
      <w:numFmt w:val="upperLetter"/>
      <w:start w:val="22"/>
    </w:lvl>
  </w:abstractNum>
  <w:abstractNum w:abstractNumId="89">
    <w:nsid w:val="7C58FD05"/>
    <w:multiLevelType w:val="hybridMultilevel"/>
    <w:lvl w:ilvl="0">
      <w:lvlJc w:val="left"/>
      <w:lvlText w:val="%1."/>
      <w:numFmt w:val="upperLetter"/>
      <w:start w:val="1"/>
    </w:lvl>
  </w:abstractNum>
  <w:abstractNum w:abstractNumId="90">
    <w:nsid w:val="23D86AAC"/>
    <w:multiLevelType w:val="hybridMultilevel"/>
    <w:lvl w:ilvl="0">
      <w:lvlJc w:val="left"/>
      <w:lvlText w:val="%1."/>
      <w:numFmt w:val="upperLetter"/>
      <w:start w:val="2"/>
    </w:lvl>
  </w:abstractNum>
  <w:abstractNum w:abstractNumId="91">
    <w:nsid w:val="45E6D486"/>
    <w:multiLevelType w:val="hybridMultilevel"/>
    <w:lvl w:ilvl="0">
      <w:lvlJc w:val="left"/>
      <w:lvlText w:val="%1."/>
      <w:numFmt w:val="upperLetter"/>
      <w:start w:val="3"/>
    </w:lvl>
  </w:abstractNum>
  <w:abstractNum w:abstractNumId="92">
    <w:nsid w:val="5C10FE21"/>
    <w:multiLevelType w:val="hybridMultilevel"/>
    <w:lvl w:ilvl="0">
      <w:lvlJc w:val="left"/>
      <w:lvlText w:val="%1."/>
      <w:numFmt w:val="upperLetter"/>
      <w:start w:val="4"/>
    </w:lvl>
  </w:abstractNum>
  <w:abstractNum w:abstractNumId="93">
    <w:nsid w:val="E7FFA2B"/>
    <w:multiLevelType w:val="hybridMultilevel"/>
    <w:lvl w:ilvl="0">
      <w:lvlJc w:val="left"/>
      <w:lvlText w:val="%1."/>
      <w:numFmt w:val="upperLetter"/>
      <w:start w:val="5"/>
    </w:lvl>
  </w:abstractNum>
  <w:abstractNum w:abstractNumId="94">
    <w:nsid w:val="3C5991AA"/>
    <w:multiLevelType w:val="hybridMultilevel"/>
    <w:lvl w:ilvl="0">
      <w:lvlJc w:val="left"/>
      <w:lvlText w:val="%1."/>
      <w:numFmt w:val="upperLetter"/>
      <w:start w:val="6"/>
    </w:lvl>
  </w:abstractNum>
  <w:abstractNum w:abstractNumId="95">
    <w:nsid w:val="4BD8591A"/>
    <w:multiLevelType w:val="hybridMultilevel"/>
    <w:lvl w:ilvl="0">
      <w:lvlJc w:val="left"/>
      <w:lvlText w:val="%1."/>
      <w:numFmt w:val="upperLetter"/>
      <w:start w:val="4"/>
    </w:lvl>
  </w:abstractNum>
  <w:abstractNum w:abstractNumId="96">
    <w:nsid w:val="78DF6A55"/>
    <w:multiLevelType w:val="hybridMultilevel"/>
    <w:lvl w:ilvl="0">
      <w:lvlJc w:val="left"/>
      <w:lvlText w:val="%1."/>
      <w:numFmt w:val="upperLetter"/>
      <w:start w:val="1"/>
    </w:lvl>
  </w:abstractNum>
  <w:abstractNum w:abstractNumId="97">
    <w:nsid w:val="39B7AAA2"/>
    <w:multiLevelType w:val="hybridMultilevel"/>
    <w:lvl w:ilvl="0">
      <w:lvlJc w:val="left"/>
      <w:lvlText w:val="%1."/>
      <w:numFmt w:val="decimal"/>
      <w:start w:val="1"/>
    </w:lvl>
  </w:abstractNum>
  <w:abstractNum w:abstractNumId="98">
    <w:nsid w:val="2B0D8DBE"/>
    <w:multiLevelType w:val="hybridMultilevel"/>
    <w:lvl w:ilvl="0">
      <w:lvlJc w:val="left"/>
      <w:lvlText w:val="●"/>
      <w:numFmt w:val="bullet"/>
      <w:start w:val="1"/>
    </w:lvl>
    <w:lvl w:ilvl="1">
      <w:lvlJc w:val="left"/>
      <w:lvlText w:val="●"/>
      <w:numFmt w:val="bullet"/>
      <w:start w:val="1"/>
    </w:lvl>
  </w:abstractNum>
  <w:abstractNum w:abstractNumId="99">
    <w:nsid w:val="6C80EC70"/>
    <w:multiLevelType w:val="hybridMultilevel"/>
    <w:lvl w:ilvl="0">
      <w:lvlJc w:val="left"/>
      <w:lvlText w:val="%1."/>
      <w:numFmt w:val="decimal"/>
      <w:start w:val="2"/>
    </w:lvl>
  </w:abstractNum>
  <w:abstractNum w:abstractNumId="100">
    <w:nsid w:val="379E21B5"/>
    <w:multiLevelType w:val="hybridMultilevel"/>
    <w:lvl w:ilvl="0">
      <w:lvlJc w:val="left"/>
      <w:lvlText w:val="%1."/>
      <w:numFmt w:val="decimal"/>
      <w:start w:val="3"/>
    </w:lvl>
  </w:abstractNum>
  <w:abstractNum w:abstractNumId="101">
    <w:nsid w:val="69E373"/>
    <w:multiLevelType w:val="hybridMultilevel"/>
    <w:lvl w:ilvl="0">
      <w:lvlJc w:val="left"/>
      <w:lvlText w:val="%1."/>
      <w:numFmt w:val="decimal"/>
      <w:start w:val="4"/>
    </w:lvl>
  </w:abstractNum>
  <w:abstractNum w:abstractNumId="102">
    <w:nsid w:val="2C27173B"/>
    <w:multiLevelType w:val="hybridMultilevel"/>
    <w:lvl w:ilvl="0">
      <w:lvlJc w:val="left"/>
      <w:lvlText w:val="%1."/>
      <w:numFmt w:val="decimal"/>
      <w:start w:val="5"/>
    </w:lvl>
  </w:abstractNum>
  <w:abstractNum w:abstractNumId="103">
    <w:nsid w:val="4C9B0904"/>
    <w:multiLevelType w:val="hybridMultilevel"/>
    <w:lvl w:ilvl="0">
      <w:lvlJc w:val="left"/>
      <w:lvlText w:val="%1."/>
      <w:numFmt w:val="decimal"/>
      <w:start w:val="6"/>
    </w:lvl>
  </w:abstractNum>
  <w:abstractNum w:abstractNumId="104">
    <w:nsid w:val="6AA7B75C"/>
    <w:multiLevelType w:val="hybridMultilevel"/>
    <w:lvl w:ilvl="0">
      <w:lvlJc w:val="left"/>
      <w:lvlText w:val="%1."/>
      <w:numFmt w:val="decimal"/>
      <w:start w:val="7"/>
    </w:lvl>
  </w:abstractNum>
  <w:abstractNum w:abstractNumId="105">
    <w:nsid w:val="1DF029D3"/>
    <w:multiLevelType w:val="hybridMultilevel"/>
    <w:lvl w:ilvl="0">
      <w:lvlJc w:val="left"/>
      <w:lvlText w:val="%1."/>
      <w:numFmt w:val="decimal"/>
      <w:start w:val="8"/>
    </w:lvl>
  </w:abstractNum>
  <w:abstractNum w:abstractNumId="106">
    <w:nsid w:val="5675FF36"/>
    <w:multiLevelType w:val="hybridMultilevel"/>
    <w:lvl w:ilvl="0">
      <w:lvlJc w:val="left"/>
      <w:lvlText w:val="%1."/>
      <w:numFmt w:val="decimal"/>
      <w:start w:val="9"/>
    </w:lvl>
  </w:abstractNum>
  <w:abstractNum w:abstractNumId="107">
    <w:nsid w:val="3DD15094"/>
    <w:multiLevelType w:val="hybridMultilevel"/>
    <w:lvl w:ilvl="0">
      <w:lvlJc w:val="left"/>
      <w:lvlText w:val="%1."/>
      <w:numFmt w:val="decimal"/>
      <w:start w:val="10"/>
    </w:lvl>
  </w:abstractNum>
  <w:abstractNum w:abstractNumId="108">
    <w:nsid w:val="3DB012B3"/>
    <w:multiLevelType w:val="hybridMultilevel"/>
    <w:lvl w:ilvl="0">
      <w:lvlJc w:val="left"/>
      <w:lvlText w:val="%1."/>
      <w:numFmt w:val="upperLetter"/>
      <w:start w:val="2"/>
    </w:lvl>
  </w:abstractNum>
  <w:abstractNum w:abstractNumId="109">
    <w:nsid w:val="2708C9AF"/>
    <w:multiLevelType w:val="hybridMultilevel"/>
    <w:lvl w:ilvl="0">
      <w:lvlJc w:val="left"/>
      <w:lvlText w:val="%1."/>
      <w:numFmt w:val="decimal"/>
      <w:start w:val="1"/>
    </w:lvl>
  </w:abstractNum>
  <w:abstractNum w:abstractNumId="110">
    <w:nsid w:val="5B25ACE2"/>
    <w:multiLevelType w:val="hybridMultilevel"/>
    <w:lvl w:ilvl="0">
      <w:lvlJc w:val="left"/>
      <w:lvlText w:val="%1."/>
      <w:numFmt w:val="decimal"/>
      <w:start w:val="2"/>
    </w:lvl>
  </w:abstractNum>
  <w:abstractNum w:abstractNumId="111">
    <w:nsid w:val="175DFCF0"/>
    <w:multiLevelType w:val="hybridMultilevel"/>
    <w:lvl w:ilvl="0">
      <w:lvlJc w:val="left"/>
      <w:lvlText w:val="%1."/>
      <w:numFmt w:val="decimal"/>
      <w:start w:val="3"/>
    </w:lvl>
  </w:abstractNum>
  <w:abstractNum w:abstractNumId="112">
    <w:nsid w:val="4F97E3E4"/>
    <w:multiLevelType w:val="hybridMultilevel"/>
    <w:lvl w:ilvl="0">
      <w:lvlJc w:val="left"/>
      <w:lvlText w:val="%1."/>
      <w:numFmt w:val="upperLetter"/>
      <w:start w:val="3"/>
    </w:lvl>
  </w:abstractNum>
  <w:abstractNum w:abstractNumId="113">
    <w:nsid w:val="53B0A9E"/>
    <w:multiLevelType w:val="hybridMultilevel"/>
    <w:lvl w:ilvl="0">
      <w:lvlJc w:val="left"/>
      <w:lvlText w:val="●"/>
      <w:numFmt w:val="bullet"/>
      <w:start w:val="1"/>
    </w:lvl>
  </w:abstractNum>
  <w:abstractNum w:abstractNumId="114">
    <w:nsid w:val="34FD6B4F"/>
    <w:multiLevelType w:val="hybridMultilevel"/>
    <w:lvl w:ilvl="0">
      <w:lvlJc w:val="left"/>
      <w:lvlText w:val="●"/>
      <w:numFmt w:val="bullet"/>
      <w:start w:val="1"/>
    </w:lvl>
  </w:abstractNum>
  <w:abstractNum w:abstractNumId="115">
    <w:nsid w:val="5915FF32"/>
    <w:multiLevelType w:val="hybridMultilevel"/>
    <w:lvl w:ilvl="0">
      <w:lvlJc w:val="left"/>
      <w:lvlText w:val="%1."/>
      <w:numFmt w:val="decimal"/>
      <w:start w:val="1"/>
    </w:lvl>
  </w:abstractNum>
  <w:abstractNum w:abstractNumId="116">
    <w:nsid w:val="56438D15"/>
    <w:multiLevelType w:val="hybridMultilevel"/>
    <w:lvl w:ilvl="0">
      <w:lvlJc w:val="left"/>
      <w:lvlText w:val="%1."/>
      <w:numFmt w:val="decimal"/>
      <w:start w:val="1"/>
    </w:lvl>
  </w:abstractNum>
  <w:abstractNum w:abstractNumId="117">
    <w:nsid w:val="519E3149"/>
    <w:multiLevelType w:val="hybridMultilevel"/>
    <w:lvl w:ilvl="0">
      <w:lvlJc w:val="left"/>
      <w:lvlText w:val="%1"/>
      <w:numFmt w:val="decimal"/>
      <w:start w:val="20"/>
    </w:lvl>
  </w:abstractNum>
  <w:abstractNum w:abstractNumId="118">
    <w:nsid w:val="2C6E4AFD"/>
    <w:multiLevelType w:val="hybridMultilevel"/>
    <w:lvl w:ilvl="0">
      <w:lvlJc w:val="left"/>
      <w:lvlText w:val="%1."/>
      <w:numFmt w:val="decimal"/>
      <w:start w:val="1"/>
    </w:lvl>
    <w:lvl w:ilvl="1">
      <w:lvlJc w:val="left"/>
      <w:lvlText w:val="(%2)"/>
      <w:numFmt w:val="lowerLetter"/>
      <w:start w:val="1"/>
    </w:lvl>
  </w:abstractNum>
  <w:abstractNum w:abstractNumId="119">
    <w:nsid w:val="17A1B582"/>
    <w:multiLevelType w:val="hybridMultilevel"/>
    <w:lvl w:ilvl="0">
      <w:lvlJc w:val="left"/>
      <w:lvlText w:val="%1."/>
      <w:numFmt w:val="decimal"/>
      <w:start w:val="1"/>
    </w:lvl>
    <w:lvl w:ilvl="1">
      <w:lvlJc w:val="left"/>
      <w:lvlText w:val="(%2)"/>
      <w:numFmt w:val="lowerLetter"/>
      <w:start w:val="1"/>
    </w:lvl>
  </w:abstractNum>
  <w:abstractNum w:abstractNumId="120">
    <w:nsid w:val="4DF72E4E"/>
    <w:multiLevelType w:val="hybridMultilevel"/>
    <w:lvl w:ilvl="0">
      <w:lvlJc w:val="left"/>
      <w:lvlText w:val="(%1)"/>
      <w:numFmt w:val="decimal"/>
      <w:start w:val="1"/>
    </w:lvl>
  </w:abstractNum>
  <w:abstractNum w:abstractNumId="121">
    <w:nsid w:val="5046B5A9"/>
    <w:multiLevelType w:val="hybridMultilevel"/>
    <w:lvl w:ilvl="0">
      <w:lvlJc w:val="left"/>
      <w:lvlText w:val="(%1)"/>
      <w:numFmt w:val="decimal"/>
      <w:start w:val="1"/>
    </w:lvl>
  </w:abstractNum>
  <w:abstractNum w:abstractNumId="122">
    <w:nsid w:val="5D888A08"/>
    <w:multiLevelType w:val="hybridMultilevel"/>
    <w:lvl w:ilvl="0">
      <w:lvlJc w:val="left"/>
      <w:lvlText w:val="%1."/>
      <w:numFmt w:val="decimal"/>
      <w:start w:val="1"/>
    </w:lvl>
  </w:abstractNum>
  <w:abstractNum w:abstractNumId="123">
    <w:nsid w:val="2A082C70"/>
    <w:multiLevelType w:val="hybridMultilevel"/>
    <w:lvl w:ilvl="0">
      <w:lvlJc w:val="left"/>
      <w:lvlText w:val="%1."/>
      <w:numFmt w:val="decimal"/>
      <w:start w:val="2"/>
    </w:lvl>
  </w:abstractNum>
  <w:abstractNum w:abstractNumId="124">
    <w:nsid w:val="5EC6AFD4"/>
    <w:multiLevelType w:val="hybridMultilevel"/>
    <w:lvl w:ilvl="0">
      <w:lvlJc w:val="left"/>
      <w:lvlText w:val="%1."/>
      <w:numFmt w:val="decimal"/>
      <w:start w:val="3"/>
    </w:lvl>
  </w:abstractNum>
  <w:abstractNum w:abstractNumId="125">
    <w:nsid w:val="19E21BB2"/>
    <w:multiLevelType w:val="hybridMultilevel"/>
    <w:lvl w:ilvl="0">
      <w:lvlJc w:val="left"/>
      <w:lvlText w:val="%1."/>
      <w:numFmt w:val="decimal"/>
      <w:start w:val="4"/>
    </w:lvl>
  </w:abstractNum>
  <w:abstractNum w:abstractNumId="126">
    <w:nsid w:val="75E0858A"/>
    <w:multiLevelType w:val="hybridMultilevel"/>
    <w:lvl w:ilvl="0">
      <w:lvlJc w:val="left"/>
      <w:lvlText w:val="%1."/>
      <w:numFmt w:val="decimal"/>
      <w:start w:val="5"/>
    </w:lvl>
  </w:abstractNum>
  <w:abstractNum w:abstractNumId="127">
    <w:nsid w:val="57A61A29"/>
    <w:multiLevelType w:val="hybridMultilevel"/>
    <w:lvl w:ilvl="0">
      <w:lvlJc w:val="left"/>
      <w:lvlText w:val="%1."/>
      <w:numFmt w:val="decimal"/>
      <w:start w:val="6"/>
    </w:lvl>
  </w:abstractNum>
  <w:abstractNum w:abstractNumId="128">
    <w:nsid w:val="5399C654"/>
    <w:multiLevelType w:val="hybridMultilevel"/>
    <w:lvl w:ilvl="0">
      <w:lvlJc w:val="left"/>
      <w:lvlText w:val="%1."/>
      <w:numFmt w:val="decimal"/>
      <w:start w:val="7"/>
    </w:lvl>
  </w:abstractNum>
  <w:abstractNum w:abstractNumId="129">
    <w:nsid w:val="20EE1348"/>
    <w:multiLevelType w:val="hybridMultilevel"/>
    <w:lvl w:ilvl="0">
      <w:lvlJc w:val="left"/>
      <w:lvlText w:val="%1."/>
      <w:numFmt w:val="decimal"/>
      <w:start w:val="8"/>
    </w:lvl>
  </w:abstractNum>
  <w:abstractNum w:abstractNumId="130">
    <w:nsid w:val="4427069A"/>
    <w:multiLevelType w:val="hybridMultilevel"/>
    <w:lvl w:ilvl="0">
      <w:lvlJc w:val="left"/>
      <w:lvlText w:val="%1."/>
      <w:numFmt w:val="decimal"/>
      <w:start w:val="9"/>
    </w:lvl>
  </w:abstractNum>
  <w:abstractNum w:abstractNumId="131">
    <w:nsid w:val="B37E80A"/>
    <w:multiLevelType w:val="hybridMultilevel"/>
    <w:lvl w:ilvl="0">
      <w:lvlJc w:val="left"/>
      <w:lvlText w:val="%1."/>
      <w:numFmt w:val="decimal"/>
      <w:start w:val="10"/>
    </w:lvl>
  </w:abstractNum>
  <w:abstractNum w:abstractNumId="132">
    <w:nsid w:val="2157F6BC"/>
    <w:multiLevelType w:val="hybridMultilevel"/>
    <w:lvl w:ilvl="0">
      <w:lvlJc w:val="left"/>
      <w:lvlText w:val="%1."/>
      <w:numFmt w:val="decimal"/>
      <w:start w:val="11"/>
    </w:lvl>
  </w:abstractNum>
  <w:abstractNum w:abstractNumId="133">
    <w:nsid w:val="704E1DD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5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129" Type="http://schemas.openxmlformats.org/officeDocument/2006/relationships/hyperlink" Target="https://www.sec.gov/Archives/edgar/data/1802665/000114036123043963/ef20010653_ex2-1.htm" TargetMode="External"/><Relationship Id="rId130" Type="http://schemas.openxmlformats.org/officeDocument/2006/relationships/hyperlink" Target="https://www.sec.gov/Archives/edgar/data/0001802665/000119312520226978/d97999dex31.htm" TargetMode="External"/><Relationship Id="rId131" Type="http://schemas.openxmlformats.org/officeDocument/2006/relationships/hyperlink" Target="https://www.sec.gov/Archives/edgar/data/0001802665/000119312520226978/d97999dex32.htm" TargetMode="External"/><Relationship Id="rId132" Type="http://schemas.openxmlformats.org/officeDocument/2006/relationships/hyperlink" Target="https://www.sec.gov/Archives/edgar/data/0001802665/000119312520211023/d755703dex41.htm" TargetMode="External"/><Relationship Id="rId133" Type="http://schemas.openxmlformats.org/officeDocument/2006/relationships/hyperlink" Target="https://www.sec.gov/Archives/edgar/data/0001802665/000156459021015274/hrmy-ex43_1166.htm" TargetMode="External"/><Relationship Id="rId134" Type="http://schemas.openxmlformats.org/officeDocument/2006/relationships/hyperlink" Target="https://www.sec.gov/Archives/edgar/data/1802665/000155837023001574/hrmy-20221231xex10d3.htm" TargetMode="External"/><Relationship Id="rId135" Type="http://schemas.openxmlformats.org/officeDocument/2006/relationships/hyperlink" Target="https://www.sec.gov/Archives/edgar/data/0001802665/000119312520227079/d91238dex103.htm" TargetMode="External"/><Relationship Id="rId136" Type="http://schemas.openxmlformats.org/officeDocument/2006/relationships/hyperlink" Target="https://www.sec.gov/Archives/edgar/data/0001802665/000119312520215643/d755703dex106.htm" TargetMode="External"/><Relationship Id="rId137" Type="http://schemas.openxmlformats.org/officeDocument/2006/relationships/hyperlink" Target="https://www.sec.gov/Archives/edgar/data/1802665/000119312520215643/d755703dex107.htm" TargetMode="External"/><Relationship Id="rId138" Type="http://schemas.openxmlformats.org/officeDocument/2006/relationships/hyperlink" Target="https://www.sec.gov/Archives/edgar/data/0001802665/000119312520215643/d755703dex108.htm" TargetMode="External"/><Relationship Id="rId139" Type="http://schemas.openxmlformats.org/officeDocument/2006/relationships/hyperlink" Target="https://www.sec.gov/Archives/edgar/data/1802665/000155837023001574/hrmy-20221231xex10d72.htm" TargetMode="External"/><Relationship Id="rId140" Type="http://schemas.openxmlformats.org/officeDocument/2006/relationships/hyperlink" Target="https://www.sec.gov/Archives/edgar/data/0001802665/000119312520215643/d755703dex1012.htm" TargetMode="External"/><Relationship Id="rId141" Type="http://schemas.openxmlformats.org/officeDocument/2006/relationships/hyperlink" Target="https://www.sec.gov/Archives/edgar/data/0001802665/000119312520215643/d755703dex1013.htm" TargetMode="External"/><Relationship Id="rId142" Type="http://schemas.openxmlformats.org/officeDocument/2006/relationships/hyperlink" Target="https://www.sec.gov/Archives/edgar/data/0001802665/000119312520215643/d755703dex103.htm" TargetMode="External"/><Relationship Id="rId143" Type="http://schemas.openxmlformats.org/officeDocument/2006/relationships/hyperlink" Target="https://www.sec.gov/Archives/edgar/data/1802665/000156459020053320/hrmy-ex109_551.htm" TargetMode="External"/><Relationship Id="rId144" Type="http://schemas.openxmlformats.org/officeDocument/2006/relationships/hyperlink" Target="https://www.sec.gov/Archives/edgar/data/0001802665/000119312520215643/d755703dex109.htm" TargetMode="External"/><Relationship Id="rId145" Type="http://schemas.openxmlformats.org/officeDocument/2006/relationships/hyperlink" Target="https://www.sec.gov/Archives/edgar/data/1802665/000155837023001574/hrmy-20221231xex10d122.htm" TargetMode="External"/><Relationship Id="rId146" Type="http://schemas.openxmlformats.org/officeDocument/2006/relationships/hyperlink" Target="https://www.sec.gov/Archives/edgar/data/1802665/000155837023006475/hrmy-20230424xex10d1.htm" TargetMode="External"/><Relationship Id="rId147" Type="http://schemas.openxmlformats.org/officeDocument/2006/relationships/hyperlink" Target="https://www.sec.gov/Archives/edgar/data/0001802665/000119312520215643/d755703dex1010.htm" TargetMode="External"/><Relationship Id="rId148" Type="http://schemas.openxmlformats.org/officeDocument/2006/relationships/hyperlink" Target="https://www.sec.gov/Archives/edgar/data/1802665/000119312520199773/d755703dex1010.htm" TargetMode="External"/><Relationship Id="rId149" Type="http://schemas.openxmlformats.org/officeDocument/2006/relationships/hyperlink" Target="https://www.sec.gov/Archives/edgar/data/0001802665/000119312520199773/d755703dex1011.htm" TargetMode="External"/><Relationship Id="rId150" Type="http://schemas.openxmlformats.org/officeDocument/2006/relationships/hyperlink" Target="https://www.sec.gov/Archives/edgar/data/0001802665/000119312520199773/d755703dex1012.htm" TargetMode="External"/><Relationship Id="rId151" Type="http://schemas.openxmlformats.org/officeDocument/2006/relationships/hyperlink" Target="https://www.sec.gov/Archives/edgar/data/1802665/000119312520199773/d755703dex1014.htm" TargetMode="External"/><Relationship Id="rId153" Type="http://schemas.openxmlformats.org/officeDocument/2006/relationships/hyperlink" Target="https://www.sec.gov/Archives/edgar/data/0001802665/000119312520199773/d755703dex1015.htm" TargetMode="External"/><Relationship Id="rId154" Type="http://schemas.openxmlformats.org/officeDocument/2006/relationships/hyperlink" Target="https://www.sec.gov/Archives/edgar/data/0001802665/000156459021015274/hrmy-ex1020_1164.htm" TargetMode="External"/><Relationship Id="rId155" Type="http://schemas.openxmlformats.org/officeDocument/2006/relationships/hyperlink" Target="https://www.sec.gov/Archives/edgar/data/0001802665/000119312521080566/d138171dex101.htm" TargetMode="External"/><Relationship Id="rId156" Type="http://schemas.openxmlformats.org/officeDocument/2006/relationships/hyperlink" Target="https://www.sec.gov/Archives/edgar/data/0001802665/000156459021042897/hrmy-ex101_170.htm" TargetMode="External"/><Relationship Id="rId157" Type="http://schemas.openxmlformats.org/officeDocument/2006/relationships/hyperlink" Target="https://www.sec.gov/Archives/edgar/data/1802665/000155837023016259/hrmy-20230930xex10d1.htm" TargetMode="External"/><Relationship Id="rId158" Type="http://schemas.openxmlformats.org/officeDocument/2006/relationships/hyperlink" Target="https://www.sec.gov/Archives/edgar/data/1802665/000155837023016259/hrmy-20230930xex10d2.htm" TargetMode="External"/><Relationship Id="rId159" Type="http://schemas.openxmlformats.org/officeDocument/2006/relationships/hyperlink" Target="https://www.sec.gov/Archives/edgar/data/1802665/000155837023012348/hrmy-20230726xex10d1.htm" TargetMode="External"/><Relationship Id="rId160" Type="http://schemas.openxmlformats.org/officeDocument/2006/relationships/hyperlink" Target="https://www.sec.gov/Archives/edgar/data/1802665/000155837023012348/hrmy-20230726xex10d2.htm" TargetMode="External"/><Relationship Id="rId161" Type="http://schemas.openxmlformats.org/officeDocument/2006/relationships/hyperlink" Target="https://www.sec.gov/Archives/edgar/data/1802665/000155837023012348/hrmy-20230726xex10d3.htm" TargetMode="External"/><Relationship Id="rId162" Type="http://schemas.openxmlformats.org/officeDocument/2006/relationships/hyperlink" Target="https://www.sec.gov/Archives/edgar/data/1802665/000155837023015961/hrmy-2023092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2025-02-25T07:15:19Z</dcterms:created>
  <dcterms:modified xsi:type="dcterms:W3CDTF">2025-02-25T07:15:19Z</dcterms:modified>
</cp:coreProperties>
</file>