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151765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220345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94"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UNITED STATES</w:t>
      </w:r>
    </w:p>
    <w:p>
      <w:pPr>
        <w:jc w:val="center"/>
        <w:ind w:right="-9"/>
        <w:spacing w:after="0" w:line="235"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2595880</wp:posOffset>
            </wp:positionH>
            <wp:positionV relativeFrom="paragraph">
              <wp:posOffset>53340</wp:posOffset>
            </wp:positionV>
            <wp:extent cx="13030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17145"/>
                    </a:xfrm>
                    <a:prstGeom prst="rect">
                      <a:avLst/>
                    </a:prstGeom>
                    <a:noFill/>
                  </pic:spPr>
                </pic:pic>
              </a:graphicData>
            </a:graphic>
          </wp:anchor>
        </w:drawing>
      </w:r>
    </w:p>
    <w:p>
      <w:pPr>
        <w:spacing w:after="0" w:line="131"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2595880</wp:posOffset>
            </wp:positionH>
            <wp:positionV relativeFrom="paragraph">
              <wp:posOffset>68580</wp:posOffset>
            </wp:positionV>
            <wp:extent cx="13030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17145"/>
                    </a:xfrm>
                    <a:prstGeom prst="rect">
                      <a:avLst/>
                    </a:prstGeom>
                    <a:noFill/>
                  </pic:spPr>
                </pic:pic>
              </a:graphicData>
            </a:graphic>
          </wp:anchor>
        </w:drawing>
      </w:r>
    </w:p>
    <w:p>
      <w:pPr>
        <w:spacing w:after="0" w:line="193" w:lineRule="exact"/>
        <w:rPr>
          <w:sz w:val="24"/>
          <w:szCs w:val="24"/>
          <w:color w:val="auto"/>
        </w:rPr>
      </w:pPr>
    </w:p>
    <w:p>
      <w:pPr>
        <w:ind w:left="10"/>
        <w:spacing w:after="0"/>
        <w:rPr>
          <w:sz w:val="20"/>
          <w:szCs w:val="20"/>
          <w:color w:val="auto"/>
        </w:rPr>
      </w:pPr>
      <w:r>
        <w:rPr>
          <w:rFonts w:ascii="Arial" w:cs="Arial" w:eastAsia="Arial" w:hAnsi="Arial"/>
          <w:sz w:val="11"/>
          <w:szCs w:val="11"/>
          <w:color w:val="auto"/>
        </w:rPr>
        <w:t>(Mark One)</w:t>
      </w:r>
    </w:p>
    <w:p>
      <w:pPr>
        <w:ind w:left="3670" w:right="2120" w:hanging="3670"/>
        <w:spacing w:after="0" w:line="283" w:lineRule="auto"/>
        <w:tabs>
          <w:tab w:leader="none" w:pos="647"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ANNUAL REPORT PURSUANT TO SECTION 13 OR 15(d) OF THE SECURITIES AND EXCHANGE ACT OF 1934 </w:t>
      </w:r>
      <w:r>
        <w:rPr>
          <w:rFonts w:ascii="Arial" w:cs="Arial" w:eastAsia="Arial" w:hAnsi="Arial"/>
          <w:sz w:val="14"/>
          <w:szCs w:val="14"/>
          <w:color w:val="auto"/>
        </w:rPr>
        <w:t>For the fiscal year ended December 31, 2021</w:t>
      </w:r>
    </w:p>
    <w:p>
      <w:pPr>
        <w:spacing w:after="0" w:line="29" w:lineRule="exact"/>
        <w:rPr>
          <w:sz w:val="24"/>
          <w:szCs w:val="24"/>
          <w:color w:val="auto"/>
        </w:rPr>
      </w:pPr>
    </w:p>
    <w:p>
      <w:pPr>
        <w:jc w:val="center"/>
        <w:ind w:right="-9"/>
        <w:spacing w:after="0"/>
        <w:rPr>
          <w:sz w:val="20"/>
          <w:szCs w:val="20"/>
          <w:color w:val="auto"/>
        </w:rPr>
      </w:pPr>
      <w:r>
        <w:rPr>
          <w:rFonts w:ascii="Arial" w:cs="Arial" w:eastAsia="Arial" w:hAnsi="Arial"/>
          <w:sz w:val="14"/>
          <w:szCs w:val="14"/>
          <w:color w:val="auto"/>
        </w:rPr>
        <w:t>OR</w:t>
      </w:r>
    </w:p>
    <w:p>
      <w:pPr>
        <w:spacing w:after="0" w:line="51" w:lineRule="exact"/>
        <w:rPr>
          <w:sz w:val="24"/>
          <w:szCs w:val="24"/>
          <w:color w:val="auto"/>
        </w:rPr>
      </w:pPr>
    </w:p>
    <w:p>
      <w:pPr>
        <w:ind w:left="650" w:hanging="650"/>
        <w:spacing w:after="0"/>
        <w:tabs>
          <w:tab w:leader="none" w:pos="65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0230"/>
          </w:cols>
          <w:pgMar w:left="830" w:top="665" w:right="839" w:bottom="1440" w:gutter="0" w:footer="0" w:header="0"/>
        </w:sectPr>
      </w:pPr>
    </w:p>
    <w:p>
      <w:pPr>
        <w:spacing w:after="0" w:line="44" w:lineRule="exact"/>
        <w:rPr>
          <w:sz w:val="24"/>
          <w:szCs w:val="24"/>
          <w:color w:val="auto"/>
        </w:rPr>
      </w:pPr>
    </w:p>
    <w:p>
      <w:pPr>
        <w:ind w:left="3730"/>
        <w:spacing w:after="0"/>
        <w:tabs>
          <w:tab w:leader="none" w:pos="6350" w:val="left"/>
        </w:tabs>
        <w:rPr>
          <w:sz w:val="20"/>
          <w:szCs w:val="20"/>
          <w:color w:val="auto"/>
        </w:rPr>
      </w:pPr>
      <w:r>
        <w:rPr>
          <w:rFonts w:ascii="Arial" w:cs="Arial" w:eastAsia="Arial" w:hAnsi="Arial"/>
          <w:sz w:val="14"/>
          <w:szCs w:val="14"/>
          <w:color w:val="auto"/>
        </w:rPr>
        <w:t>For the transition period from</w:t>
      </w:r>
      <w:r>
        <w:rPr>
          <w:sz w:val="20"/>
          <w:szCs w:val="20"/>
          <w:color w:val="auto"/>
        </w:rPr>
        <w:tab/>
      </w:r>
      <w:r>
        <w:rPr>
          <w:rFonts w:ascii="Arial" w:cs="Arial" w:eastAsia="Arial" w:hAnsi="Arial"/>
          <w:sz w:val="14"/>
          <w:szCs w:val="14"/>
          <w:color w:val="auto"/>
        </w:rPr>
        <w:t>to</w:t>
      </w:r>
    </w:p>
    <w:p>
      <w:pPr>
        <w:sectPr>
          <w:pgSz w:w="11900" w:h="16838" w:orient="portrait"/>
          <w:cols w:equalWidth="0" w:num="1">
            <w:col w:w="10230"/>
          </w:cols>
          <w:pgMar w:left="830" w:top="665" w:right="839" w:bottom="1440" w:gutter="0" w:footer="0" w:header="0"/>
          <w:type w:val="continuous"/>
        </w:sectPr>
      </w:pPr>
    </w:p>
    <w:p>
      <w:pPr>
        <w:spacing w:after="0" w:line="71" w:lineRule="exact"/>
        <w:rPr>
          <w:sz w:val="24"/>
          <w:szCs w:val="24"/>
          <w:color w:val="auto"/>
        </w:rPr>
      </w:pPr>
    </w:p>
    <w:p>
      <w:pPr>
        <w:jc w:val="center"/>
        <w:ind w:right="-9"/>
        <w:spacing w:after="0"/>
        <w:rPr>
          <w:sz w:val="20"/>
          <w:szCs w:val="20"/>
          <w:color w:val="auto"/>
        </w:rPr>
      </w:pPr>
      <w:r>
        <w:rPr>
          <w:rFonts w:ascii="Arial" w:cs="Arial" w:eastAsia="Arial" w:hAnsi="Arial"/>
          <w:sz w:val="14"/>
          <w:szCs w:val="14"/>
          <w:color w:val="auto"/>
        </w:rPr>
        <w:t>Commission File Number: 001-39450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2595880</wp:posOffset>
            </wp:positionH>
            <wp:positionV relativeFrom="paragraph">
              <wp:posOffset>57785</wp:posOffset>
            </wp:positionV>
            <wp:extent cx="1303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p>
      <w:pPr>
        <w:spacing w:after="0" w:line="158"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HARMONY BIOSCIENCES HOLDINGS, INC.</w:t>
      </w:r>
    </w:p>
    <w:p>
      <w:pPr>
        <w:spacing w:after="0" w:line="18" w:lineRule="exact"/>
        <w:rPr>
          <w:sz w:val="24"/>
          <w:szCs w:val="24"/>
          <w:color w:val="auto"/>
        </w:rPr>
      </w:pPr>
    </w:p>
    <w:p>
      <w:pPr>
        <w:jc w:val="center"/>
        <w:ind w:right="-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2595880</wp:posOffset>
            </wp:positionH>
            <wp:positionV relativeFrom="paragraph">
              <wp:posOffset>57785</wp:posOffset>
            </wp:positionV>
            <wp:extent cx="1303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301"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4580" w:type="dxa"/>
            <w:vAlign w:val="bottom"/>
            <w:gridSpan w:val="3"/>
          </w:tcPr>
          <w:p>
            <w:pPr>
              <w:jc w:val="center"/>
              <w:ind w:left="448"/>
              <w:spacing w:after="0"/>
              <w:rPr>
                <w:sz w:val="20"/>
                <w:szCs w:val="20"/>
                <w:color w:val="auto"/>
              </w:rPr>
            </w:pPr>
            <w:r>
              <w:rPr>
                <w:rFonts w:ascii="Arial" w:cs="Arial" w:eastAsia="Arial" w:hAnsi="Arial"/>
                <w:sz w:val="14"/>
                <w:szCs w:val="14"/>
                <w:b w:val="1"/>
                <w:bCs w:val="1"/>
                <w:color w:val="auto"/>
              </w:rPr>
              <w:t>Delaware</w:t>
            </w: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80" w:type="dxa"/>
            <w:vAlign w:val="bottom"/>
          </w:tcPr>
          <w:p>
            <w:pPr>
              <w:jc w:val="right"/>
              <w:ind w:right="2108"/>
              <w:spacing w:after="0"/>
              <w:rPr>
                <w:sz w:val="20"/>
                <w:szCs w:val="20"/>
                <w:color w:val="auto"/>
              </w:rPr>
            </w:pPr>
            <w:r>
              <w:rPr>
                <w:rFonts w:ascii="Arial" w:cs="Arial" w:eastAsia="Arial" w:hAnsi="Arial"/>
                <w:sz w:val="14"/>
                <w:szCs w:val="14"/>
                <w:b w:val="1"/>
                <w:bCs w:val="1"/>
                <w:color w:val="auto"/>
              </w:rPr>
              <w:t>82-2279923</w:t>
            </w:r>
          </w:p>
        </w:tc>
      </w:tr>
      <w:tr>
        <w:trPr>
          <w:trHeight w:val="189"/>
        </w:trPr>
        <w:tc>
          <w:tcPr>
            <w:tcW w:w="4580" w:type="dxa"/>
            <w:vAlign w:val="bottom"/>
            <w:gridSpan w:val="3"/>
          </w:tcPr>
          <w:p>
            <w:pPr>
              <w:jc w:val="center"/>
              <w:ind w:left="468"/>
              <w:spacing w:after="0"/>
              <w:rPr>
                <w:sz w:val="20"/>
                <w:szCs w:val="20"/>
                <w:color w:val="auto"/>
              </w:rPr>
            </w:pPr>
            <w:r>
              <w:rPr>
                <w:rFonts w:ascii="Arial" w:cs="Arial" w:eastAsia="Arial" w:hAnsi="Arial"/>
                <w:sz w:val="14"/>
                <w:szCs w:val="14"/>
                <w:color w:val="auto"/>
              </w:rPr>
              <w:t>(State or other jurisdiction of</w:t>
            </w: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80" w:type="dxa"/>
            <w:vAlign w:val="bottom"/>
          </w:tcPr>
          <w:p>
            <w:pPr>
              <w:jc w:val="center"/>
              <w:ind w:right="1748"/>
              <w:spacing w:after="0"/>
              <w:rPr>
                <w:sz w:val="20"/>
                <w:szCs w:val="20"/>
                <w:color w:val="auto"/>
              </w:rPr>
            </w:pPr>
            <w:r>
              <w:rPr>
                <w:rFonts w:ascii="Arial" w:cs="Arial" w:eastAsia="Arial" w:hAnsi="Arial"/>
                <w:sz w:val="14"/>
                <w:szCs w:val="14"/>
                <w:color w:val="auto"/>
              </w:rPr>
              <w:t>(I.R.S. Employer</w:t>
            </w:r>
          </w:p>
        </w:tc>
      </w:tr>
      <w:tr>
        <w:trPr>
          <w:trHeight w:val="203"/>
        </w:trPr>
        <w:tc>
          <w:tcPr>
            <w:tcW w:w="4580" w:type="dxa"/>
            <w:vAlign w:val="bottom"/>
            <w:gridSpan w:val="3"/>
          </w:tcPr>
          <w:p>
            <w:pPr>
              <w:jc w:val="center"/>
              <w:ind w:left="448"/>
              <w:spacing w:after="0"/>
              <w:rPr>
                <w:sz w:val="20"/>
                <w:szCs w:val="20"/>
                <w:color w:val="auto"/>
              </w:rPr>
            </w:pPr>
            <w:r>
              <w:rPr>
                <w:rFonts w:ascii="Arial" w:cs="Arial" w:eastAsia="Arial" w:hAnsi="Arial"/>
                <w:sz w:val="14"/>
                <w:szCs w:val="14"/>
                <w:color w:val="auto"/>
              </w:rPr>
              <w:t>incorporation or organization)</w:t>
            </w:r>
          </w:p>
        </w:tc>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tcPr>
          <w:p>
            <w:pPr>
              <w:jc w:val="center"/>
              <w:ind w:right="1768"/>
              <w:spacing w:after="0"/>
              <w:rPr>
                <w:sz w:val="20"/>
                <w:szCs w:val="20"/>
                <w:color w:val="auto"/>
              </w:rPr>
            </w:pPr>
            <w:r>
              <w:rPr>
                <w:rFonts w:ascii="Arial" w:cs="Arial" w:eastAsia="Arial" w:hAnsi="Arial"/>
                <w:sz w:val="14"/>
                <w:szCs w:val="14"/>
                <w:color w:val="auto"/>
              </w:rPr>
              <w:t>Identification No.)</w:t>
            </w:r>
          </w:p>
        </w:tc>
      </w:tr>
      <w:tr>
        <w:trPr>
          <w:trHeight w:val="256"/>
        </w:trPr>
        <w:tc>
          <w:tcPr>
            <w:tcW w:w="4580" w:type="dxa"/>
            <w:vAlign w:val="bottom"/>
            <w:gridSpan w:val="3"/>
          </w:tcPr>
          <w:p>
            <w:pPr>
              <w:jc w:val="center"/>
              <w:ind w:left="468"/>
              <w:spacing w:after="0"/>
              <w:rPr>
                <w:sz w:val="20"/>
                <w:szCs w:val="20"/>
                <w:color w:val="auto"/>
              </w:rPr>
            </w:pPr>
            <w:r>
              <w:rPr>
                <w:rFonts w:ascii="Arial" w:cs="Arial" w:eastAsia="Arial" w:hAnsi="Arial"/>
                <w:sz w:val="14"/>
                <w:szCs w:val="14"/>
                <w:b w:val="1"/>
                <w:bCs w:val="1"/>
                <w:color w:val="auto"/>
              </w:rPr>
              <w:t>630 W. Germantown Pike, Suite 215, Plymouth Meeting, PA</w:t>
            </w:r>
          </w:p>
        </w:tc>
        <w:tc>
          <w:tcPr>
            <w:tcW w:w="2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80" w:type="dxa"/>
            <w:vAlign w:val="bottom"/>
          </w:tcPr>
          <w:p>
            <w:pPr>
              <w:jc w:val="right"/>
              <w:ind w:right="2288"/>
              <w:spacing w:after="0"/>
              <w:rPr>
                <w:sz w:val="20"/>
                <w:szCs w:val="20"/>
                <w:color w:val="auto"/>
              </w:rPr>
            </w:pPr>
            <w:r>
              <w:rPr>
                <w:rFonts w:ascii="Arial" w:cs="Arial" w:eastAsia="Arial" w:hAnsi="Arial"/>
                <w:sz w:val="14"/>
                <w:szCs w:val="14"/>
                <w:b w:val="1"/>
                <w:bCs w:val="1"/>
                <w:color w:val="auto"/>
              </w:rPr>
              <w:t>19462</w:t>
            </w:r>
          </w:p>
        </w:tc>
      </w:tr>
      <w:tr>
        <w:trPr>
          <w:trHeight w:val="216"/>
        </w:trPr>
        <w:tc>
          <w:tcPr>
            <w:tcW w:w="4580" w:type="dxa"/>
            <w:vAlign w:val="bottom"/>
            <w:gridSpan w:val="3"/>
          </w:tcPr>
          <w:p>
            <w:pPr>
              <w:jc w:val="center"/>
              <w:ind w:left="448"/>
              <w:spacing w:after="0"/>
              <w:rPr>
                <w:sz w:val="20"/>
                <w:szCs w:val="20"/>
                <w:color w:val="auto"/>
              </w:rPr>
            </w:pPr>
            <w:r>
              <w:rPr>
                <w:rFonts w:ascii="Arial" w:cs="Arial" w:eastAsia="Arial" w:hAnsi="Arial"/>
                <w:sz w:val="14"/>
                <w:szCs w:val="14"/>
                <w:color w:val="auto"/>
              </w:rPr>
              <w:t>(Address of principal executive offices)</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jc w:val="center"/>
              <w:ind w:right="1768"/>
              <w:spacing w:after="0"/>
              <w:rPr>
                <w:sz w:val="20"/>
                <w:szCs w:val="20"/>
                <w:color w:val="auto"/>
              </w:rPr>
            </w:pPr>
            <w:r>
              <w:rPr>
                <w:rFonts w:ascii="Arial" w:cs="Arial" w:eastAsia="Arial" w:hAnsi="Arial"/>
                <w:sz w:val="14"/>
                <w:szCs w:val="14"/>
                <w:color w:val="auto"/>
              </w:rPr>
              <w:t>(Zip Code)</w:t>
            </w:r>
          </w:p>
        </w:tc>
      </w:tr>
      <w:tr>
        <w:trPr>
          <w:trHeight w:val="270"/>
        </w:trPr>
        <w:tc>
          <w:tcPr>
            <w:tcW w:w="3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160" w:type="dxa"/>
            <w:vAlign w:val="bottom"/>
          </w:tcPr>
          <w:p>
            <w:pPr>
              <w:jc w:val="center"/>
              <w:ind w:right="1028"/>
              <w:spacing w:after="0"/>
              <w:rPr>
                <w:sz w:val="20"/>
                <w:szCs w:val="20"/>
                <w:color w:val="auto"/>
              </w:rPr>
            </w:pPr>
            <w:r>
              <w:rPr>
                <w:rFonts w:ascii="Arial" w:cs="Arial" w:eastAsia="Arial" w:hAnsi="Arial"/>
                <w:sz w:val="14"/>
                <w:szCs w:val="14"/>
                <w:b w:val="1"/>
                <w:bCs w:val="1"/>
                <w:color w:val="auto"/>
              </w:rPr>
              <w:t>(484) 539-9800</w:t>
            </w:r>
          </w:p>
        </w:tc>
        <w:tc>
          <w:tcPr>
            <w:tcW w:w="200" w:type="dxa"/>
            <w:vAlign w:val="bottom"/>
          </w:tcPr>
          <w:p>
            <w:pPr>
              <w:spacing w:after="0"/>
              <w:rPr>
                <w:sz w:val="23"/>
                <w:szCs w:val="23"/>
                <w:color w:val="auto"/>
              </w:rPr>
            </w:pPr>
          </w:p>
        </w:tc>
        <w:tc>
          <w:tcPr>
            <w:tcW w:w="3280" w:type="dxa"/>
            <w:vAlign w:val="bottom"/>
          </w:tcPr>
          <w:p>
            <w:pPr>
              <w:spacing w:after="0"/>
              <w:rPr>
                <w:sz w:val="23"/>
                <w:szCs w:val="23"/>
                <w:color w:val="auto"/>
              </w:rPr>
            </w:pPr>
          </w:p>
        </w:tc>
      </w:tr>
      <w:tr>
        <w:trPr>
          <w:trHeight w:val="243"/>
        </w:trPr>
        <w:tc>
          <w:tcPr>
            <w:tcW w:w="3260" w:type="dxa"/>
            <w:vAlign w:val="bottom"/>
          </w:tcPr>
          <w:p>
            <w:pPr>
              <w:spacing w:after="0"/>
              <w:rPr>
                <w:sz w:val="21"/>
                <w:szCs w:val="21"/>
                <w:color w:val="auto"/>
              </w:rPr>
            </w:pPr>
          </w:p>
        </w:tc>
        <w:tc>
          <w:tcPr>
            <w:tcW w:w="3680" w:type="dxa"/>
            <w:vAlign w:val="bottom"/>
            <w:gridSpan w:val="4"/>
          </w:tcPr>
          <w:p>
            <w:pPr>
              <w:jc w:val="center"/>
              <w:spacing w:after="0"/>
              <w:rPr>
                <w:sz w:val="20"/>
                <w:szCs w:val="20"/>
                <w:color w:val="auto"/>
              </w:rPr>
            </w:pPr>
            <w:r>
              <w:rPr>
                <w:rFonts w:ascii="Arial" w:cs="Arial" w:eastAsia="Arial" w:hAnsi="Arial"/>
                <w:sz w:val="14"/>
                <w:szCs w:val="14"/>
                <w:color w:val="auto"/>
              </w:rPr>
              <w:t>(Registrant’s telephone number, including area code)</w:t>
            </w:r>
          </w:p>
        </w:tc>
        <w:tc>
          <w:tcPr>
            <w:tcW w:w="3280" w:type="dxa"/>
            <w:vAlign w:val="bottom"/>
          </w:tcPr>
          <w:p>
            <w:pPr>
              <w:spacing w:after="0"/>
              <w:rPr>
                <w:sz w:val="21"/>
                <w:szCs w:val="21"/>
                <w:color w:val="auto"/>
              </w:rPr>
            </w:pPr>
          </w:p>
        </w:tc>
      </w:tr>
      <w:tr>
        <w:trPr>
          <w:trHeight w:val="243"/>
        </w:trPr>
        <w:tc>
          <w:tcPr>
            <w:tcW w:w="3260" w:type="dxa"/>
            <w:vAlign w:val="bottom"/>
          </w:tcPr>
          <w:p>
            <w:pPr>
              <w:spacing w:after="0"/>
              <w:rPr>
                <w:sz w:val="21"/>
                <w:szCs w:val="21"/>
                <w:color w:val="auto"/>
              </w:rPr>
            </w:pPr>
          </w:p>
        </w:tc>
        <w:tc>
          <w:tcPr>
            <w:tcW w:w="3680" w:type="dxa"/>
            <w:vAlign w:val="bottom"/>
            <w:gridSpan w:val="4"/>
          </w:tcPr>
          <w:p>
            <w:pPr>
              <w:jc w:val="center"/>
              <w:spacing w:after="0"/>
              <w:rPr>
                <w:sz w:val="20"/>
                <w:szCs w:val="20"/>
                <w:color w:val="auto"/>
              </w:rPr>
            </w:pPr>
            <w:r>
              <w:rPr>
                <w:rFonts w:ascii="Arial" w:cs="Arial" w:eastAsia="Arial" w:hAnsi="Arial"/>
                <w:sz w:val="14"/>
                <w:szCs w:val="14"/>
                <w:color w:val="auto"/>
              </w:rPr>
              <w:t>Securities registered pursuant to Section 12(b) of the Act:</w:t>
            </w:r>
          </w:p>
        </w:tc>
        <w:tc>
          <w:tcPr>
            <w:tcW w:w="3280" w:type="dxa"/>
            <w:vAlign w:val="bottom"/>
          </w:tcPr>
          <w:p>
            <w:pPr>
              <w:spacing w:after="0"/>
              <w:rPr>
                <w:sz w:val="21"/>
                <w:szCs w:val="21"/>
                <w:color w:val="auto"/>
              </w:rPr>
            </w:pPr>
          </w:p>
        </w:tc>
      </w:tr>
      <w:tr>
        <w:trPr>
          <w:trHeight w:val="270"/>
        </w:trPr>
        <w:tc>
          <w:tcPr>
            <w:tcW w:w="3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36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rPr>
              <w:t>Trading</w:t>
            </w: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8"/>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center"/>
              <w:ind w:right="1068"/>
              <w:spacing w:after="0"/>
              <w:rPr>
                <w:sz w:val="20"/>
                <w:szCs w:val="20"/>
                <w:color w:val="auto"/>
              </w:rPr>
            </w:pPr>
            <w:r>
              <w:rPr>
                <w:rFonts w:ascii="Arial" w:cs="Arial" w:eastAsia="Arial" w:hAnsi="Arial"/>
                <w:sz w:val="14"/>
                <w:szCs w:val="14"/>
                <w:b w:val="1"/>
                <w:bCs w:val="1"/>
                <w:color w:val="auto"/>
              </w:rPr>
              <w:t>Symbol(s)</w:t>
            </w:r>
          </w:p>
        </w:tc>
        <w:tc>
          <w:tcPr>
            <w:tcW w:w="200" w:type="dxa"/>
            <w:vAlign w:val="bottom"/>
          </w:tcPr>
          <w:p>
            <w:pPr>
              <w:spacing w:after="0"/>
              <w:rPr>
                <w:sz w:val="16"/>
                <w:szCs w:val="16"/>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160"/>
        </w:trPr>
        <w:tc>
          <w:tcPr>
            <w:tcW w:w="4580" w:type="dxa"/>
            <w:vAlign w:val="bottom"/>
            <w:gridSpan w:val="3"/>
          </w:tcPr>
          <w:p>
            <w:pPr>
              <w:jc w:val="center"/>
              <w:ind w:right="1320"/>
              <w:spacing w:after="0"/>
              <w:rPr>
                <w:sz w:val="20"/>
                <w:szCs w:val="20"/>
                <w:color w:val="auto"/>
              </w:rPr>
            </w:pPr>
            <w:r>
              <w:rPr>
                <w:rFonts w:ascii="Arial" w:cs="Arial" w:eastAsia="Arial" w:hAnsi="Arial"/>
                <w:sz w:val="14"/>
                <w:szCs w:val="14"/>
                <w:color w:val="auto"/>
              </w:rPr>
              <w:t>Common Stock, par value $0.00001 value per</w:t>
            </w:r>
          </w:p>
        </w:tc>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72"/>
        </w:trPr>
        <w:tc>
          <w:tcPr>
            <w:tcW w:w="4580" w:type="dxa"/>
            <w:vAlign w:val="bottom"/>
            <w:gridSpan w:val="3"/>
          </w:tcPr>
          <w:p>
            <w:pPr>
              <w:jc w:val="center"/>
              <w:ind w:right="1340"/>
              <w:spacing w:after="0"/>
              <w:rPr>
                <w:sz w:val="20"/>
                <w:szCs w:val="20"/>
                <w:color w:val="auto"/>
              </w:rPr>
            </w:pPr>
            <w:r>
              <w:rPr>
                <w:rFonts w:ascii="Arial" w:cs="Arial" w:eastAsia="Arial" w:hAnsi="Arial"/>
                <w:sz w:val="14"/>
                <w:szCs w:val="14"/>
                <w:color w:val="auto"/>
              </w:rPr>
              <w:t>share</w:t>
            </w:r>
          </w:p>
        </w:tc>
        <w:tc>
          <w:tcPr>
            <w:tcW w:w="2360" w:type="dxa"/>
            <w:vAlign w:val="bottom"/>
            <w:gridSpan w:val="2"/>
          </w:tcPr>
          <w:p>
            <w:pPr>
              <w:jc w:val="center"/>
              <w:ind w:right="1340"/>
              <w:spacing w:after="0"/>
              <w:rPr>
                <w:sz w:val="20"/>
                <w:szCs w:val="20"/>
                <w:color w:val="auto"/>
              </w:rPr>
            </w:pPr>
            <w:r>
              <w:rPr>
                <w:rFonts w:ascii="Arial" w:cs="Arial" w:eastAsia="Arial" w:hAnsi="Arial"/>
                <w:sz w:val="14"/>
                <w:szCs w:val="14"/>
                <w:color w:val="auto"/>
              </w:rPr>
              <w:t>HRMY</w:t>
            </w:r>
          </w:p>
        </w:tc>
        <w:tc>
          <w:tcPr>
            <w:tcW w:w="32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30" w:lineRule="exact"/>
        <w:rPr>
          <w:sz w:val="24"/>
          <w:szCs w:val="24"/>
          <w:color w:val="auto"/>
        </w:rPr>
      </w:pPr>
    </w:p>
    <w:p>
      <w:pPr>
        <w:ind w:left="7830"/>
        <w:spacing w:after="0"/>
        <w:rPr>
          <w:sz w:val="20"/>
          <w:szCs w:val="20"/>
          <w:color w:val="auto"/>
        </w:rPr>
      </w:pPr>
      <w:r>
        <w:rPr>
          <w:rFonts w:ascii="Arial" w:cs="Arial" w:eastAsia="Arial" w:hAnsi="Arial"/>
          <w:sz w:val="14"/>
          <w:szCs w:val="14"/>
          <w:color w:val="auto"/>
        </w:rPr>
        <w:t>(Nasdaq Global Market)</w:t>
      </w:r>
    </w:p>
    <w:p>
      <w:pPr>
        <w:spacing w:after="0" w:line="198" w:lineRule="exact"/>
        <w:rPr>
          <w:sz w:val="24"/>
          <w:szCs w:val="24"/>
          <w:color w:val="auto"/>
        </w:rPr>
      </w:pPr>
    </w:p>
    <w:p>
      <w:pPr>
        <w:ind w:left="10"/>
        <w:spacing w:after="0"/>
        <w:rPr>
          <w:sz w:val="20"/>
          <w:szCs w:val="20"/>
          <w:color w:val="auto"/>
        </w:rPr>
      </w:pPr>
      <w:r>
        <w:rPr>
          <w:rFonts w:ascii="Arial" w:cs="Arial" w:eastAsia="Arial" w:hAnsi="Arial"/>
          <w:sz w:val="13"/>
          <w:szCs w:val="13"/>
          <w:color w:val="auto"/>
        </w:rPr>
        <w:t>Securities registered pursuant to Section 12(g) of the Act: None</w:t>
      </w:r>
    </w:p>
    <w:p>
      <w:pPr>
        <w:spacing w:after="0" w:line="31" w:lineRule="exact"/>
        <w:rPr>
          <w:sz w:val="24"/>
          <w:szCs w:val="24"/>
          <w:color w:val="auto"/>
        </w:rPr>
      </w:pPr>
    </w:p>
    <w:p>
      <w:pPr>
        <w:ind w:left="10" w:right="2400"/>
        <w:spacing w:after="0" w:line="22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1" w:lineRule="exact"/>
        <w:rPr>
          <w:sz w:val="24"/>
          <w:szCs w:val="24"/>
          <w:color w:val="auto"/>
        </w:rPr>
      </w:pPr>
    </w:p>
    <w:p>
      <w:pPr>
        <w:ind w:left="10" w:right="400"/>
        <w:spacing w:after="0" w:line="158"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0" w:lineRule="exact"/>
        <w:rPr>
          <w:sz w:val="24"/>
          <w:szCs w:val="24"/>
          <w:color w:val="auto"/>
        </w:rPr>
      </w:pPr>
    </w:p>
    <w:p>
      <w:pPr>
        <w:ind w:left="10" w:right="34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4" w:lineRule="exact"/>
        <w:rPr>
          <w:sz w:val="24"/>
          <w:szCs w:val="24"/>
          <w:color w:val="auto"/>
        </w:rPr>
      </w:pPr>
    </w:p>
    <w:p>
      <w:pPr>
        <w:jc w:val="both"/>
        <w:ind w:left="10" w:right="140"/>
        <w:spacing w:after="0" w:line="25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90" w:type="dxa"/>
        <w:tblCellMar>
          <w:top w:w="0" w:type="dxa"/>
          <w:left w:w="0" w:type="dxa"/>
          <w:bottom w:w="0" w:type="dxa"/>
          <w:right w:w="0" w:type="dxa"/>
        </w:tblCellMar>
      </w:tblPr>
      <w:tr>
        <w:trPr>
          <w:trHeight w:val="157"/>
        </w:trPr>
        <w:tc>
          <w:tcPr>
            <w:tcW w:w="19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186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3200" w:type="dxa"/>
            <w:vAlign w:val="bottom"/>
          </w:tcPr>
          <w:p>
            <w:pPr>
              <w:ind w:left="1160"/>
              <w:spacing w:after="0"/>
              <w:rPr>
                <w:sz w:val="20"/>
                <w:szCs w:val="20"/>
                <w:color w:val="auto"/>
              </w:rPr>
            </w:pPr>
            <w:r>
              <w:rPr>
                <w:rFonts w:ascii="Arial" w:cs="Arial" w:eastAsia="Arial" w:hAnsi="Arial"/>
                <w:sz w:val="13"/>
                <w:szCs w:val="13"/>
                <w:color w:val="auto"/>
              </w:rPr>
              <w:t>Accelerated filer</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9"/>
        </w:trPr>
        <w:tc>
          <w:tcPr>
            <w:tcW w:w="1920" w:type="dxa"/>
            <w:vAlign w:val="bottom"/>
          </w:tcPr>
          <w:p>
            <w:pPr>
              <w:spacing w:after="0"/>
              <w:rPr>
                <w:sz w:val="20"/>
                <w:szCs w:val="20"/>
                <w:color w:val="auto"/>
              </w:rPr>
            </w:pPr>
            <w:r>
              <w:rPr>
                <w:rFonts w:ascii="Arial" w:cs="Arial" w:eastAsia="Arial" w:hAnsi="Arial"/>
                <w:sz w:val="13"/>
                <w:szCs w:val="13"/>
                <w:color w:val="auto"/>
              </w:rPr>
              <w:t>Non-accelerated filer</w:t>
            </w:r>
          </w:p>
        </w:tc>
        <w:tc>
          <w:tcPr>
            <w:tcW w:w="186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3200" w:type="dxa"/>
            <w:vAlign w:val="bottom"/>
          </w:tcPr>
          <w:p>
            <w:pPr>
              <w:ind w:left="1160"/>
              <w:spacing w:after="0"/>
              <w:rPr>
                <w:sz w:val="20"/>
                <w:szCs w:val="20"/>
                <w:color w:val="auto"/>
              </w:rPr>
            </w:pPr>
            <w:r>
              <w:rPr>
                <w:rFonts w:ascii="Arial" w:cs="Arial" w:eastAsia="Arial" w:hAnsi="Arial"/>
                <w:sz w:val="13"/>
                <w:szCs w:val="13"/>
                <w:color w:val="auto"/>
              </w:rPr>
              <w:t>Smaller reporting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9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0" w:type="dxa"/>
            <w:vAlign w:val="bottom"/>
          </w:tcPr>
          <w:p>
            <w:pPr>
              <w:ind w:left="1160"/>
              <w:spacing w:after="0"/>
              <w:rPr>
                <w:sz w:val="20"/>
                <w:szCs w:val="20"/>
                <w:color w:val="auto"/>
              </w:rPr>
            </w:pPr>
            <w:r>
              <w:rPr>
                <w:rFonts w:ascii="Arial" w:cs="Arial" w:eastAsia="Arial" w:hAnsi="Arial"/>
                <w:sz w:val="13"/>
                <w:szCs w:val="13"/>
                <w:color w:val="auto"/>
              </w:rPr>
              <w:t>Emerging growth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12" w:lineRule="exact"/>
        <w:rPr>
          <w:sz w:val="24"/>
          <w:szCs w:val="24"/>
          <w:color w:val="auto"/>
        </w:rPr>
      </w:pPr>
    </w:p>
    <w:p>
      <w:pPr>
        <w:ind w:left="10" w:right="50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1" w:lineRule="exact"/>
        <w:rPr>
          <w:sz w:val="24"/>
          <w:szCs w:val="24"/>
          <w:color w:val="auto"/>
        </w:rPr>
      </w:pPr>
    </w:p>
    <w:p>
      <w:pPr>
        <w:ind w:left="10" w:right="80"/>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9" w:lineRule="exact"/>
        <w:rPr>
          <w:sz w:val="24"/>
          <w:szCs w:val="24"/>
          <w:color w:val="auto"/>
        </w:rPr>
      </w:pPr>
    </w:p>
    <w:p>
      <w:pPr>
        <w:ind w:left="1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02" w:lineRule="exact"/>
        <w:rPr>
          <w:sz w:val="24"/>
          <w:szCs w:val="24"/>
          <w:color w:val="auto"/>
        </w:rPr>
      </w:pPr>
    </w:p>
    <w:p>
      <w:pPr>
        <w:ind w:left="10" w:right="180"/>
        <w:spacing w:after="0" w:line="248" w:lineRule="auto"/>
        <w:rPr>
          <w:sz w:val="20"/>
          <w:szCs w:val="20"/>
          <w:color w:val="auto"/>
        </w:rPr>
      </w:pPr>
      <w:r>
        <w:rPr>
          <w:rFonts w:ascii="Arial" w:cs="Arial" w:eastAsia="Arial" w:hAnsi="Arial"/>
          <w:sz w:val="13"/>
          <w:szCs w:val="13"/>
          <w:color w:val="auto"/>
        </w:rPr>
        <w:t>The aggregate market value of the voting and non-voting stock held by non-affiliates of the Registrant, as of June 30, 2021, the last business day of the registrant’s most recently completed second fiscal quarter, was $730.5 million. As of February 25, 2022, the registrant had 58,872,147 shares of common stock, $0.00001 par value per share, outstanding.</w:t>
      </w:r>
    </w:p>
    <w:p>
      <w:pPr>
        <w:spacing w:after="0" w:line="37" w:lineRule="exact"/>
        <w:rPr>
          <w:sz w:val="24"/>
          <w:szCs w:val="24"/>
          <w:color w:val="auto"/>
        </w:rPr>
      </w:pPr>
    </w:p>
    <w:p>
      <w:pPr>
        <w:jc w:val="center"/>
        <w:ind w:right="-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00" w:lineRule="exact"/>
        <w:rPr>
          <w:sz w:val="24"/>
          <w:szCs w:val="24"/>
          <w:color w:val="auto"/>
        </w:rPr>
      </w:pPr>
    </w:p>
    <w:p>
      <w:pPr>
        <w:ind w:left="10" w:right="120" w:firstLine="648"/>
        <w:spacing w:after="0" w:line="251" w:lineRule="auto"/>
        <w:rPr>
          <w:sz w:val="20"/>
          <w:szCs w:val="20"/>
          <w:color w:val="auto"/>
        </w:rPr>
      </w:pPr>
      <w:r>
        <w:rPr>
          <w:rFonts w:ascii="Arial" w:cs="Arial" w:eastAsia="Arial" w:hAnsi="Arial"/>
          <w:sz w:val="14"/>
          <w:szCs w:val="14"/>
          <w:color w:val="auto"/>
        </w:rPr>
        <w:t>Portions of the registrant’s definitive proxy statement relating to its 2022 Annual Meeting of Stockholders to be filed with the Securities and Exchange Commission within 120 days after the end of the fiscal year ended December 31, 2021 are incorporated herein by reference in Part III where indicated</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462280</wp:posOffset>
            </wp:positionV>
            <wp:extent cx="6497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41910</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85090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00" w:type="dxa"/>
            <w:vAlign w:val="bottom"/>
            <w:gridSpan w:val="33"/>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740" w:type="dxa"/>
            <w:vAlign w:val="bottom"/>
            <w:gridSpan w:val="2"/>
          </w:tcPr>
          <w:p>
            <w:pPr>
              <w:ind w:lef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9200" w:type="dxa"/>
            <w:vAlign w:val="bottom"/>
            <w:gridSpan w:val="33"/>
            <w:vMerge w:val="continue"/>
          </w:tcPr>
          <w:p>
            <w:pPr>
              <w:spacing w:after="0"/>
              <w:rPr>
                <w:sz w:val="14"/>
                <w:szCs w:val="14"/>
                <w:color w:val="auto"/>
              </w:rPr>
            </w:pPr>
          </w:p>
        </w:tc>
        <w:tc>
          <w:tcPr>
            <w:tcW w:w="7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0" w:type="dxa"/>
            <w:vAlign w:val="bottom"/>
            <w:gridSpan w:val="28"/>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CATIONARY NOTE REGARDING FORWARD-LOOKING STATEMENTS</w:t>
              </w:r>
            </w:hyperlink>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78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ITEM 1. BUSINESS.</w:t>
              </w:r>
            </w:hyperlink>
          </w:p>
        </w:tc>
        <w:tc>
          <w:tcPr>
            <w:tcW w:w="2420" w:type="dxa"/>
            <w:vAlign w:val="bottom"/>
            <w:gridSpan w:val="8"/>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0" w:type="dxa"/>
            <w:vAlign w:val="bottom"/>
            <w:gridSpan w:val="28"/>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0" w:type="dxa"/>
            <w:vAlign w:val="bottom"/>
            <w:gridSpan w:val="28"/>
          </w:tcPr>
          <w:p>
            <w:pPr>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ITEM 1B. UNRESOLVED STAFF COMMENTS.</w:t>
              </w:r>
            </w:hyperlink>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76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ITEM 2. PROPERTIES.</w:t>
              </w:r>
            </w:hyperlink>
          </w:p>
        </w:tc>
        <w:tc>
          <w:tcPr>
            <w:tcW w:w="4440" w:type="dxa"/>
            <w:vAlign w:val="bottom"/>
            <w:gridSpan w:val="13"/>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8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w:anchor="page76">
              <w:r>
                <w:rPr>
                  <w:rFonts w:ascii="Arial" w:cs="Arial" w:eastAsia="Arial" w:hAnsi="Arial"/>
                  <w:sz w:val="18"/>
                  <w:szCs w:val="18"/>
                  <w:color w:val="0000EE"/>
                  <w:w w:val="98"/>
                </w:rPr>
                <w:t>ITEM 3. LEGAL PROCEEDINGS.</w:t>
              </w:r>
            </w:hyperlink>
          </w:p>
        </w:tc>
        <w:tc>
          <w:tcPr>
            <w:tcW w:w="5520" w:type="dxa"/>
            <w:vAlign w:val="bottom"/>
            <w:gridSpan w:val="20"/>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0" w:type="dxa"/>
            <w:vAlign w:val="bottom"/>
            <w:gridSpan w:val="28"/>
          </w:tcPr>
          <w:p>
            <w:pPr>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ITEM 4. MINE SAFETY DISCLOSURES.</w:t>
              </w:r>
            </w:hyperlink>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83"/>
        </w:trPr>
        <w:tc>
          <w:tcPr>
            <w:tcW w:w="1000" w:type="dxa"/>
            <w:vAlign w:val="bottom"/>
            <w:gridSpan w:val="5"/>
          </w:tcPr>
          <w:p>
            <w:pPr>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Part II</w:t>
              </w:r>
            </w:hyperlink>
          </w:p>
        </w:tc>
        <w:tc>
          <w:tcPr>
            <w:tcW w:w="3260" w:type="dxa"/>
            <w:vAlign w:val="bottom"/>
            <w:tcBorders>
              <w:top w:val="single" w:sz="8" w:color="0000EE"/>
            </w:tcBorders>
            <w:gridSpan w:val="12"/>
          </w:tcPr>
          <w:p>
            <w:pPr>
              <w:spacing w:after="0"/>
              <w:rPr>
                <w:sz w:val="15"/>
                <w:szCs w:val="15"/>
                <w:color w:val="auto"/>
              </w:rPr>
            </w:pPr>
          </w:p>
        </w:tc>
        <w:tc>
          <w:tcPr>
            <w:tcW w:w="4940" w:type="dxa"/>
            <w:vAlign w:val="bottom"/>
            <w:gridSpan w:val="16"/>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83"/>
        </w:trPr>
        <w:tc>
          <w:tcPr>
            <w:tcW w:w="4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0" w:type="dxa"/>
            <w:vAlign w:val="bottom"/>
            <w:gridSpan w:val="28"/>
          </w:tcPr>
          <w:p>
            <w:pPr>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ITEM 5. MARKET FOR REGISTRANT’S COMMON EQUITY, RELATED STOCKHOLDER MATTERS</w:t>
              </w:r>
            </w:hyperlink>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6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9"/>
              </w:rPr>
            </w:pPr>
            <w:hyperlink w:anchor="page77">
              <w:r>
                <w:rPr>
                  <w:rFonts w:ascii="Arial" w:cs="Arial" w:eastAsia="Arial" w:hAnsi="Arial"/>
                  <w:sz w:val="18"/>
                  <w:szCs w:val="18"/>
                  <w:color w:val="0000EE"/>
                  <w:w w:val="99"/>
                </w:rPr>
                <w:t>AND ISSUER PURCHASES OF EQUITY SECURITIES.</w:t>
              </w:r>
            </w:hyperlink>
          </w:p>
        </w:tc>
        <w:tc>
          <w:tcPr>
            <w:tcW w:w="3560" w:type="dxa"/>
            <w:vAlign w:val="bottom"/>
            <w:tcBorders>
              <w:top w:val="single" w:sz="8" w:color="0000EE"/>
            </w:tcBorders>
            <w:gridSpan w:val="10"/>
          </w:tcPr>
          <w:p>
            <w:pPr>
              <w:spacing w:after="0"/>
              <w:rPr>
                <w:sz w:val="15"/>
                <w:szCs w:val="15"/>
                <w:color w:val="auto"/>
              </w:rPr>
            </w:pPr>
          </w:p>
        </w:tc>
        <w:tc>
          <w:tcPr>
            <w:tcW w:w="180" w:type="dxa"/>
            <w:vAlign w:val="bottom"/>
            <w:gridSpan w:val="2"/>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0" w:type="dxa"/>
            <w:vAlign w:val="bottom"/>
            <w:gridSpan w:val="28"/>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ITEM 7. MANAGEMENT’S DISCUSSION AND ANALYSIS OF FINANCIAL CONDITION AND</w:t>
              </w:r>
            </w:hyperlink>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RESULTS OF OPERATIONS.</w:t>
              </w:r>
            </w:hyperlink>
          </w:p>
        </w:tc>
        <w:tc>
          <w:tcPr>
            <w:tcW w:w="800" w:type="dxa"/>
            <w:vAlign w:val="bottom"/>
            <w:gridSpan w:val="4"/>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20" w:type="dxa"/>
            <w:vAlign w:val="bottom"/>
            <w:tcBorders>
              <w:bottom w:val="single" w:sz="8" w:color="0000EE"/>
            </w:tcBorders>
            <w:gridSpan w:val="22"/>
          </w:tcPr>
          <w:p>
            <w:pPr>
              <w:spacing w:after="0" w:line="182" w:lineRule="exact"/>
              <w:rPr>
                <w:rFonts w:ascii="Arial" w:cs="Arial" w:eastAsia="Arial" w:hAnsi="Arial"/>
                <w:sz w:val="18"/>
                <w:szCs w:val="18"/>
                <w:color w:val="0000EE"/>
                <w:w w:val="98"/>
              </w:rPr>
            </w:pPr>
            <w:hyperlink w:anchor="page91">
              <w:r>
                <w:rPr>
                  <w:rFonts w:ascii="Arial" w:cs="Arial" w:eastAsia="Arial" w:hAnsi="Arial"/>
                  <w:sz w:val="18"/>
                  <w:szCs w:val="18"/>
                  <w:color w:val="0000EE"/>
                  <w:w w:val="98"/>
                </w:rPr>
                <w:t>ITEM 7A. QUANTITATIVE AND QUALITATIVE DISCLOSURES ABOUT MARKET RISK.</w:t>
              </w:r>
            </w:hyperlink>
          </w:p>
        </w:tc>
        <w:tc>
          <w:tcPr>
            <w:tcW w:w="1180" w:type="dxa"/>
            <w:vAlign w:val="bottom"/>
            <w:gridSpan w:val="6"/>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0" w:type="dxa"/>
            <w:vAlign w:val="bottom"/>
            <w:gridSpan w:val="28"/>
          </w:tcPr>
          <w:p>
            <w:pPr>
              <w:spacing w:after="0" w:line="182" w:lineRule="exact"/>
              <w:rPr>
                <w:rFonts w:ascii="Arial" w:cs="Arial" w:eastAsia="Arial" w:hAnsi="Arial"/>
                <w:sz w:val="18"/>
                <w:szCs w:val="18"/>
                <w:color w:val="0000EE"/>
              </w:rPr>
            </w:pPr>
            <w:hyperlink w:anchor="page92">
              <w:r>
                <w:rPr>
                  <w:rFonts w:ascii="Arial" w:cs="Arial" w:eastAsia="Arial" w:hAnsi="Arial"/>
                  <w:sz w:val="18"/>
                  <w:szCs w:val="18"/>
                  <w:color w:val="0000EE"/>
                </w:rPr>
                <w:t>ITEM 8. FINANCIAL STATEMENTS AND SUPPLEMENTARY DATA.</w:t>
              </w:r>
            </w:hyperlink>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0" w:type="dxa"/>
            <w:vAlign w:val="bottom"/>
            <w:gridSpan w:val="28"/>
          </w:tcPr>
          <w:p>
            <w:pPr>
              <w:spacing w:after="0" w:line="182" w:lineRule="exact"/>
              <w:rPr>
                <w:rFonts w:ascii="Arial" w:cs="Arial" w:eastAsia="Arial" w:hAnsi="Arial"/>
                <w:sz w:val="18"/>
                <w:szCs w:val="18"/>
                <w:color w:val="0000EE"/>
              </w:rPr>
            </w:pPr>
            <w:hyperlink w:anchor="page119">
              <w:r>
                <w:rPr>
                  <w:rFonts w:ascii="Arial" w:cs="Arial" w:eastAsia="Arial" w:hAnsi="Arial"/>
                  <w:sz w:val="18"/>
                  <w:szCs w:val="18"/>
                  <w:color w:val="0000EE"/>
                </w:rPr>
                <w:t>ITEM 9. CHANGES IN AND DISAGREEMENTS WITH ACCOUNTANTS ON ACCOUNTING AND</w:t>
              </w:r>
            </w:hyperlink>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8"/>
              </w:rPr>
            </w:pPr>
            <w:hyperlink w:anchor="page119">
              <w:r>
                <w:rPr>
                  <w:rFonts w:ascii="Arial" w:cs="Arial" w:eastAsia="Arial" w:hAnsi="Arial"/>
                  <w:sz w:val="18"/>
                  <w:szCs w:val="18"/>
                  <w:color w:val="0000EE"/>
                  <w:w w:val="98"/>
                </w:rPr>
                <w:t>FINANCIAL DISCLOSURE.</w:t>
              </w:r>
            </w:hyperlink>
          </w:p>
        </w:tc>
        <w:tc>
          <w:tcPr>
            <w:tcW w:w="5540" w:type="dxa"/>
            <w:vAlign w:val="bottom"/>
            <w:tcBorders>
              <w:top w:val="single" w:sz="8" w:color="0000EE"/>
            </w:tcBorders>
            <w:gridSpan w:val="19"/>
          </w:tcPr>
          <w:p>
            <w:pPr>
              <w:spacing w:after="0"/>
              <w:rPr>
                <w:sz w:val="15"/>
                <w:szCs w:val="15"/>
                <w:color w:val="auto"/>
              </w:rPr>
            </w:pPr>
          </w:p>
        </w:tc>
        <w:tc>
          <w:tcPr>
            <w:tcW w:w="460" w:type="dxa"/>
            <w:vAlign w:val="bottom"/>
            <w:gridSpan w:val="3"/>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0" w:type="dxa"/>
            <w:vAlign w:val="bottom"/>
            <w:gridSpan w:val="28"/>
          </w:tcPr>
          <w:p>
            <w:pPr>
              <w:spacing w:after="0" w:line="182" w:lineRule="exact"/>
              <w:rPr>
                <w:rFonts w:ascii="Arial" w:cs="Arial" w:eastAsia="Arial" w:hAnsi="Arial"/>
                <w:sz w:val="18"/>
                <w:szCs w:val="18"/>
                <w:color w:val="0000EE"/>
              </w:rPr>
            </w:pPr>
            <w:hyperlink w:anchor="page119">
              <w:r>
                <w:rPr>
                  <w:rFonts w:ascii="Arial" w:cs="Arial" w:eastAsia="Arial" w:hAnsi="Arial"/>
                  <w:sz w:val="18"/>
                  <w:szCs w:val="18"/>
                  <w:color w:val="0000EE"/>
                </w:rPr>
                <w:t>ITEM 9A. CONTROLS AND PROCEDURES.</w:t>
              </w:r>
            </w:hyperlink>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76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8"/>
              </w:rPr>
            </w:pPr>
            <w:hyperlink w:anchor="page121">
              <w:r>
                <w:rPr>
                  <w:rFonts w:ascii="Arial" w:cs="Arial" w:eastAsia="Arial" w:hAnsi="Arial"/>
                  <w:sz w:val="18"/>
                  <w:szCs w:val="18"/>
                  <w:color w:val="0000EE"/>
                  <w:w w:val="98"/>
                </w:rPr>
                <w:t>ITEM 9B. OTHER INFORMATION.</w:t>
              </w:r>
            </w:hyperlink>
          </w:p>
        </w:tc>
        <w:tc>
          <w:tcPr>
            <w:tcW w:w="820" w:type="dxa"/>
            <w:vAlign w:val="bottom"/>
            <w:tcBorders>
              <w:top w:val="single" w:sz="8" w:color="0000EE"/>
            </w:tcBorders>
            <w:gridSpan w:val="4"/>
          </w:tcPr>
          <w:p>
            <w:pPr>
              <w:spacing w:after="0"/>
              <w:rPr>
                <w:sz w:val="15"/>
                <w:szCs w:val="15"/>
                <w:color w:val="auto"/>
              </w:rPr>
            </w:pPr>
          </w:p>
        </w:tc>
        <w:tc>
          <w:tcPr>
            <w:tcW w:w="4620" w:type="dxa"/>
            <w:vAlign w:val="bottom"/>
            <w:gridSpan w:val="14"/>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0" w:type="dxa"/>
            <w:vAlign w:val="bottom"/>
            <w:gridSpan w:val="28"/>
          </w:tcPr>
          <w:p>
            <w:pPr>
              <w:spacing w:after="0" w:line="182" w:lineRule="exact"/>
              <w:rPr>
                <w:rFonts w:ascii="Arial" w:cs="Arial" w:eastAsia="Arial" w:hAnsi="Arial"/>
                <w:sz w:val="18"/>
                <w:szCs w:val="18"/>
                <w:color w:val="0000EE"/>
                <w:w w:val="99"/>
              </w:rPr>
            </w:pPr>
            <w:hyperlink w:anchor="page121">
              <w:r>
                <w:rPr>
                  <w:rFonts w:ascii="Arial" w:cs="Arial" w:eastAsia="Arial" w:hAnsi="Arial"/>
                  <w:sz w:val="18"/>
                  <w:szCs w:val="18"/>
                  <w:color w:val="0000EE"/>
                  <w:w w:val="99"/>
                </w:rPr>
                <w:t>ITEM 9C. DISCLOSURES REGARDING FOREIGN JURISDICTIONS THAT PREVENT INSPECTIONS</w:t>
              </w:r>
            </w:hyperlink>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83"/>
        </w:trPr>
        <w:tc>
          <w:tcPr>
            <w:tcW w:w="1000" w:type="dxa"/>
            <w:vAlign w:val="bottom"/>
            <w:gridSpan w:val="5"/>
          </w:tcPr>
          <w:p>
            <w:pPr>
              <w:spacing w:after="0" w:line="182" w:lineRule="exact"/>
              <w:rPr>
                <w:rFonts w:ascii="Arial" w:cs="Arial" w:eastAsia="Arial" w:hAnsi="Arial"/>
                <w:sz w:val="18"/>
                <w:szCs w:val="18"/>
                <w:color w:val="0000EE"/>
              </w:rPr>
            </w:pPr>
            <w:hyperlink w:anchor="page122">
              <w:r>
                <w:rPr>
                  <w:rFonts w:ascii="Arial" w:cs="Arial" w:eastAsia="Arial" w:hAnsi="Arial"/>
                  <w:sz w:val="18"/>
                  <w:szCs w:val="18"/>
                  <w:color w:val="0000EE"/>
                </w:rPr>
                <w:t>Part III</w:t>
              </w:r>
            </w:hyperlink>
          </w:p>
        </w:tc>
        <w:tc>
          <w:tcPr>
            <w:tcW w:w="8200" w:type="dxa"/>
            <w:vAlign w:val="bottom"/>
            <w:tcBorders>
              <w:top w:val="single" w:sz="8" w:color="0000EE"/>
            </w:tcBorders>
            <w:gridSpan w:val="28"/>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83"/>
        </w:trPr>
        <w:tc>
          <w:tcPr>
            <w:tcW w:w="4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0" w:type="dxa"/>
            <w:vAlign w:val="bottom"/>
            <w:gridSpan w:val="28"/>
          </w:tcPr>
          <w:p>
            <w:pPr>
              <w:spacing w:after="0" w:line="182" w:lineRule="exact"/>
              <w:rPr>
                <w:rFonts w:ascii="Arial" w:cs="Arial" w:eastAsia="Arial" w:hAnsi="Arial"/>
                <w:sz w:val="18"/>
                <w:szCs w:val="18"/>
                <w:color w:val="0000EE"/>
              </w:rPr>
            </w:pPr>
            <w:hyperlink w:anchor="page122">
              <w:r>
                <w:rPr>
                  <w:rFonts w:ascii="Arial" w:cs="Arial" w:eastAsia="Arial" w:hAnsi="Arial"/>
                  <w:sz w:val="18"/>
                  <w:szCs w:val="18"/>
                  <w:color w:val="0000EE"/>
                </w:rPr>
                <w:t>ITEM 10. DIRECTORS, EXECUTIVE OFFICERS AND CORPORATE GOVERNANCE.</w:t>
              </w:r>
            </w:hyperlink>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8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122">
              <w:r>
                <w:rPr>
                  <w:rFonts w:ascii="Arial" w:cs="Arial" w:eastAsia="Arial" w:hAnsi="Arial"/>
                  <w:sz w:val="18"/>
                  <w:szCs w:val="18"/>
                  <w:color w:val="0000EE"/>
                </w:rPr>
                <w:t>ITEM 11. EXECUTIVE COMPENSATION.</w:t>
              </w:r>
            </w:hyperlink>
          </w:p>
        </w:tc>
        <w:tc>
          <w:tcPr>
            <w:tcW w:w="1320" w:type="dxa"/>
            <w:vAlign w:val="bottom"/>
            <w:gridSpan w:val="7"/>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120" w:type="dxa"/>
            <w:vAlign w:val="bottom"/>
            <w:tcBorders>
              <w:bottom w:val="single" w:sz="8" w:color="0000EE"/>
            </w:tcBorders>
            <w:gridSpan w:val="27"/>
          </w:tcPr>
          <w:p>
            <w:pPr>
              <w:spacing w:after="0" w:line="182" w:lineRule="exact"/>
              <w:rPr>
                <w:rFonts w:ascii="Arial" w:cs="Arial" w:eastAsia="Arial" w:hAnsi="Arial"/>
                <w:sz w:val="18"/>
                <w:szCs w:val="18"/>
                <w:color w:val="0000EE"/>
                <w:w w:val="99"/>
              </w:rPr>
            </w:pPr>
            <w:hyperlink w:anchor="page122">
              <w:r>
                <w:rPr>
                  <w:rFonts w:ascii="Arial" w:cs="Arial" w:eastAsia="Arial" w:hAnsi="Arial"/>
                  <w:sz w:val="18"/>
                  <w:szCs w:val="18"/>
                  <w:color w:val="0000EE"/>
                  <w:w w:val="99"/>
                </w:rPr>
                <w:t>ITEM 12. SECURITY OWNERSHIP OF CERTAIN BENEFICIAL OWNERS AND MANAGEMENT AND</w:t>
              </w:r>
            </w:hyperlink>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0" w:type="dxa"/>
            <w:vAlign w:val="bottom"/>
            <w:gridSpan w:val="28"/>
          </w:tcPr>
          <w:p>
            <w:pPr>
              <w:spacing w:after="0" w:line="182" w:lineRule="exact"/>
              <w:rPr>
                <w:rFonts w:ascii="Arial" w:cs="Arial" w:eastAsia="Arial" w:hAnsi="Arial"/>
                <w:sz w:val="18"/>
                <w:szCs w:val="18"/>
                <w:color w:val="0000EE"/>
              </w:rPr>
            </w:pPr>
            <w:hyperlink w:anchor="page122">
              <w:r>
                <w:rPr>
                  <w:rFonts w:ascii="Arial" w:cs="Arial" w:eastAsia="Arial" w:hAnsi="Arial"/>
                  <w:sz w:val="18"/>
                  <w:szCs w:val="18"/>
                  <w:color w:val="0000EE"/>
                </w:rPr>
                <w:t>RELATED STOCKHOLDER MATTERS.</w:t>
              </w:r>
            </w:hyperlink>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40" w:type="dxa"/>
            <w:vAlign w:val="bottom"/>
            <w:tcBorders>
              <w:bottom w:val="single" w:sz="8" w:color="0000EE"/>
            </w:tcBorders>
            <w:gridSpan w:val="23"/>
          </w:tcPr>
          <w:p>
            <w:pPr>
              <w:spacing w:after="0" w:line="182" w:lineRule="exact"/>
              <w:rPr>
                <w:rFonts w:ascii="Arial" w:cs="Arial" w:eastAsia="Arial" w:hAnsi="Arial"/>
                <w:sz w:val="18"/>
                <w:szCs w:val="18"/>
                <w:color w:val="0000EE"/>
                <w:w w:val="98"/>
              </w:rPr>
            </w:pPr>
            <w:hyperlink w:anchor="page122">
              <w:r>
                <w:rPr>
                  <w:rFonts w:ascii="Arial" w:cs="Arial" w:eastAsia="Arial" w:hAnsi="Arial"/>
                  <w:sz w:val="18"/>
                  <w:szCs w:val="18"/>
                  <w:color w:val="0000EE"/>
                  <w:w w:val="98"/>
                </w:rPr>
                <w:t>ITEM 13. CERTAIN RELATIONSHIPS AND RELATED TRANSACTIONS, AND DIRECTOR</w:t>
              </w:r>
            </w:hyperlink>
          </w:p>
        </w:tc>
        <w:tc>
          <w:tcPr>
            <w:tcW w:w="960" w:type="dxa"/>
            <w:vAlign w:val="bottom"/>
            <w:gridSpan w:val="5"/>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0" w:type="dxa"/>
            <w:vAlign w:val="bottom"/>
            <w:gridSpan w:val="28"/>
          </w:tcPr>
          <w:p>
            <w:pPr>
              <w:spacing w:after="0" w:line="182" w:lineRule="exact"/>
              <w:rPr>
                <w:rFonts w:ascii="Arial" w:cs="Arial" w:eastAsia="Arial" w:hAnsi="Arial"/>
                <w:sz w:val="18"/>
                <w:szCs w:val="18"/>
                <w:color w:val="0000EE"/>
              </w:rPr>
            </w:pPr>
            <w:hyperlink w:anchor="page122">
              <w:r>
                <w:rPr>
                  <w:rFonts w:ascii="Arial" w:cs="Arial" w:eastAsia="Arial" w:hAnsi="Arial"/>
                  <w:sz w:val="18"/>
                  <w:szCs w:val="18"/>
                  <w:color w:val="0000EE"/>
                </w:rPr>
                <w:t>INDEPENDENCE.</w:t>
              </w:r>
            </w:hyperlink>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22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1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0" w:type="dxa"/>
            <w:vAlign w:val="bottom"/>
            <w:gridSpan w:val="28"/>
          </w:tcPr>
          <w:p>
            <w:pPr>
              <w:spacing w:after="0" w:line="182" w:lineRule="exact"/>
              <w:rPr>
                <w:rFonts w:ascii="Arial" w:cs="Arial" w:eastAsia="Arial" w:hAnsi="Arial"/>
                <w:sz w:val="18"/>
                <w:szCs w:val="18"/>
                <w:color w:val="0000EE"/>
              </w:rPr>
            </w:pPr>
            <w:hyperlink w:anchor="page122">
              <w:r>
                <w:rPr>
                  <w:rFonts w:ascii="Arial" w:cs="Arial" w:eastAsia="Arial" w:hAnsi="Arial"/>
                  <w:sz w:val="18"/>
                  <w:szCs w:val="18"/>
                  <w:color w:val="0000EE"/>
                </w:rPr>
                <w:t>ITEM 14. PRINCIPAL ACCOUNTING FEES AND SERVICES.</w:t>
              </w:r>
            </w:hyperlink>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83"/>
        </w:trPr>
        <w:tc>
          <w:tcPr>
            <w:tcW w:w="1000" w:type="dxa"/>
            <w:vAlign w:val="bottom"/>
            <w:gridSpan w:val="5"/>
          </w:tcPr>
          <w:p>
            <w:pPr>
              <w:spacing w:after="0" w:line="182" w:lineRule="exact"/>
              <w:rPr>
                <w:rFonts w:ascii="Arial" w:cs="Arial" w:eastAsia="Arial" w:hAnsi="Arial"/>
                <w:sz w:val="18"/>
                <w:szCs w:val="18"/>
                <w:color w:val="0000EE"/>
              </w:rPr>
            </w:pPr>
            <w:hyperlink w:anchor="page123">
              <w:r>
                <w:rPr>
                  <w:rFonts w:ascii="Arial" w:cs="Arial" w:eastAsia="Arial" w:hAnsi="Arial"/>
                  <w:sz w:val="18"/>
                  <w:szCs w:val="18"/>
                  <w:color w:val="0000EE"/>
                </w:rPr>
                <w:t>Part IV</w:t>
              </w:r>
            </w:hyperlink>
          </w:p>
        </w:tc>
        <w:tc>
          <w:tcPr>
            <w:tcW w:w="4920" w:type="dxa"/>
            <w:vAlign w:val="bottom"/>
            <w:tcBorders>
              <w:top w:val="single" w:sz="8" w:color="0000EE"/>
            </w:tcBorders>
            <w:gridSpan w:val="17"/>
          </w:tcPr>
          <w:p>
            <w:pPr>
              <w:spacing w:after="0"/>
              <w:rPr>
                <w:sz w:val="15"/>
                <w:szCs w:val="15"/>
                <w:color w:val="auto"/>
              </w:rPr>
            </w:pPr>
          </w:p>
        </w:tc>
        <w:tc>
          <w:tcPr>
            <w:tcW w:w="3280" w:type="dxa"/>
            <w:vAlign w:val="bottom"/>
            <w:gridSpan w:val="11"/>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83"/>
        </w:trPr>
        <w:tc>
          <w:tcPr>
            <w:tcW w:w="4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40" w:type="dxa"/>
            <w:vAlign w:val="bottom"/>
          </w:tcPr>
          <w:p>
            <w:pPr>
              <w:spacing w:after="0"/>
              <w:rPr>
                <w:sz w:val="15"/>
                <w:szCs w:val="15"/>
                <w:color w:val="auto"/>
              </w:rPr>
            </w:pPr>
          </w:p>
        </w:tc>
        <w:tc>
          <w:tcPr>
            <w:tcW w:w="4940" w:type="dxa"/>
            <w:vAlign w:val="bottom"/>
            <w:tcBorders>
              <w:bottom w:val="single" w:sz="8" w:color="0000EE"/>
            </w:tcBorders>
            <w:gridSpan w:val="18"/>
          </w:tcPr>
          <w:p>
            <w:pPr>
              <w:spacing w:after="0" w:line="182" w:lineRule="exact"/>
              <w:rPr>
                <w:rFonts w:ascii="Arial" w:cs="Arial" w:eastAsia="Arial" w:hAnsi="Arial"/>
                <w:sz w:val="18"/>
                <w:szCs w:val="18"/>
                <w:color w:val="0000EE"/>
                <w:w w:val="98"/>
              </w:rPr>
            </w:pPr>
            <w:hyperlink w:anchor="page123">
              <w:r>
                <w:rPr>
                  <w:rFonts w:ascii="Arial" w:cs="Arial" w:eastAsia="Arial" w:hAnsi="Arial"/>
                  <w:sz w:val="18"/>
                  <w:szCs w:val="18"/>
                  <w:color w:val="0000EE"/>
                  <w:w w:val="98"/>
                </w:rPr>
                <w:t>ITEM 15. EXHIBITS, FINANCIAL STATEMENT SCHEDULES.</w:t>
              </w:r>
            </w:hyperlink>
          </w:p>
        </w:tc>
        <w:tc>
          <w:tcPr>
            <w:tcW w:w="3260" w:type="dxa"/>
            <w:vAlign w:val="bottom"/>
            <w:gridSpan w:val="10"/>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720" w:type="dxa"/>
            <w:vAlign w:val="bottom"/>
            <w:tcBorders>
              <w:bottom w:val="single" w:sz="8" w:color="0000EE"/>
            </w:tcBorders>
            <w:gridSpan w:val="9"/>
          </w:tcPr>
          <w:p>
            <w:pPr>
              <w:spacing w:after="0" w:line="182" w:lineRule="exact"/>
              <w:rPr>
                <w:rFonts w:ascii="Arial" w:cs="Arial" w:eastAsia="Arial" w:hAnsi="Arial"/>
                <w:sz w:val="18"/>
                <w:szCs w:val="18"/>
                <w:color w:val="0000EE"/>
                <w:w w:val="97"/>
              </w:rPr>
            </w:pPr>
            <w:hyperlink w:anchor="page126">
              <w:r>
                <w:rPr>
                  <w:rFonts w:ascii="Arial" w:cs="Arial" w:eastAsia="Arial" w:hAnsi="Arial"/>
                  <w:sz w:val="18"/>
                  <w:szCs w:val="18"/>
                  <w:color w:val="0000EE"/>
                  <w:w w:val="97"/>
                </w:rPr>
                <w:t>ITEM 16. FORM 10-K SUMMARY.</w:t>
              </w:r>
            </w:hyperlink>
          </w:p>
        </w:tc>
        <w:tc>
          <w:tcPr>
            <w:tcW w:w="5480" w:type="dxa"/>
            <w:vAlign w:val="bottom"/>
            <w:gridSpan w:val="19"/>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0" w:type="dxa"/>
            <w:vAlign w:val="bottom"/>
            <w:gridSpan w:val="28"/>
          </w:tcPr>
          <w:p>
            <w:pPr>
              <w:spacing w:after="0" w:line="182" w:lineRule="exact"/>
              <w:rPr>
                <w:rFonts w:ascii="Arial" w:cs="Arial" w:eastAsia="Arial" w:hAnsi="Arial"/>
                <w:sz w:val="18"/>
                <w:szCs w:val="18"/>
                <w:color w:val="0000EE"/>
              </w:rPr>
            </w:pPr>
            <w:hyperlink w:anchor="page127">
              <w:r>
                <w:rPr>
                  <w:rFonts w:ascii="Arial" w:cs="Arial" w:eastAsia="Arial" w:hAnsi="Arial"/>
                  <w:sz w:val="18"/>
                  <w:szCs w:val="18"/>
                  <w:color w:val="0000EE"/>
                </w:rPr>
                <w:t>SIGNATURES</w:t>
              </w:r>
            </w:hyperlink>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783"/>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including statements regarding our future results of operations and financial position, the anticipated impact of the novel coronavirus (“COVID-19”) pandemic on our business, business strategy, products,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such differences include, but are not limited to, statements about:</w:t>
      </w:r>
    </w:p>
    <w:p>
      <w:pPr>
        <w:spacing w:after="0" w:line="204" w:lineRule="exact"/>
        <w:rPr>
          <w:sz w:val="20"/>
          <w:szCs w:val="20"/>
          <w:color w:val="auto"/>
        </w:rPr>
      </w:pPr>
    </w:p>
    <w:p>
      <w:pPr>
        <w:ind w:left="1000" w:hanging="31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efforts and strategy for WAKIX;</w:t>
      </w:r>
    </w:p>
    <w:p>
      <w:pPr>
        <w:spacing w:after="0" w:line="225" w:lineRule="exact"/>
        <w:rPr>
          <w:rFonts w:ascii="Arial" w:cs="Arial" w:eastAsia="Arial" w:hAnsi="Arial"/>
          <w:sz w:val="18"/>
          <w:szCs w:val="18"/>
          <w:color w:val="auto"/>
        </w:rPr>
      </w:pPr>
    </w:p>
    <w:p>
      <w:pPr>
        <w:ind w:left="1000" w:hanging="317"/>
        <w:spacing w:after="0" w:line="246"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pitolisant in additional indications, if approved, and any other product candidates we may develop or acquire, if approved;</w:t>
      </w:r>
    </w:p>
    <w:p>
      <w:pPr>
        <w:spacing w:after="0" w:line="196" w:lineRule="exact"/>
        <w:rPr>
          <w:rFonts w:ascii="Arial" w:cs="Arial" w:eastAsia="Arial" w:hAnsi="Arial"/>
          <w:sz w:val="18"/>
          <w:szCs w:val="18"/>
          <w:color w:val="auto"/>
        </w:rPr>
      </w:pPr>
    </w:p>
    <w:p>
      <w:pPr>
        <w:ind w:left="1000" w:right="20" w:hanging="317"/>
        <w:spacing w:after="0" w:line="246"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research and development plans, including our plans to explore the therapeutic potential of pitolisant in additional indications;</w:t>
      </w:r>
    </w:p>
    <w:p>
      <w:pPr>
        <w:spacing w:after="0" w:line="196" w:lineRule="exact"/>
        <w:rPr>
          <w:rFonts w:ascii="Arial" w:cs="Arial" w:eastAsia="Arial" w:hAnsi="Arial"/>
          <w:sz w:val="18"/>
          <w:szCs w:val="18"/>
          <w:color w:val="auto"/>
        </w:rPr>
      </w:pPr>
    </w:p>
    <w:p>
      <w:pPr>
        <w:ind w:left="1000" w:hanging="31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and planned clinical trials;</w:t>
      </w:r>
    </w:p>
    <w:p>
      <w:pPr>
        <w:spacing w:after="0" w:line="225" w:lineRule="exact"/>
        <w:rPr>
          <w:rFonts w:ascii="Arial" w:cs="Arial" w:eastAsia="Arial" w:hAnsi="Arial"/>
          <w:sz w:val="18"/>
          <w:szCs w:val="18"/>
          <w:color w:val="auto"/>
        </w:rPr>
      </w:pPr>
    </w:p>
    <w:p>
      <w:pPr>
        <w:ind w:left="1000" w:right="20" w:hanging="317"/>
        <w:spacing w:after="0" w:line="246"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the scope of our license agreement with Bioprojet Société Civile de Recherche (“Bioprojet”);</w:t>
      </w:r>
    </w:p>
    <w:p>
      <w:pPr>
        <w:spacing w:after="0" w:line="196" w:lineRule="exact"/>
        <w:rPr>
          <w:rFonts w:ascii="Arial" w:cs="Arial" w:eastAsia="Arial" w:hAnsi="Arial"/>
          <w:sz w:val="18"/>
          <w:szCs w:val="18"/>
          <w:color w:val="auto"/>
        </w:rPr>
      </w:pPr>
    </w:p>
    <w:p>
      <w:pPr>
        <w:ind w:left="1000" w:hanging="31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favorable insurance coverage and reimbursement for WAKIX;</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25" w:lineRule="exact"/>
        <w:rPr>
          <w:rFonts w:ascii="Arial" w:cs="Arial" w:eastAsia="Arial" w:hAnsi="Arial"/>
          <w:sz w:val="18"/>
          <w:szCs w:val="18"/>
          <w:color w:val="auto"/>
        </w:rPr>
      </w:pPr>
    </w:p>
    <w:p>
      <w:pPr>
        <w:ind w:left="1000" w:hanging="317"/>
        <w:spacing w:after="0" w:line="246"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regulatory approvals for pitolisant for other indications as well as any other product candidates;</w:t>
      </w:r>
    </w:p>
    <w:p>
      <w:pPr>
        <w:spacing w:after="0" w:line="196" w:lineRule="exact"/>
        <w:rPr>
          <w:rFonts w:ascii="Arial" w:cs="Arial" w:eastAsia="Arial" w:hAnsi="Arial"/>
          <w:sz w:val="18"/>
          <w:szCs w:val="18"/>
          <w:color w:val="auto"/>
        </w:rPr>
      </w:pPr>
    </w:p>
    <w:p>
      <w:pPr>
        <w:ind w:left="1000" w:hanging="317"/>
        <w:spacing w:after="0" w:line="246"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 needs;</w:t>
      </w:r>
    </w:p>
    <w:p>
      <w:pPr>
        <w:spacing w:after="0" w:line="196" w:lineRule="exact"/>
        <w:rPr>
          <w:rFonts w:ascii="Arial" w:cs="Arial" w:eastAsia="Arial" w:hAnsi="Arial"/>
          <w:sz w:val="18"/>
          <w:szCs w:val="18"/>
          <w:color w:val="auto"/>
        </w:rPr>
      </w:pPr>
    </w:p>
    <w:p>
      <w:pPr>
        <w:ind w:left="1000" w:hanging="317"/>
        <w:spacing w:after="0" w:line="246"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w:t>
      </w:r>
    </w:p>
    <w:p>
      <w:pPr>
        <w:spacing w:after="0" w:line="196" w:lineRule="exact"/>
        <w:rPr>
          <w:rFonts w:ascii="Arial" w:cs="Arial" w:eastAsia="Arial" w:hAnsi="Arial"/>
          <w:sz w:val="18"/>
          <w:szCs w:val="18"/>
          <w:color w:val="auto"/>
        </w:rPr>
      </w:pPr>
    </w:p>
    <w:p>
      <w:pPr>
        <w:ind w:left="1000" w:hanging="31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competition in our industry;</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or retirement of key members of management;</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successfully execute our growth strategy, including any delays in our planned future growth;</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maintain effective internal controls;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ind w:left="1000" w:hanging="317"/>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2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important factors that could cause actual results to differ materially from those in the forward-looking statements, including the factors described under the sections in this Annual Report on Form 10-K titled “—Item 1A. Risk Factors.” and “Part II—Item 7. Management’s Discussion and Analysis of Financial Condition and Results of Operations.”</w:t>
      </w:r>
    </w:p>
    <w:p>
      <w:pPr>
        <w:spacing w:after="0" w:line="20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9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Unless otherwise indicated, information contained in this Annual Report on Form 10-K concerning our industry, including industry statistics and forecasts,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forecasts, assumptions and estimates of the future performance of the industry in which we operate and our future performance are necessarily subject to uncertainty and risk due to a variety of factors, including those described herein under “—Item 1A. Risk Factors.” and “—Cautionary Note Regarding Forward-Looking Statements.” These and other factors could cause results to differ materially from those expressed and forecasts in the estimates made by the independent parties and by us.</w:t>
      </w:r>
    </w:p>
    <w:p>
      <w:pPr>
        <w:spacing w:after="0" w:line="2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As used herein, the terms “Harmony,” “we,” “us,” “our” and “the Company” refer to Harmony Biosciences Holdings, Inc., a Delaware corporation, and our operating subsidiary, Harmony Biosciences, LLC.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are a commercial-stage, rare disease pharmaceutical company focused on developing and commercializing innovative therapies for patients living with rare neurological diseases who have unmet medical needs. Our product, WAKIX (pitolisant), is a first-in-class molecule with a novel mechanism of action (“MOA”) specifically designed to increase histamine signaling in the brain by binding to H</w:t>
      </w:r>
      <w:r>
        <w:rPr>
          <w:rFonts w:ascii="Arial" w:cs="Arial" w:eastAsia="Arial" w:hAnsi="Arial"/>
          <w:sz w:val="13"/>
          <w:szCs w:val="13"/>
          <w:color w:val="auto"/>
        </w:rPr>
        <w:t>3</w:t>
      </w:r>
      <w:r>
        <w:rPr>
          <w:rFonts w:ascii="Arial" w:cs="Arial" w:eastAsia="Arial" w:hAnsi="Arial"/>
          <w:sz w:val="18"/>
          <w:szCs w:val="18"/>
          <w:color w:val="auto"/>
        </w:rPr>
        <w:t xml:space="preserve"> receptors. In August 2019, WAKIX was approved by the U.S. Food and Drug Administration (the “FDA”) for the treatment of excessive daytime sleepiness (“EDS”) in adult patients with narcolepsy, and its U.S. commercial launch was initiated in November 2019. On October 13, 2020, WAKIX was approved by the FDA for the treatment of cataplexy in adult patients with narcolepsy. WAKIX is the first-and-only approved product for patients with narcolepsy that is not scheduled as a controlled substance by the U.S. Drug Enforcement Administration (the “DEA”).</w:t>
      </w:r>
    </w:p>
    <w:p>
      <w:pPr>
        <w:spacing w:after="0" w:line="20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are currently pursuing label expansion for WAKIX in narcolepsy in pediatric patients and have engaged with the FDA in pursuit of pediatric exclusivity. Our strategic partner, Bioprojet is evaluating pitolisant in pediatric patients with narcolepsy and has completed a Phase 3 trial. We will be working with Bioprojet to assess the data from the Phase 3 trial to inform how best to advance the pediatric narcolepsy program. We believe that our strategic decision to assess this data first before advancing the pediatric program is the most prudent and thoughtful path forward from a development and financial perspective. In the meantime, we are continuing to evaluate regulatory strategies with regard to obtaining pediatric exclusivity. We anticipate providing an update on the path forward later this year.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ind w:firstLine="648"/>
        <w:spacing w:after="0" w:line="204" w:lineRule="auto"/>
        <w:rPr>
          <w:sz w:val="20"/>
          <w:szCs w:val="20"/>
          <w:color w:val="auto"/>
        </w:rPr>
      </w:pPr>
      <w:r>
        <w:rPr>
          <w:rFonts w:ascii="Arial" w:cs="Arial" w:eastAsia="Arial" w:hAnsi="Arial"/>
          <w:sz w:val="18"/>
          <w:szCs w:val="18"/>
          <w:color w:val="auto"/>
        </w:rPr>
        <w:t>We believe that pitolisant’s ability to regulate histamine gives it the potential to provide therapeutic benefit in other rare neurological diseases that are mediated through H</w:t>
      </w:r>
      <w:r>
        <w:rPr>
          <w:rFonts w:ascii="Arial" w:cs="Arial" w:eastAsia="Arial" w:hAnsi="Arial"/>
          <w:sz w:val="26"/>
          <w:szCs w:val="26"/>
          <w:color w:val="auto"/>
          <w:vertAlign w:val="subscript"/>
        </w:rPr>
        <w:t>3</w:t>
      </w:r>
      <w:r>
        <w:rPr>
          <w:rFonts w:ascii="Arial" w:cs="Arial" w:eastAsia="Arial" w:hAnsi="Arial"/>
          <w:sz w:val="18"/>
          <w:szCs w:val="18"/>
          <w:color w:val="auto"/>
        </w:rPr>
        <w:t xml:space="preserve"> receptors and histamine signaling. Beyond narcolepsy, we are</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initially focusing on the treatment of EDS associated with Prader-Willi Syndrome (“PWS”) and myotonic dystrophy, otherwise known as dystrophia myotonica (“DM”). We opened an investigational new drug application (“IND”) for pitolisant for the treatment of PWS in November 2019, completed a Phase 1 PK clinical trial in pediatric patients with PWS in December of 2019, then initiated a long-term, open-label safety trial in those patients who participated in the Phase 1 PK trial. In December 2020, we initiated a Phase 2 proof of concept (“POC”) clinical trial to evaluate pitolisant for the treatment of EDS and other key symptoms in patients with PWS and anticipate topline results from this POC trial in the second half of 2022. In June 2021, we initiated a Phase 2 clinical trial to evaluate pitolisant for the treatment of EDS, fatigue and cognitive dysfunction in adult patients with DM1 and anticipate topline results in 2023. In addition to these potential indications, we opened an IND for pitolisant for the treatment of idiopathic hypersomnia (IH) in November 2021 and plan to initiate a Phase 3 trial in adult patients with IH in the first half of 2022.</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also seek to expand our pipeline through the acquisition of additional assets that focus on addressing the unmet needs of patients with rare neurological diseases and/or neurological diseases that would allow us to leverage our existing infrastructure and expertise. Consistent with this objective, on August 4, 2021, we acquired HBS-102, a Melanin-concentrating hormone receptor 1 (MCHR1) antagonist previously developed as CSTI-100/ALB-127258(a)/ALB-127258 (the “Compound”), along with intellectual property and other assets related to the development, manufacture, and commercialization of the Compound from ConSynance Therapeutics, Inc. In connection with the acquisition, we made an upfront payment of $3.5 million and will be required to make certain payments upon the achievement of certain development milestones, regulatory milestones, and sales milestones and pay ongoing royalties upon commercialization. We acquired full development and commercialization rights globally, but we have provided a grant-back license to ConSynance for the development and commercialization of the Compound in Greater China. We are currently assessing potential clinical targets for HBS-102 which will inform our development strategy going forward.</w:t>
      </w:r>
    </w:p>
    <w:p>
      <w:pPr>
        <w:spacing w:after="0" w:line="20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Pitolisant was developed by Bioprojet and approved by the European Medicines Agency (“EMA”) in 2016 for the treatment of narcolepsy in adult patients with or without cataplexy. We acquired an exclusive license to develop, manufacture and commercialize pitolisant in the United States pursuant to our license agreement with Bioprojet (as amended, the “Bioprojet License Agreement”) in July 2017. See “—Strategic Agreement—License and Commercialization Agreement with Bioprojet” for further information regarding the Bioprojet License Agreement. Pitolisant was granted Orphan Drug Designation for the treatment of narcolepsy by the FDA in 2010. It received Breakthrough Therapy designation for the treatment of cataplexy in patients with narcolepsy and Fast Track designation for the treatment of EDS and cataplexy in patients with narcolepsy in April 2018.</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Our operating subsidiary, Harmony Biosciences, LLC, was formed in May 2017. We were formed in July 2017 as Harmony Biosciences II, LLC, a Delaware limited liability company, and we converted to a Delaware corporation named Harmony Biosciences II, Inc. in September 2017. In February 2020, we changed our name to Harmony Biosciences Holdings, Inc. Our operations to date have consisted of building and staffing our organization, acquiring the rights to pitolisant, raising capital, opening an IND for pitolisant in narcolepsy, conducting an Expanded Access Program (“EAP”) for pitolisant for appropriate patients with narcolepsy in the United States, preparing and submitting our NDA for pitolisant, gaining NDA approval for WAKIX for the treatment of EDS or cataplexy in adult patients with narcolepsy, and launching and commercializing WAKIX in the United States. In addition, we have opened INDs for the development of WAKIX/pitolisant in PWS, DM and IH and have initiated clinical trials in PWS and DM in pursuit of potential new indications in those rare disease patient populations. We also plan to initiate a Phase 3 trial in IH in the first half of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August 2020, we completed the initial public offering (“IPO”) of our common stock, in which we sold 6,151,162 shares, including 802,325 shares pursuant to the underwriters’ over-allotment option. The shares were sold at an IPO price of $24.00 per share for net proceeds of approximately $135.4 million, after deducting underwriting discounts and commissions and offering expenses of approximately $12.2 million. Upon the closing of the IPO, all outstanding shares of our convertible preferred stock were automatically converted into shares of common stock and the accrued dividend payable to holders of the convertible preferred stock was paid out in shares of common stock, resulting in a total of 42,926,630 shares of common stock being issued to former holders of our convertible preferred stock. In addition, warrants exercisable for convertible preferred stock were automatically converted into warrants exercisable for a total of 410,239 shares of common stock, which were exercised in September 2021 resulting in a net settlement of 221,511 shares of common stock being issued.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Business Update</w:t>
      </w:r>
    </w:p>
    <w:p>
      <w:pPr>
        <w:spacing w:after="0" w:line="234" w:lineRule="exact"/>
        <w:rPr>
          <w:sz w:val="20"/>
          <w:szCs w:val="20"/>
          <w:color w:val="auto"/>
        </w:rPr>
      </w:pPr>
    </w:p>
    <w:p>
      <w:pPr>
        <w:jc w:val="both"/>
        <w:ind w:firstLine="732"/>
        <w:spacing w:after="0"/>
        <w:rPr>
          <w:sz w:val="20"/>
          <w:szCs w:val="20"/>
          <w:color w:val="auto"/>
        </w:rPr>
      </w:pPr>
      <w:r>
        <w:rPr>
          <w:rFonts w:ascii="Arial" w:cs="Arial" w:eastAsia="Arial" w:hAnsi="Arial"/>
          <w:sz w:val="18"/>
          <w:szCs w:val="18"/>
          <w:color w:val="auto"/>
        </w:rPr>
        <w:t>During the COVID-19 pandemic, we developed a response strategy that included establishing cross-functional response teams and implementing business continuity plans to manage the impact of the pandemic on our employees, patients, healthcare professionals (“HCPs”), and our business.</w:t>
      </w:r>
    </w:p>
    <w:p>
      <w:pPr>
        <w:spacing w:after="0" w:line="20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Despite our response strategy, the COVID-19 pandemic has had an effect on our business and the pharmaceutical industry in general. Although the pandemic has impacted the way stakeholders interact with one another, we have leveraged technology and virtual engagement initiatives to offset our reduced in-person access to HCPs. The COVID-19 pandemic also led to high unemployment and corresponding loss of medical insurance for many patients, caused a change in relationship dynamics between patients and their HCPs, and impacted the way patients took, or did not take, their medication. As a result, we were not able to adequately gauge our growth rate and believe that our growth may be adversely impacted in the future if there is a reemergence or future outbreak of COVID-19, including any COVID-19 variant.</w:t>
      </w:r>
    </w:p>
    <w:p>
      <w:pPr>
        <w:spacing w:after="0" w:line="20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We intend to maintain meaningful engagement, generate awareness and educate our patients, HCPs and payors to support our commercial launch performance.</w:t>
      </w:r>
    </w:p>
    <w:p>
      <w:pPr>
        <w:spacing w:after="0" w:line="19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See “Management’s Discussion and Analysis of Financial Condition and Results of Operations—Overview—COVID-19 Business Update” in Part II, Item 7 of this Annual Report on Form 10-K.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Narcolepsy Market Overview</w:t>
      </w:r>
    </w:p>
    <w:p>
      <w:pPr>
        <w:spacing w:after="0" w:line="23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Narcolepsy is a rare, chronic and debilitating neurological disorder of sleep-wake state instability that is estimated to affect approximately 165,000 Americans, with fewer than 50% diagnosed. Narcolepsy is characterized by EDS, which is present in all patients with narcolepsy and is the primary reason why patients seek treatment. EDS is the inability to stay awake or alert throughout the day, including an irrepressible need for sleep, with lapses into drowsiness or sleep, which has a significant impact on a patient’s ability to function. Additional symptoms of narcolepsy may include cataplexy (which is characterized by sudden and transient episodes of muscle weakness accompanied by full conscious awareness), hallucinations, sleep paralysis and disrupted nighttime sleep. In most patients, narcolepsy is caused by the loss of orexin/hypocretin, a neuropeptide in the brain that, along with histamine, works to support sleep-wake state stability. This disorder affects men and women equally, with typical symptom onset in adolescence or young adulthood; however, it can take up to a decade after onset of symptoms to be properly diagnosed. The U.S. narcolepsy market had an approximate net sales value of $2.1 billion in 2020. The market is expected to continue to grow based on several factors, including, but not limited to, the introduction of new innovative therapies that offer novel mechanisms of action resulting in improved safety/tolerability profiles while delivering clinically meaningful efficacy, additional investment in education, increased rates of diagnosis, and population growth.</w:t>
      </w:r>
    </w:p>
    <w:p>
      <w:pPr>
        <w:spacing w:after="0" w:line="21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Prior to the FDA’s approval of WAKIX in 2019, there were six approved medications to treat patients with narcolepsy, all of which are scheduled as controlled substances, and no new therapies had been approved for narcolepsy patients in the United States since 2007. These medications included Xyrem (sodium oxybate), Provigil (modafinil), Nuvigil (armodafinil), Ritalin (methylphenidate), Adderall (amphetamine salts) and Sunosi (solriamfetol). Following the approval of WAKIX, in July 2020 the FDA approved a new lower sodium formulation of Xyrem called Xywav. These approved drugs are prescribed in accordance with their individual labels for indications covering narcolepsy, cataplexy and/or EDS related to narcolepsy, and have demonstrated the ability to improve the lives of the patients suffering from these symptoms. In addition, Xyway was approved in August 2021 for the treatment of idiopathic hypersomnia in adults. Other prescription drugs are used off-label for the treatment of either EDS or cataplexy in patients with narcolepsy, including stimulants for EDS and antidepressants for cataplexy. Despite the benefits provided by the available medications, according to the American Academy of Sleep Medicine (“AASM”), traditional stimulants, wake-promoting agents and sodium oxybate, at best, provide only moderate improvement in narcolepsy symptoms and side effects may limit their use. Some of the current therapies have significant side effects (such as increased heart rate and blood pressure) and boxed warnings due to the risk of respiratory depression, abuse and dependence. These therapies also have the potential for rebound and withdrawal symptoms. The Voice of the Patient report from the FDA’s patient-focused drug development initiative, published in 2014, concluded that, based on the overall benefit-risk assessment of current medications, there is a continued need for additional effective and tolerable treatment options for patients with narcolepsy. In a retrospective electronic chart review conducted by Rush University Medical Center from June 2011 to December 2018, over 75% (73 out of 97 respondents) of patients with narcolepsy reported at least one residual symptom while on their current treatment. In a third party survey that we commissioned prior to the commercialization of WAKIX, of the 200 patients with narcolepsy who were surveyed, 86% (173</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out of 200 respondents) of patients reported narcolepsy is a life changing disorder and 93% (157 out of 169 respondents) expressed frustration with current treatment options, while 31 patients were not on treatment and, as such, did not provide a response to this question. The main drivers of patients’ dissatisfaction were side effects and tolerability, loss of efficacy over time and concerns about abuse and dependence with current therapies.</w:t>
      </w:r>
    </w:p>
    <w:p>
      <w:pPr>
        <w:spacing w:after="0" w:line="20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market research sponsored by us prior to the commercial release of WAKIX, both patients and HCPs expressed frustration and dissatisfaction with then-existing therapies, reflecting current unmet medical needs. These unmet needs included, in order of importance, the availability of: (i) non-scheduled treatment options, (ii) more tolerable treatment regimens, (iii) more effective treatment options, (iv) novel MOAs beyond currently available therapies and (v) once-daily treatment options. Based on our market research, we believe the most significant unmet need identified was the availability of non-scheduled treatment options. Other than WAKIX, all drugs approved by the FDA for the treatment of narcolepsy, including stimulants, are scheduled as controlled substances by the DEA. Controlled substances have the potential for abuse, misuse, and diversion. In addition, these products also have the potential for the development of tolerance and withdrawal symptoms. Despite their inherent drawbacks, due to the limited number of treatment options, stimulants have historically been a primary treatment for people with narcolepsy. In addition to having the potential for abuse, all of the treatments approved for narcolepsy, except WAKIX, require a Risk Evaluation and Mitigation Strategy (“REMS”) program, which is required by the FDA for certain medications with serious safety concerns to help ensure the benefits of the medication outweigh its risks.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234"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WAKIX (pitolisant) represents a novel approach to narcolepsy treatment. We believe that WAKIX offers a meaningfully differentiated product profile over current treatment options for the following reasons:</w:t>
      </w:r>
    </w:p>
    <w:p>
      <w:pPr>
        <w:spacing w:after="0" w:line="175" w:lineRule="exact"/>
        <w:rPr>
          <w:sz w:val="20"/>
          <w:szCs w:val="20"/>
          <w:color w:val="auto"/>
        </w:rPr>
      </w:pPr>
    </w:p>
    <w:p>
      <w:pPr>
        <w:jc w:val="both"/>
        <w:ind w:left="1000" w:hanging="317"/>
        <w:spacing w:after="0" w:line="242"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First-in-class molecule with a novel MOA</w:t>
      </w:r>
      <w:r>
        <w:rPr>
          <w:rFonts w:ascii="Arial" w:cs="Arial" w:eastAsia="Arial" w:hAnsi="Arial"/>
          <w:sz w:val="18"/>
          <w:szCs w:val="18"/>
          <w:color w:val="auto"/>
        </w:rPr>
        <w:t>. WAKIX is the only selective H3 receptor antagonist/inverse</w:t>
      </w:r>
      <w:r>
        <w:rPr>
          <w:rFonts w:ascii="Arial" w:cs="Arial" w:eastAsia="Arial" w:hAnsi="Arial"/>
          <w:sz w:val="18"/>
          <w:szCs w:val="18"/>
          <w:b w:val="1"/>
          <w:bCs w:val="1"/>
          <w:color w:val="auto"/>
        </w:rPr>
        <w:t xml:space="preserve"> </w:t>
      </w:r>
      <w:r>
        <w:rPr>
          <w:rFonts w:ascii="Arial" w:cs="Arial" w:eastAsia="Arial" w:hAnsi="Arial"/>
          <w:sz w:val="18"/>
          <w:szCs w:val="18"/>
          <w:color w:val="auto"/>
        </w:rPr>
        <w:t>agonist approved by the FDA. It is approved for the treatment of EDS or cataplexy in adult patients with narcolepsy and is the only narcolepsy treatment that works primarily through histamine, a major wake-promoting neurotransmitter. Pitolisant is thought to work by regulating histamine, such that it activates wake-promoting neurons and inhibits sleep promoting neurons, which helps to stabilize states of sleep and wakefulness. We believe that these novel characteristics differentiate it from other narcolepsy treatments.</w:t>
      </w:r>
    </w:p>
    <w:p>
      <w:pPr>
        <w:spacing w:after="0" w:line="178" w:lineRule="exact"/>
        <w:rPr>
          <w:rFonts w:ascii="Arial" w:cs="Arial" w:eastAsia="Arial" w:hAnsi="Arial"/>
          <w:sz w:val="18"/>
          <w:szCs w:val="18"/>
          <w:color w:val="auto"/>
        </w:rPr>
      </w:pPr>
    </w:p>
    <w:p>
      <w:pPr>
        <w:jc w:val="both"/>
        <w:ind w:left="1000" w:hanging="317"/>
        <w:spacing w:after="0" w:line="244"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First-and-only non-scheduled treatment for narcolepsy</w:t>
      </w:r>
      <w:r>
        <w:rPr>
          <w:rFonts w:ascii="Arial" w:cs="Arial" w:eastAsia="Arial" w:hAnsi="Arial"/>
          <w:sz w:val="18"/>
          <w:szCs w:val="18"/>
          <w:color w:val="auto"/>
        </w:rPr>
        <w:t>. WAKIX is the first-and-only FDA-approved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for narcolepsy that is not scheduled as a controlled substance by the DEA. We believe one of the most significant unmet needs is the availability of non-scheduled treatment options. In a clinical trial, pitolisant demonstrated statistically significantly lower abuse potential compared to phentermine (a Schedule IV stimulant), consistent with its lack of abuse potential.</w:t>
      </w:r>
    </w:p>
    <w:p>
      <w:pPr>
        <w:spacing w:after="0" w:line="176" w:lineRule="exact"/>
        <w:rPr>
          <w:rFonts w:ascii="Arial" w:cs="Arial" w:eastAsia="Arial" w:hAnsi="Arial"/>
          <w:sz w:val="18"/>
          <w:szCs w:val="18"/>
          <w:color w:val="auto"/>
        </w:rPr>
      </w:pPr>
    </w:p>
    <w:p>
      <w:pPr>
        <w:jc w:val="both"/>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WAKIX is not a stimulant</w:t>
      </w:r>
      <w:r>
        <w:rPr>
          <w:rFonts w:ascii="Arial" w:cs="Arial" w:eastAsia="Arial" w:hAnsi="Arial"/>
          <w:sz w:val="18"/>
          <w:szCs w:val="18"/>
          <w:color w:val="auto"/>
        </w:rPr>
        <w:t>. Stimulants are one of the most commonly prescribed treatments for patients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narcolepsy. Unlike stimulants, in clinical trials, WAKIX showed no evidence for the development of drug tolerance or withdrawal symptoms. Therefore, there is no need for patients to temporarily stop the medication to reset efficacy. In addition, unlike stimulants, WAKIX does not increase dopamine levels in the brain’s reward center, which contributes to its lack of abuse potential. According to the National Sleep Foundation, stimulants have the potential for abuse, so their use must be considered carefully by patients and HCPs. WAKIX gives patients and HCPs a different therapeutic option.</w:t>
      </w:r>
    </w:p>
    <w:p>
      <w:pPr>
        <w:spacing w:after="0" w:line="184" w:lineRule="exact"/>
        <w:rPr>
          <w:rFonts w:ascii="Arial" w:cs="Arial" w:eastAsia="Arial" w:hAnsi="Arial"/>
          <w:sz w:val="18"/>
          <w:szCs w:val="18"/>
          <w:color w:val="auto"/>
        </w:rPr>
      </w:pPr>
    </w:p>
    <w:p>
      <w:pPr>
        <w:jc w:val="both"/>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WAKIX can be used as monotherapy or administered concomitantly with other narcolepsy treatments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Narcolepsy is a difficult disorder to manage and the majority of narcolepsy patients often require multiple medications to treat their symptoms. WAKIX was studied in combination with each of modafinil and sodium oxybate (two common treatments for narcolepsy) and demonstrated no effect on the pharmacokinetic (“PK”) profile of either treatment, and neither treatment had a clinically relevant effect on the PK profile of WAKIX. We believe the ability of WAKIX to be taken as monotherapy or concomitantly with other narcolepsy medications affords HCPs the flexibility to better manage their patients with narcolepsy.</w:t>
      </w:r>
    </w:p>
    <w:p>
      <w:pPr>
        <w:spacing w:after="0" w:line="184" w:lineRule="exact"/>
        <w:rPr>
          <w:rFonts w:ascii="Arial" w:cs="Arial" w:eastAsia="Arial" w:hAnsi="Arial"/>
          <w:sz w:val="18"/>
          <w:szCs w:val="18"/>
          <w:color w:val="auto"/>
        </w:rPr>
      </w:pPr>
    </w:p>
    <w:p>
      <w:pPr>
        <w:jc w:val="both"/>
        <w:ind w:left="1000" w:hanging="317"/>
        <w:spacing w:after="0" w:line="25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WAKIX is a once-daily oral tablet administered in the morning upon wakening</w:t>
      </w:r>
      <w:r>
        <w:rPr>
          <w:rFonts w:ascii="Arial" w:cs="Arial" w:eastAsia="Arial" w:hAnsi="Arial"/>
          <w:sz w:val="18"/>
          <w:szCs w:val="18"/>
          <w:color w:val="auto"/>
        </w:rPr>
        <w:t>. Patients have identified a</w:t>
      </w:r>
      <w:r>
        <w:rPr>
          <w:rFonts w:ascii="Arial" w:cs="Arial" w:eastAsia="Arial" w:hAnsi="Arial"/>
          <w:sz w:val="18"/>
          <w:szCs w:val="18"/>
          <w:b w:val="1"/>
          <w:bCs w:val="1"/>
          <w:color w:val="auto"/>
        </w:rPr>
        <w:t xml:space="preserve"> </w:t>
      </w:r>
      <w:r>
        <w:rPr>
          <w:rFonts w:ascii="Arial" w:cs="Arial" w:eastAsia="Arial" w:hAnsi="Arial"/>
          <w:sz w:val="18"/>
          <w:szCs w:val="18"/>
          <w:color w:val="auto"/>
        </w:rPr>
        <w:t>need for treatment options that are easier to take and are dosed less frequently. We believe that once-daily dosing with WAKIX addresses this need and may help improve patient compliance with treatment.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goal is to become a leading pharmaceutical company dedicated to developing and commercializing novel treatment options for patients living with rare neurological diseases and/or neurological diseases where we can leverage our existing infrastructure and expertise. The key elements of our strategy are outlined in our three pillars of growth:</w:t>
      </w:r>
    </w:p>
    <w:p>
      <w:pPr>
        <w:spacing w:after="0" w:line="203" w:lineRule="exact"/>
        <w:rPr>
          <w:sz w:val="20"/>
          <w:szCs w:val="20"/>
          <w:color w:val="auto"/>
        </w:rPr>
      </w:pPr>
    </w:p>
    <w:p>
      <w:pPr>
        <w:ind w:left="1000" w:hanging="31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Pillar I: Optimize the Performance of WAKIX in Adult Patients with Narcolepsy</w:t>
      </w:r>
    </w:p>
    <w:p>
      <w:pPr>
        <w:spacing w:after="0" w:line="203" w:lineRule="exact"/>
        <w:rPr>
          <w:sz w:val="20"/>
          <w:szCs w:val="20"/>
          <w:color w:val="auto"/>
        </w:rPr>
      </w:pPr>
    </w:p>
    <w:p>
      <w:pPr>
        <w:jc w:val="both"/>
        <w:ind w:left="1300" w:hanging="320"/>
        <w:spacing w:after="0" w:line="242"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Commercialize WAKIX in the United States</w:t>
      </w:r>
      <w:r>
        <w:rPr>
          <w:rFonts w:ascii="Arial" w:cs="Arial" w:eastAsia="Arial" w:hAnsi="Arial"/>
          <w:sz w:val="18"/>
          <w:szCs w:val="18"/>
          <w:color w:val="auto"/>
        </w:rPr>
        <w:t>. We have assembled a team of approximately 180</w:t>
      </w:r>
      <w:r>
        <w:rPr>
          <w:rFonts w:ascii="Arial" w:cs="Arial" w:eastAsia="Arial" w:hAnsi="Arial"/>
          <w:sz w:val="18"/>
          <w:szCs w:val="18"/>
          <w:b w:val="1"/>
          <w:bCs w:val="1"/>
          <w:color w:val="auto"/>
        </w:rPr>
        <w:t xml:space="preserve"> </w:t>
      </w:r>
      <w:r>
        <w:rPr>
          <w:rFonts w:ascii="Arial" w:cs="Arial" w:eastAsia="Arial" w:hAnsi="Arial"/>
          <w:sz w:val="18"/>
          <w:szCs w:val="18"/>
          <w:color w:val="auto"/>
        </w:rPr>
        <w:t>professionals that possess comprehensive life sciences experience. We have also established a robust company infrastructure to execute on our core business and growth strategies. This team includes over 70 dedicated and experienced sales professionals who call on the approximately 8,000 HCPs who treat approximately 90% of narcolepsy patients in the United States. In November 2019, we launched commercial sales of WAKIX in the United States.</w:t>
      </w:r>
    </w:p>
    <w:p>
      <w:pPr>
        <w:spacing w:after="0" w:line="200" w:lineRule="exact"/>
        <w:rPr>
          <w:rFonts w:ascii="Arial" w:cs="Arial" w:eastAsia="Arial" w:hAnsi="Arial"/>
          <w:sz w:val="18"/>
          <w:szCs w:val="18"/>
          <w:color w:val="auto"/>
        </w:rPr>
      </w:pPr>
    </w:p>
    <w:p>
      <w:pPr>
        <w:ind w:left="1000" w:hanging="317"/>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Pillar II: Expand the Clinical Utility of WAKIX</w:t>
      </w:r>
    </w:p>
    <w:p>
      <w:pPr>
        <w:spacing w:after="0" w:line="203" w:lineRule="exact"/>
        <w:rPr>
          <w:rFonts w:ascii="Arial" w:cs="Arial" w:eastAsia="Arial" w:hAnsi="Arial"/>
          <w:sz w:val="18"/>
          <w:szCs w:val="18"/>
          <w:color w:val="auto"/>
        </w:rPr>
      </w:pPr>
    </w:p>
    <w:p>
      <w:pPr>
        <w:jc w:val="both"/>
        <w:ind w:left="1300" w:hanging="320"/>
        <w:spacing w:after="0" w:line="253"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Expand WAKIX Label in Narcolepsy</w:t>
      </w:r>
      <w:r>
        <w:rPr>
          <w:rFonts w:ascii="Arial" w:cs="Arial" w:eastAsia="Arial" w:hAnsi="Arial"/>
          <w:sz w:val="18"/>
          <w:szCs w:val="18"/>
          <w:color w:val="auto"/>
        </w:rPr>
        <w:t>. Building upon the EDS and cataplexy indications in adult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narcolepsy, we are working with our partner Bioprojet in pursuit of gaining a pediatric indication for both EDS and cataplexy. We have also engaged with the FDA with regard to pursuing pediatric exclusivity.</w:t>
      </w:r>
    </w:p>
    <w:p>
      <w:pPr>
        <w:spacing w:after="0" w:line="168" w:lineRule="exact"/>
        <w:rPr>
          <w:rFonts w:ascii="Arial" w:cs="Arial" w:eastAsia="Arial" w:hAnsi="Arial"/>
          <w:sz w:val="18"/>
          <w:szCs w:val="18"/>
          <w:color w:val="auto"/>
        </w:rPr>
      </w:pPr>
    </w:p>
    <w:p>
      <w:pPr>
        <w:jc w:val="both"/>
        <w:ind w:left="1300" w:hanging="320"/>
        <w:spacing w:after="0" w:line="238"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Pursue New Indications Beyond Narcolepsy</w:t>
      </w:r>
      <w:r>
        <w:rPr>
          <w:rFonts w:ascii="Arial" w:cs="Arial" w:eastAsia="Arial" w:hAnsi="Arial"/>
          <w:sz w:val="18"/>
          <w:szCs w:val="18"/>
          <w:color w:val="auto"/>
        </w:rPr>
        <w:t>. We believe that pitolisant’s novel MOA offers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portfolio in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product </w:t>
      </w:r>
      <w:r>
        <w:rPr>
          <w:rFonts w:ascii="Arial" w:cs="Arial" w:eastAsia="Arial" w:hAnsi="Arial"/>
          <w:sz w:val="18"/>
          <w:szCs w:val="18"/>
          <w:color w:val="auto"/>
        </w:rPr>
        <w:t>opportunity and has therapeutic potential in several other patient populations living with rare</w:t>
      </w:r>
      <w:r>
        <w:rPr>
          <w:rFonts w:ascii="Arial" w:cs="Arial" w:eastAsia="Arial" w:hAnsi="Arial"/>
          <w:sz w:val="18"/>
          <w:szCs w:val="18"/>
          <w:i w:val="1"/>
          <w:iCs w:val="1"/>
          <w:color w:val="auto"/>
        </w:rPr>
        <w:t xml:space="preserve"> </w:t>
      </w:r>
      <w:r>
        <w:rPr>
          <w:rFonts w:ascii="Arial" w:cs="Arial" w:eastAsia="Arial" w:hAnsi="Arial"/>
          <w:sz w:val="18"/>
          <w:szCs w:val="18"/>
          <w:color w:val="auto"/>
        </w:rPr>
        <w:t>neurological diseases. We opened an IND for pitolisant for the treatment of PWS in November 2019 and completed a Phase 1 PK clinical trial in pediatric patients with PWS in December 2019, then initiated a long-term, open-label safety trial in those patients who participated in the Phase 1 PK trial. In December 2020, we initiated a Phase 2 proof of concept clinical trial to evaluate pitolisant for the treatment of EDS and other key symptoms in patients with PWS, including behavioral symptoms and cognitive impairment. Topline results from this clinical POC trial are anticipated in the second half of 2022. In June 2021, we initiated a Phase 2 clinical trial to evaluate pitolisant for the treatment of EDS, fatigue and cognitive dysfunction in adult patients with DM1 and anticipate topline results in 2023. In addition to these potential indications, we opened an IND for pitolisant for the treatment of idiopathic hypersomnia (IH) in November 2021 and plan to initiate a Phase 3 trial in adult patients with IH in the first half of 2022.</w:t>
      </w:r>
    </w:p>
    <w:p>
      <w:pPr>
        <w:spacing w:after="0" w:line="204" w:lineRule="exact"/>
        <w:rPr>
          <w:rFonts w:ascii="Arial" w:cs="Arial" w:eastAsia="Arial" w:hAnsi="Arial"/>
          <w:sz w:val="18"/>
          <w:szCs w:val="18"/>
          <w:color w:val="auto"/>
        </w:rPr>
      </w:pPr>
    </w:p>
    <w:p>
      <w:pPr>
        <w:ind w:left="1000" w:hanging="317"/>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Pillar III: Acquire New Assets to Expand our Product Portfolio</w:t>
      </w:r>
    </w:p>
    <w:p>
      <w:pPr>
        <w:spacing w:after="0" w:line="203" w:lineRule="exact"/>
        <w:rPr>
          <w:rFonts w:ascii="Arial" w:cs="Arial" w:eastAsia="Arial" w:hAnsi="Arial"/>
          <w:sz w:val="18"/>
          <w:szCs w:val="18"/>
          <w:color w:val="auto"/>
        </w:rPr>
      </w:pPr>
    </w:p>
    <w:p>
      <w:pPr>
        <w:jc w:val="both"/>
        <w:ind w:left="1300" w:hanging="320"/>
        <w:spacing w:after="0" w:line="24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Explore Expansion of our Product Portfolio</w:t>
      </w:r>
      <w:r>
        <w:rPr>
          <w:rFonts w:ascii="Arial" w:cs="Arial" w:eastAsia="Arial" w:hAnsi="Arial"/>
          <w:sz w:val="18"/>
          <w:szCs w:val="18"/>
          <w:color w:val="auto"/>
        </w:rPr>
        <w:t>. As we continue our commercial growth and advance our</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development programs with pitolisant, a key component of our strategy is to expand our product portfolio beyond pitolisant by partnering, co-developing or acquiring assets focused on rare neurological diseases and/or other diseases serving patients with unmet medical needs that are complementary to our existing research and development expertise and/or commercial footprint.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Commercialization Strategy</w:t>
      </w:r>
    </w:p>
    <w:p>
      <w:pPr>
        <w:spacing w:after="0" w:line="234"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We launched WAKIX into the narcolepsy market in November 2019 and are engaging with HCPs, patients and payors through the focused commercialization strategy outlined below to optimize adoption of WAKIX in the marketplace:</w:t>
      </w:r>
    </w:p>
    <w:p>
      <w:pPr>
        <w:spacing w:after="0" w:line="175" w:lineRule="exact"/>
        <w:rPr>
          <w:sz w:val="20"/>
          <w:szCs w:val="20"/>
          <w:color w:val="auto"/>
        </w:rPr>
      </w:pPr>
    </w:p>
    <w:p>
      <w:pPr>
        <w:jc w:val="both"/>
        <w:ind w:left="1000" w:hanging="31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HCP Awareness and Adoption</w:t>
      </w:r>
      <w:r>
        <w:rPr>
          <w:rFonts w:ascii="Arial" w:cs="Arial" w:eastAsia="Arial" w:hAnsi="Arial"/>
          <w:sz w:val="18"/>
          <w:szCs w:val="18"/>
          <w:color w:val="auto"/>
        </w:rPr>
        <w:t>: To facilitate HCP awareness and adoption of WAKIX, we have deployed our</w:t>
      </w:r>
      <w:r>
        <w:rPr>
          <w:rFonts w:ascii="Arial" w:cs="Arial" w:eastAsia="Arial" w:hAnsi="Arial"/>
          <w:sz w:val="18"/>
          <w:szCs w:val="18"/>
          <w:b w:val="1"/>
          <w:bCs w:val="1"/>
          <w:color w:val="auto"/>
        </w:rPr>
        <w:t xml:space="preserve"> </w:t>
      </w:r>
      <w:r>
        <w:rPr>
          <w:rFonts w:ascii="Arial" w:cs="Arial" w:eastAsia="Arial" w:hAnsi="Arial"/>
          <w:sz w:val="18"/>
          <w:szCs w:val="18"/>
          <w:color w:val="auto"/>
        </w:rPr>
        <w:t>dedicated, in-house, over 70-person sales team to educate a defined prescriber base of approximately 8,000 HCPs comprised of neurologists, pulmonologists, sleep specialists, psychiatrists and high-prescribing primary care physicians who specialize in or focus on sleep disorders. We believe these HCPs diagnose and treat approximately 90% of the narcolepsy patients in the United States. We began our commercial HCP outreach in August 2019 following FDA approval of WAKIX for the treatment of EDS in adult patients with narcolepsy and our efforts continue following the approval of the cataplexy indication in October 2020.</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both"/>
        <w:ind w:left="1000" w:hanging="317"/>
        <w:spacing w:after="0" w:line="244"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Patient Awareness</w:t>
      </w:r>
      <w:r>
        <w:rPr>
          <w:rFonts w:ascii="Arial" w:cs="Arial" w:eastAsia="Arial" w:hAnsi="Arial"/>
          <w:sz w:val="18"/>
          <w:szCs w:val="18"/>
          <w:color w:val="auto"/>
        </w:rPr>
        <w:t>: It is estimated that narcolepsy affects approximately 165,000 Americans with fewer than</w:t>
      </w:r>
      <w:r>
        <w:rPr>
          <w:rFonts w:ascii="Arial" w:cs="Arial" w:eastAsia="Arial" w:hAnsi="Arial"/>
          <w:sz w:val="18"/>
          <w:szCs w:val="18"/>
          <w:b w:val="1"/>
          <w:bCs w:val="1"/>
          <w:color w:val="auto"/>
        </w:rPr>
        <w:t xml:space="preserve"> </w:t>
      </w:r>
      <w:r>
        <w:rPr>
          <w:rFonts w:ascii="Arial" w:cs="Arial" w:eastAsia="Arial" w:hAnsi="Arial"/>
          <w:sz w:val="18"/>
          <w:szCs w:val="18"/>
          <w:color w:val="auto"/>
        </w:rPr>
        <w:t>50% diagnosed. Of those living with narcolepsy in the United States, it is estimated that fewer than 45,000 are on narcolepsy medications, which we believe indicates a significant unmet medical need. To drive patient awareness of WAKIX and its differentiated product profile, we have been communicating with the narcolepsy patient community and providing them with educational materials and information on WAKIX.</w:t>
      </w:r>
    </w:p>
    <w:p>
      <w:pPr>
        <w:spacing w:after="0" w:line="176" w:lineRule="exact"/>
        <w:rPr>
          <w:rFonts w:ascii="Arial" w:cs="Arial" w:eastAsia="Arial" w:hAnsi="Arial"/>
          <w:sz w:val="18"/>
          <w:szCs w:val="18"/>
          <w:color w:val="auto"/>
        </w:rPr>
      </w:pPr>
    </w:p>
    <w:p>
      <w:pPr>
        <w:jc w:val="both"/>
        <w:ind w:left="1000" w:hanging="317"/>
        <w:spacing w:after="0" w:line="242"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Payor Coverage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Recognizing the importance of payor coverage, our field market access team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engaging with national and regional payors over the past two plus years to educate them on the clinical data and value proposition of WAKIX. Through December 31, 2021, we have secured formulary access for approximately 80% of all insured lives (Commercial, Medicare and Medicaid) in the United States. Within these covered lives, we have observed favorable access to WAKIX subsequent to the expanded approval of WAKIX for the treatment of cataplexy in adult patients with narcolepsy in October 2020.</w:t>
      </w:r>
    </w:p>
    <w:p>
      <w:pPr>
        <w:spacing w:after="0" w:line="20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believe the differentiating attributes of WAKIX that have facilitated and will continue to facilitate awareness, adoption, and coverage include: (i) it is a first-in-class molecule with a novel MOA, (ii) it is the first-and-only non-scheduled treatment approved for EDS or cataplexy in adult patients with narcolepsy, (iii) it is not a stimulant, (iv) it has broad clinical utility because it can be used as monotherapy or administered concomitantly with other narcolepsy treatments, and (v) it is a once-daily oral tablet administered in the morning upon wakening. In September 2021, the American Academy of Sleep Medicine (AASM) updated its clinical practice guidelines on central disorders of hypersomnolence, which serve as evidence based treatment guidelines for these disorders. In it, WAKIX received a strong recommendation for the treatment of both excessive daytime sleepiness and cataplexy in adult patients with narcolepsy.</w:t>
      </w:r>
    </w:p>
    <w:p>
      <w:pPr>
        <w:spacing w:after="0" w:line="20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As of December 31, 2021, we continue to see growth in unique HCPs of WAKIX since it became available in November 2019. The average number of patients on WAKIX at the end of 2021 was approximately 3,800. Additionally, as of December 31, 2021, we have secured formulary access for approximately 80% of all insured lives (Commercial, Medicare and Medicaid) in the United States. Within these covered lives, we have observed favorable access to WAKIX subsequent to the expanded approval of WAKIX for the treatment of cataplexy in adult patients with narcolepsy in October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Pipeline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Development Pipeline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148590</wp:posOffset>
            </wp:positionV>
            <wp:extent cx="6172200" cy="48088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4808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Label Expansion of WAKIX in Narcolepsy</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Pediatric Narcolepsy</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Approximately 5% of diagnosed narcolepsy patients (approximately 3,600 patients) are 19 years of age or under. Symptoms often have a more profound effect in children, resulting in reduced function and greater psychological impact. Until the fourth quarter of 2018, no treatments were approved for pediatric patients with narcolepsy, at which time Xyrem received an expanded indication for the treatment of cataplexy or EDS in patients seven years of age or older with narcolepsy. Xywav (low sodium formulation of Xyrem) received the same indication in July 2020. We are working with our partner Bioprojet in pursuit of gaining a pediatric indication for both EDS and cataplexy. We have also engaged with the FDA in pursuit of pediatric exclusivity.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 Pitolisant in New Patient Populations in Pursuit of Additional Indications</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believe that pitolisant’s ability to regulate histamine and histaminergic signaling gives it the potential to provide therapeutic benefit in other disorders that are mediated through the H</w:t>
      </w:r>
      <w:r>
        <w:rPr>
          <w:rFonts w:ascii="Arial" w:cs="Arial" w:eastAsia="Arial" w:hAnsi="Arial"/>
          <w:sz w:val="11"/>
          <w:szCs w:val="11"/>
          <w:color w:val="auto"/>
        </w:rPr>
        <w:t>3</w:t>
      </w:r>
      <w:r>
        <w:rPr>
          <w:rFonts w:ascii="Arial" w:cs="Arial" w:eastAsia="Arial" w:hAnsi="Arial"/>
          <w:sz w:val="18"/>
          <w:szCs w:val="18"/>
          <w:color w:val="auto"/>
        </w:rPr>
        <w:t xml:space="preserve"> receptor and histamine signaling and offers a </w:t>
      </w:r>
      <w:r>
        <w:rPr>
          <w:rFonts w:ascii="Arial" w:cs="Arial" w:eastAsia="Arial" w:hAnsi="Arial"/>
          <w:sz w:val="18"/>
          <w:szCs w:val="18"/>
          <w:i w:val="1"/>
          <w:iCs w:val="1"/>
          <w:color w:val="auto"/>
        </w:rPr>
        <w:t>portfolio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a product </w:t>
      </w:r>
      <w:r>
        <w:rPr>
          <w:rFonts w:ascii="Arial" w:cs="Arial" w:eastAsia="Arial" w:hAnsi="Arial"/>
          <w:sz w:val="18"/>
          <w:szCs w:val="18"/>
          <w:color w:val="auto"/>
        </w:rPr>
        <w:t>opportunity with pitolisant. Histamine plays an important role in normal physiologic functioning beyond</w:t>
      </w:r>
      <w:r>
        <w:rPr>
          <w:rFonts w:ascii="Arial" w:cs="Arial" w:eastAsia="Arial" w:hAnsi="Arial"/>
          <w:sz w:val="18"/>
          <w:szCs w:val="18"/>
          <w:i w:val="1"/>
          <w:iCs w:val="1"/>
          <w:color w:val="auto"/>
        </w:rPr>
        <w:t xml:space="preserve"> </w:t>
      </w:r>
      <w:r>
        <w:rPr>
          <w:rFonts w:ascii="Arial" w:cs="Arial" w:eastAsia="Arial" w:hAnsi="Arial"/>
          <w:sz w:val="18"/>
          <w:szCs w:val="18"/>
          <w:color w:val="auto"/>
        </w:rPr>
        <w:t>wakefulness in the areas of attention, vigilance, behavior and cognition. The presence of H</w:t>
      </w:r>
      <w:r>
        <w:rPr>
          <w:rFonts w:ascii="Arial" w:cs="Arial" w:eastAsia="Arial" w:hAnsi="Arial"/>
          <w:sz w:val="11"/>
          <w:szCs w:val="11"/>
          <w:color w:val="auto"/>
        </w:rPr>
        <w:t>3</w:t>
      </w:r>
      <w:r>
        <w:rPr>
          <w:rFonts w:ascii="Arial" w:cs="Arial" w:eastAsia="Arial" w:hAnsi="Arial"/>
          <w:sz w:val="18"/>
          <w:szCs w:val="18"/>
          <w:color w:val="auto"/>
        </w:rPr>
        <w:t xml:space="preserve"> receptors in the hypothalamus, brainstem and cerebral cortex account for different functions, which could provide an opportunity for pitolisant to treat symptoms other than EDS in different disorders. In addition, H</w:t>
      </w:r>
      <w:r>
        <w:rPr>
          <w:rFonts w:ascii="Arial" w:cs="Arial" w:eastAsia="Arial" w:hAnsi="Arial"/>
          <w:sz w:val="11"/>
          <w:szCs w:val="11"/>
          <w:color w:val="auto"/>
        </w:rPr>
        <w:t>3</w:t>
      </w:r>
      <w:r>
        <w:rPr>
          <w:rFonts w:ascii="Arial" w:cs="Arial" w:eastAsia="Arial" w:hAnsi="Arial"/>
          <w:sz w:val="18"/>
          <w:szCs w:val="18"/>
          <w:color w:val="auto"/>
        </w:rPr>
        <w:t xml:space="preserve"> receptors are located mainly in the CNS as opposed to other parts of the body outside the CNS, which contributes to its overall tolerability profile. This fact, along with pitolisant being highly selective for the H</w:t>
      </w:r>
      <w:r>
        <w:rPr>
          <w:rFonts w:ascii="Arial" w:cs="Arial" w:eastAsia="Arial" w:hAnsi="Arial"/>
          <w:sz w:val="11"/>
          <w:szCs w:val="11"/>
          <w:color w:val="auto"/>
        </w:rPr>
        <w:t>3</w:t>
      </w:r>
      <w:r>
        <w:rPr>
          <w:rFonts w:ascii="Arial" w:cs="Arial" w:eastAsia="Arial" w:hAnsi="Arial"/>
          <w:sz w:val="18"/>
          <w:szCs w:val="18"/>
          <w:color w:val="auto"/>
        </w:rPr>
        <w:t xml:space="preserve"> receptor (as opposed to H</w:t>
      </w:r>
      <w:r>
        <w:rPr>
          <w:rFonts w:ascii="Arial" w:cs="Arial" w:eastAsia="Arial" w:hAnsi="Arial"/>
          <w:sz w:val="11"/>
          <w:szCs w:val="11"/>
          <w:color w:val="auto"/>
        </w:rPr>
        <w:t>1</w:t>
      </w:r>
      <w:r>
        <w:rPr>
          <w:rFonts w:ascii="Arial" w:cs="Arial" w:eastAsia="Arial" w:hAnsi="Arial"/>
          <w:sz w:val="18"/>
          <w:szCs w:val="18"/>
          <w:color w:val="auto"/>
        </w:rPr>
        <w:t xml:space="preserve"> receptors, H</w:t>
      </w:r>
      <w:r>
        <w:rPr>
          <w:rFonts w:ascii="Arial" w:cs="Arial" w:eastAsia="Arial" w:hAnsi="Arial"/>
          <w:sz w:val="11"/>
          <w:szCs w:val="11"/>
          <w:color w:val="auto"/>
        </w:rPr>
        <w:t>2</w:t>
      </w:r>
      <w:r>
        <w:rPr>
          <w:rFonts w:ascii="Arial" w:cs="Arial" w:eastAsia="Arial" w:hAnsi="Arial"/>
          <w:sz w:val="18"/>
          <w:szCs w:val="18"/>
          <w:color w:val="auto"/>
        </w:rPr>
        <w:t xml:space="preserve"> receptors and H</w:t>
      </w:r>
      <w:r>
        <w:rPr>
          <w:rFonts w:ascii="Arial" w:cs="Arial" w:eastAsia="Arial" w:hAnsi="Arial"/>
          <w:sz w:val="11"/>
          <w:szCs w:val="11"/>
          <w:color w:val="auto"/>
        </w:rPr>
        <w:t>4</w:t>
      </w:r>
      <w:r>
        <w:rPr>
          <w:rFonts w:ascii="Arial" w:cs="Arial" w:eastAsia="Arial" w:hAnsi="Arial"/>
          <w:sz w:val="18"/>
          <w:szCs w:val="18"/>
          <w:color w:val="auto"/>
        </w:rPr>
        <w:t xml:space="preserve"> receptors), is the reason we believe in pitolisant’s unique MOA and its potential to improve symptoms in patients living with rare neurological diseases, in which impaired histamine signaling is part of the underlying pathophysiology.</w:t>
      </w:r>
    </w:p>
    <w:p>
      <w:pPr>
        <w:spacing w:after="0" w:line="219" w:lineRule="exact"/>
        <w:rPr>
          <w:sz w:val="20"/>
          <w:szCs w:val="20"/>
          <w:color w:val="auto"/>
        </w:rPr>
      </w:pPr>
    </w:p>
    <w:p>
      <w:pPr>
        <w:ind w:left="660" w:right="522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Role of histamine in normal physiologic functioning beyond wake promotion (e.g. attention, vigilance, behavior, cognition)</w:t>
      </w:r>
    </w:p>
    <w:p>
      <w:pPr>
        <w:spacing w:after="0" w:line="310" w:lineRule="exact"/>
        <w:rPr>
          <w:rFonts w:ascii="Arial" w:cs="Arial" w:eastAsia="Arial" w:hAnsi="Arial"/>
          <w:sz w:val="18"/>
          <w:szCs w:val="18"/>
          <w:color w:val="auto"/>
        </w:rPr>
      </w:pPr>
    </w:p>
    <w:p>
      <w:pPr>
        <w:ind w:left="660" w:right="5200" w:hanging="328"/>
        <w:spacing w:after="0" w:line="23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Location of H3 receptors in hypothalamus, brainstem, and cerebral cortex account for different functions (and potential symptoms in different disorders)</w:t>
      </w:r>
    </w:p>
    <w:p>
      <w:pPr>
        <w:spacing w:after="0" w:line="31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H3 receptor populations outside the CNS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-1442085</wp:posOffset>
            </wp:positionV>
            <wp:extent cx="3180080" cy="2203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80080" cy="220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have continued to seek new indications in rare neurological disease patient populations that have EDS as a prominent symptom, along with other symptoms mediated by CNS histamine signaling. We opened an IND for pitolisant for the treatment of PWS in November 2019, completed a Phase 1 PK clinical trial in pediatric patients with PWS in December of 2019, then initiated a long-term, open-label safety trial in those patients who participated in the Phase 1 PK trial. In December 2020, we initiated a Phase 2 proof of concept clinical trial to evaluate pitolisant for the treatment of EDS and other key symptoms in patients with PWS, including behavioral symptoms and cognitive impairment. Topline results from this clinical POC trial are anticipated in the second half of 2022. In June 2021, we initiated a Phase 2 clinical trial to evaluate pitolisant for the treatment of EDS, fatigue and cognitive dysfunction in adult patients with DM1 and anticipate topline results in 2023. In addition to these potential indications, we opened an IND for pitolisant for the treatment of idiopathic hypersomnia (“IH”) in November 2021 and plan to initiate a Phase 3 trial in adult patients with IH in the first half of 2022.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Idiopathic Hypersomnia</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IH, like narcolepsy, is another CNS disorder of hypersomnolence resulting in sleep-wake state instability. It is a rare and chronic neurological disease that is characterized by EDS despite sufficient or even long sleep time. Sleep in patients with IH is not felt to be refreshing, no matter how much sleep they get. People living with IH experience significant EDS along with the symptoms of sleep inertia (prolonged difficulty waking up from sleep) and ‘brain fog’ (impaired cognition, attention, and alertness). Symptoms of IH often begin in the late teens or early twenties but patients often experience a long diagnostic journey and do not receive an accurate diagnosis until reaching their thirties. Based on insurance claims data, the number of patients diagnosed with IH in the US ranges from 30,000 to 40,000.</w:t>
      </w:r>
    </w:p>
    <w:p>
      <w:pPr>
        <w:spacing w:after="0" w:line="20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FDA accepted an IND application for pitolisant for the treatment of idiopathic hypersomnia in November 2021. The Company is planning to initiate a Phase 3 clinical trial to evaluate the safety and efficacy of pitolisant in adult patients with IH in the first half of 2022.</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Prader-Willi Syndrome</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PWS is a rare genetic disorder caused by a loss of function of specific genes on chromosome 15 resulting in hypothalamic dysfunction and decreased levels of orexin/hypocretin in some patients with PWS. The hypothalamus controls both sleep-wake states and hunger-satiety; therefore, two of the main symptoms in patients with PWS are EDS and hyperphagia. Other features include low muscle tone, short stature, behavioral problems and cognitive impairment. It is estimated that approximately 15,000 to 20,000 people in the United States suffer from PWS, and over half of those suffering from PWS also have reported or experienced EDS. We opened an IND for pitolisant for the treatment of PWS in November 2019, completed a Phase 1 PK clinical trial in pediatric patients with PWS in December of 2019, then initiated a long-term, open-label safety trial in those patients who participated in the Phase 1 PK trial. In December 2020, we initiated a Phase 2 proof of concept clinical trial to evaluate pitolisant for the treatment of EDS and other key symptoms in patients with PWS, including behavioral symptoms and cognitive impairment. Topline results from this clinical POC trial are anticipated in the second half of 2022</w:t>
      </w:r>
    </w:p>
    <w:p>
      <w:pPr>
        <w:spacing w:after="0" w:line="20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PWS poses a heavy burden for both patients and caregivers and there are few therapeutic options available and no FDA-approved treatments for EDS in patients with PWS. Clinical development programs in PWS have focused on hyperphagia, with no other programs focusing on EDS or cognitive function. EDS is thought to have a negative effect on behavior and cognitive function and could exacerbate these symptoms in patients with PWS. In addition, impaired histamine signaling in the brain can contribute to behavioral symptoms and impaired cognition. We believe there is a compelling opportunity for the mechanism of action of pitolisant to impact the EDS component of this disorder as well as other symptoms, such as behavioral issues and cognitive impairment.</w:t>
      </w:r>
    </w:p>
    <w:p>
      <w:pPr>
        <w:spacing w:after="0" w:line="20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have collaborated with the Foundation for Prader-Willi Research (the “FPWR”) to advance our clinical program and underscore our commitment to this patient population. We are members of the FPWR Clinical Trials Consortium and are working with members of its Scientific Advisory Board to gain their insights for our development program. Progress to date includes (i) opening an IND for PWS in October 2019, (ii) the completion of a Phase 1 PK trial in patients with PWS in December 2019, with patients actively rolling over into an open-label, long-term safety trial, (iii) the submission of a Phase 2 proof of concept clinical protocol to the FDA for review and comment, and (iv) initiation of a Phase 2 clinical POC trial in December 2020.</w:t>
      </w:r>
    </w:p>
    <w:p>
      <w:pPr>
        <w:spacing w:after="0" w:line="20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Phase 2 clinical POC trial is a randomized, double-blind, placebo-controlled trial to assess the safety and efficacy of pitolisant in patients with PWS ages 6 to 65. An estimated 60 to 70 patients will be enrolled at approximately 15 sites across the United States. Patients will be randomized to low-dose pitolisant, high-dose pitolisant or placebo in a 1:1:1 treatment ratio and titrated over three weeks up to their randomized dose, followed by eight weeks of stable dosing. The primary trial objective is to assess for improvement in EDS as measured by both subjective and objective scales. Secondary endpoints include several behavioral symptom scales as well as specific measures of cognitive function using validated computer-based assessments. Clinician global impression of disease severity, caregiver global impression of EDS severity, and overall caregiver burden will be measured. Exploratory endpoints include the effect of pitolisant on hyperphagia and measurements of ghrelin levels. Patients who complete the trial will be eligible to participate in an open-label extension phase to assess the long-term safety and effectiveness of pitolisant in patients with PWS, which will run throughout the duration of the PWS development program.</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Myotonic Dystrophy</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DM is a rare, multi-system genetic disease that affects the neuromuscular system as well as several other systems. The primary symptom in patients with DM is myotonia, which is an impairment in the ability of muscles to relax; progressive muscle weakness is another prominent symptom of the disorder. It is inherited in an autosomal dominant pattern and there are two main types: DM1 and DM2. The underlying cause of DM1 is a mutation in the DMPK gene on chromosome 19. DM1 is the most common form of adult-onset muscular dystrophy and affects as many as 160,000 patients in the United States. EDS and fatigue are hallmark clinical characteristics in the majority of patients with DM1 and are referred to as the most frequent non-muscular symptoms in patients with DM1. EDS and fatigue occur in approximately 80% to 90% of patients with DM1. Cognitive impairment is also a prominent symptom in patients with DM1 and all of these symptoms are thought to be mediated through H</w:t>
      </w:r>
      <w:r>
        <w:rPr>
          <w:rFonts w:ascii="Arial" w:cs="Arial" w:eastAsia="Arial" w:hAnsi="Arial"/>
          <w:sz w:val="12"/>
          <w:szCs w:val="12"/>
          <w:color w:val="auto"/>
        </w:rPr>
        <w:t>3</w:t>
      </w:r>
      <w:r>
        <w:rPr>
          <w:rFonts w:ascii="Arial" w:cs="Arial" w:eastAsia="Arial" w:hAnsi="Arial"/>
          <w:sz w:val="18"/>
          <w:szCs w:val="18"/>
          <w:color w:val="auto"/>
        </w:rPr>
        <w:t xml:space="preserve"> receptors and histaminergic pathways located throughout the CNS. DM2 is not as common as DM1 with an estimated prevalence of between 3,000 and 29,000 patients in the United States. The underlying cause of DM2 is a mutation in the CBNP gene on chromosome 3. Patients with DM1 and DM2 share similar phenotypes but disease onset is later in patients with DM2 and symptoms tend to be milder. There are currently no FDA-approved treatments for patients with DM, which represents a significant unmet medical need.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therapeutic application of pitolisant may provide benefits across the key symptoms of EDS and fatigue which are often among the chief complaints of patients with DM. In a survey of 451 DM1 patients, daytime sleepiness and fatigue were second only to muscle weakness in symptom prevalence and impact. Our clinical program is designed to demonstrate effect on measures of EDS and fatigue, as well as assess performance related to cognitive function, such as attention, vigilance and working memory. Progress to date includes working with key opinion leaders to develop the scientific rationale for the investigation of pitolisant in patients with DM, development of a Phase 2 clinical protocol, submission of an IND at the end of 2020, the opening of an IND in January 2021, and initiation of a Phase 2 clinical trial in adult patients with DM1 in June of 2021.</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Phase 2 clinical trial is a randomized, double-blind, placebo-controlled trial to assess the safety and efficacy of pitolisant in adult patients with DM1 ages 18 to 65. An estimated 130 to 140 patients will be enrolled at approximately 20 to 22 sites across the United States and Canada. Patients will be randomized to low-dose pitolisant, high-dose pitolisant, or placebo in a 1:1:1 treatment ratio and titrated over three weeks up to their randomized dose, followed by eight weeks of stable dosing. The primary trial objective is to assess for improvement in EDS as measured by the MWT and the ESS. Secondary endpoints include assessments of fatigue as well as specific measures of cognitive function using validated computer-based assessments. Clinician and patient global impression of disease severity using the CGI-S and PGI-S, respectively, will be measured as well as disease-specific patient assessments of overall disease burden. Plasma samples will be collected to generate pharmacokinetic data and a PK/PD analysis will be performed. Patients who complete the trial will be eligible to participate in an open-label extension phase to assess the long-term safety and effectiveness of pitolisant in adult patients with DM1, which will run throughout the duration of the DM development program.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 our pipeline through acquisition of additional assets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HBS-102</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On August 4, 2021, we acquired HBS102 along with intellectual property and other assets related to the development, manufacture, and commercialization of the Compound from ConSynance Therapeutics, Inc. We acquired full development and commercialization rights globally, but we have provided a grant-back license to ConSynance for the development and commercialization of the Compound in Greater China. HBS-102 is a Melanin-concentrating hormone receptor 1 (MCHR1) antagonist and a potential first-in-class molecule with a novel mechanism of action. We are currently assessing potential clinical targets for HBS-102 which will inform our development strategy going forward.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industry is highly competitive and subject to rapid and significant change as research provides a deeper understanding of rare neurological disorders, including narcolepsy, and as new therapies are developed. We face potential competition from multiple sources, including large pharmaceutical, biotechnology and specialty pharmaceutical companies. The key competitive factors affecting the success of WAKIX, and any other product candidates that we develop, if approved, are likely to be efficacy, safety, convenience, price, the level of generic competition and the availability of reimbursement from government and other third-party payors.</w:t>
      </w:r>
    </w:p>
    <w:p>
      <w:pPr>
        <w:spacing w:after="0" w:line="20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WAKIX competes with currently FDA-approved products for the treatment of EDS or cataplexy in adult patients with narcolepsy, all of which are controlled substances. Jazz Pharmaceuticals’ Xyrem (sodium oxybate) is an FDA-approved product for the treatment of cataplexy or EDS in patients 7 years of age and older with narcolepsy Xyrem is a Schedule III controlled substance available only through a restricted access REMS program. Xywav, a lower sodium formulation of Xyrem, was approved in July 2020, (became commercially available in November 2020), and is also a Schedule III controlled substance subject to the same restricted access REMS program as Xyrem. Provigil and Nuvigil, which are Schedule IV WPAs, and stimulants such as methylphenidate and amphetamine (both Schedule II controlled substances), are approved for the treatment of EDS in narcolepsy. Anti-depressants and certain other agents are sometimes used off-label for the treatment of cataplexy in narcolepsy. Jazz Pharmaceuticals’ Sunosi (solriamfetol) was approved by the FDA in March 2019 and launched in July 2019. Sunosi (solriamfetol) is a Schedule IV controlled substance and is indicated to improve wakefulness in adult patients with EDS associated with narcolepsy or obstructive sleep apnea. It is not indicated for cataplexy in patients with narcolepsy. Additionally, Avadel Pharmaceuticals is working on a once nightly formulation version of sodium oxybate, with approval expected in 2023 or beyond, and Xyrem is expected to go generic in 2023 or earlier depending upon the achievement of certain milestones in their agreement with generic filer Hikma Pharmaceuticals. Beyond 2023, there are other potential future competitive products in development, including Axsome Therapeutics’ AXS-12 (reboxetine) product candidate and Takeda’s TAK-925/994/861 (orexin 2 receptor agonist) product candidates.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believe WAKIX offers a differentiated product profile that is competitive with each of the products listed above, some of which are only approved for EDS while others (Xyrem and Xywav) are approved for the treatment of both EDS or cataplexy in patients with narcolepsy. It should be noted that WAKIX has not been compared with these products in head-to-head clinical trials, but its non-scheduled status represents a distinct competitive advantage relative to those same products. Additionally, WAKIX is priced lower than Xyrem and Xywav, which we believe is a competitive advantage for WAKIX and may contribute to third-party payor preferences for WAKIX relative to Xyrem and Xywav. Conversely, WAKIX is priced higher than other competitors such as Provigil (modafinil), Nuvigil, Sunosi (armodafinil) and certain generic competitors, such as methylphenidate and amphetamine, which may contribute to third-party payor preferences for those lower-priced treatment options relative to WAKIX.</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Supply and Distribution</w:t>
      </w:r>
    </w:p>
    <w:p>
      <w:pPr>
        <w:spacing w:after="0" w:line="234"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We sell WAKIX to our customers, a limited number of specialty distributors, that, in turn, distribute WAKIX to patients.</w:t>
      </w:r>
    </w:p>
    <w:p>
      <w:pPr>
        <w:spacing w:after="0" w:line="19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have secured a commercial drug supply to support the launch of WAKIX in the United States. Although we do not currently own or operate facilities for product manufacturing, storage and distribution, or testing, we have contracted directly with third parties for each of these functions.</w:t>
      </w:r>
    </w:p>
    <w:p>
      <w:pPr>
        <w:spacing w:after="0" w:line="20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Manufacturing is subject to extensive regulation that imposes various procedural and documentation requirements that govern record keeping, manufacturing processes and controls, personnel, quality control and quality assurance, and more. Our systems and our contractors are required to be in compliance with these regulations, and compliance is assessed regularly through monitoring of performance and a formal audit program.</w:t>
      </w:r>
    </w:p>
    <w:p>
      <w:pPr>
        <w:spacing w:after="0" w:line="20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current supply chain for WAKIX involve several manufacturers that specialize in specific operations of the manufacturing process, specifically, intermediate and starting material manufacturing, drug substance manufacturing, and drug product manufacturing, labeling and secondary packaging, and distribution services:</w:t>
      </w:r>
    </w:p>
    <w:p>
      <w:pPr>
        <w:spacing w:after="0" w:line="203" w:lineRule="exact"/>
        <w:rPr>
          <w:sz w:val="20"/>
          <w:szCs w:val="20"/>
          <w:color w:val="auto"/>
        </w:rPr>
      </w:pPr>
    </w:p>
    <w:p>
      <w:pPr>
        <w:ind w:left="1000" w:right="1280" w:hanging="317"/>
        <w:spacing w:after="0" w:line="246"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Interor S.A. manufactures our BF4 and BF6 intermediate and starting material used in the active pharmaceutical ingredient (“API”).</w:t>
      </w:r>
    </w:p>
    <w:p>
      <w:pPr>
        <w:spacing w:after="0" w:line="196" w:lineRule="exact"/>
        <w:rPr>
          <w:rFonts w:ascii="Arial" w:cs="Arial" w:eastAsia="Arial" w:hAnsi="Arial"/>
          <w:sz w:val="18"/>
          <w:szCs w:val="18"/>
          <w:color w:val="auto"/>
        </w:rPr>
      </w:pPr>
    </w:p>
    <w:p>
      <w:pPr>
        <w:ind w:left="1000" w:right="180" w:hanging="317"/>
        <w:spacing w:after="0" w:line="246"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Corden Pharma Chenôve SAS, a full-service contract development and manufacturing organization (“CDMO”) manufactures our API.</w:t>
      </w:r>
    </w:p>
    <w:p>
      <w:pPr>
        <w:spacing w:after="0" w:line="196" w:lineRule="exact"/>
        <w:rPr>
          <w:rFonts w:ascii="Arial" w:cs="Arial" w:eastAsia="Arial" w:hAnsi="Arial"/>
          <w:sz w:val="18"/>
          <w:szCs w:val="18"/>
          <w:color w:val="auto"/>
        </w:rPr>
      </w:pPr>
    </w:p>
    <w:p>
      <w:pPr>
        <w:ind w:left="1000" w:right="20" w:hanging="317"/>
        <w:spacing w:after="0" w:line="246"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Patheon UK Limited, a CDMO owned by Thermo Fisher Scientific Inc., manufactures our finished product tablets and fills them into unlabeled bottles.</w:t>
      </w:r>
    </w:p>
    <w:p>
      <w:pPr>
        <w:spacing w:after="0" w:line="196" w:lineRule="exact"/>
        <w:rPr>
          <w:rFonts w:ascii="Arial" w:cs="Arial" w:eastAsia="Arial" w:hAnsi="Arial"/>
          <w:sz w:val="18"/>
          <w:szCs w:val="18"/>
          <w:color w:val="auto"/>
        </w:rPr>
      </w:pPr>
    </w:p>
    <w:p>
      <w:pPr>
        <w:ind w:left="1000" w:hanging="317"/>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Pharma Packaging Solutions, LLC dba Tjoapack, LLC, handles our labeling and secondary packaging.</w:t>
      </w:r>
    </w:p>
    <w:p>
      <w:pPr>
        <w:spacing w:after="0" w:line="225" w:lineRule="exact"/>
        <w:rPr>
          <w:rFonts w:ascii="Arial" w:cs="Arial" w:eastAsia="Arial" w:hAnsi="Arial"/>
          <w:sz w:val="18"/>
          <w:szCs w:val="18"/>
          <w:color w:val="auto"/>
        </w:rPr>
      </w:pPr>
    </w:p>
    <w:p>
      <w:pPr>
        <w:ind w:left="1000" w:right="20" w:hanging="317"/>
        <w:spacing w:after="0" w:line="246"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Integrated Commercialization Solutions, LLC (ICS), a division of AmerisourceBergen Corporation, is our third-party logistics provider.</w:t>
      </w:r>
    </w:p>
    <w:p>
      <w:pPr>
        <w:spacing w:after="0" w:line="196" w:lineRule="exact"/>
        <w:rPr>
          <w:rFonts w:ascii="Arial" w:cs="Arial" w:eastAsia="Arial" w:hAnsi="Arial"/>
          <w:sz w:val="18"/>
          <w:szCs w:val="18"/>
          <w:color w:val="auto"/>
        </w:rPr>
      </w:pPr>
    </w:p>
    <w:p>
      <w:pPr>
        <w:ind w:left="1000" w:right="20" w:hanging="317"/>
        <w:spacing w:after="0" w:line="246"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Inmar Rx Solutions, Inc., an advanced technology and data analytics company, specializes in reverse distribution of our product and manages our pharmaceutical returns and product recall, if needed.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Suppliers</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depend on a few major customers. For the year ended December 31, 2021, three customers accounted for 100% of gross product revenues; Caremark LLC accounted for 36% of gross product revenues; PANTHERx Specialty Pharmacy LLC accounted for 35% of gross product revenues; and Accredo Health Group, Inc. accounted for 29% of gross product revenues. We also depend on a single source supplier for our product, product candidates and active pharmaceutical ingredient.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Agreement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and Commercialization Agreement with Bioprojet</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July 2017, we and Bioprojet entered into the Bioprojet License Agreement. Bioprojet granted to us an exclusive, sublicensable license to commercialize, in the United States and its territories, commonwealths, and protectorates, including Puerto Rico, a product containing pitolisant currently known as WAKIX for narcolepsy, obstructive sleep apnea, idiopathic hypersomnia, Parkinson’s disease, and any other indication agreed upon by the parties which currently include PWS and DM (“the field”), as well as rights to related patent rights, know-how, trademarks, trade dress, regulatory filings and approvals (the “Bioprojet Assets”). Bioprojet also granted us a co-exclusive (with Bioprojet), sublicensable license to Bioprojet Assets to clinically develop and register the pitolisant product in the field in the United States. Bioprojet retains the right to manufacture the product in the United States, and to develop outside the United States and commercialize other products that contain pitolisant as an active ingredient anywhere in the world. Bioprojet also granted us an exclusive license to use certain trademarks and trade names in connection with the commercialization of the product under the Bioprojet License Agreement. Under the Bioprojet License Agreement, we cannot, directly or indirectly, develop, market, sell, promote or file an NDA with respect to any product that would compete with pitolisant in the field.</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Under the Bioprojet License Agreement, Bioprojet is responsible for conducting all preclinical studies and clinical trials necessary for achieving and maintaining regulatory approval in the United States for narcolepsy and cataplexy indications, including all costs and expenses. We are responsible for all other costs associated with other development and regulatory activities, unless Bioprojet otherwise agrees to participate in funding such activities. Bioprojet was responsible for filing, with our participation, the initial new drug application for the product with the FDA and Bioprojet did transfer such application to us upon approval by the FDA in accordance with the terms of the Bioprojet License Agreement.</w:t>
      </w:r>
    </w:p>
    <w:p>
      <w:pPr>
        <w:spacing w:after="0" w:line="2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Upon approval by the FDA, we were required under the Bioprojet License Agreement to promptly launch the product and use commercially reasonable efforts to commercialize the approved products in the United States in the field for each approved indication. In addition, we are required to deploy a number of sales representatives and spend an amount of expenditure, each as agreed upon in a commercialization plan.</w:t>
      </w:r>
    </w:p>
    <w:p>
      <w:pPr>
        <w:spacing w:after="0" w:line="2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Under the Bioprojet License Agreement, Bioprojet has the right and authority to prepare, file, prosecute and maintain all Bioprojet patents on a worldwide basis at its own cost. Bioprojet shall keep us informed of the course of prosecution and other proceedings in the United States. We have the first right to enforce the licensed patent rights with respect to any infringing products in the United States. If we do not bring an action to enforce such patents against infringing activities that involve such infringing products, Bioprojet has the right to bring such action.</w:t>
      </w:r>
    </w:p>
    <w:p>
      <w:pPr>
        <w:spacing w:after="0" w:line="20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We paid Bioprojet an initial license fee of $150.0 million, a milestone payment of $ 50.0 million upon FDA acceptance of the NDA in February 2019, and a milestone payment of $75.0 million plus an additional $ 2.0 million fee for approval of the NDA in November 2019. Upon the Cataplexy Milestone Trigger Date, we became obligated to make the Cataplexy Milestone Payment to Bioprojet pursuant to the terms of the Bioprojet License Agreement. Subsequently, in October 2020, we made a payment to Bioprojet of $2.0 million to extend the Cataplexy Milestone Payment due date to within 90 days of the Cataplexy Milestone Trigger Date. In January 2021, we made the $100.0 million Cataplexy Milestone Payment in full to Bioprojet. In addition, we are subject to a milestone payment of $ 40.0 million upon the attainment of aggregate net sales of WAKIX in the United States of $500.0 million subsequent to the date of NDA approval by the FDA pursuant to the Bioprojet License Agreement. We attained this milestone subsequent to December 31, 2021 and expect to make the milestone payment in March 2022. We agreed to pay royalties on the product at tiered royalty rates of 13% to 24% based on annual total net sales during the period commencing on first commercial sale of the product and ending on the latest of 10 years from first commercial sale of the product, expiration of all regulatory exclusivity, or expiration of the last Bioprojet patent covering the product. Such royalty payments are subject to reductions based on royalties paid to any third party in order for us to commercialize the product. We also agreed to pay royalties in consideration for a trademark license at a rate of 3% of net sales for 20 years after first commercial sale of the product. We further agreed to pay minimum royalties during the third through tenth year of the Bioprojet License Agreement if the product is approved for narcolepsy to the extent such minimum royalties exceed the royalties payable as described above, which minimum amounts were calculated based on sales materially below our sales forecast.</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Bioprojet License Agreement will continue until the expiration of the obligation to pay royalties with respect to the product. We and Bioprojet may each terminate the Bioprojet License Agreement for a material breach by the other party that remains uncured for 90 days. Bioprojet may terminate the Bioprojet License Agreement in its entirety if we or our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sublicensees challenge the licensed patents. In addition, we and Bioprojet have the right to terminate the Bioprojet License Agreement upon the other party’s insolvency.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Intellectual property, including patents, trade secrets, trademarks and copyrights, is important to our business. Our commercial success depends in part on our ability to obtain and maintain proprietary intellectual property protection for our WAKIX product and potential future pitolisant-based products, as well as for future product candidates and novel discoveries, product development technologies, and know-how. Our commercial success also depends in part on our ability to operate without infringing on the proprietary rights of others and to prevent others from infringing our proprietary rights. Our policy is to develop and maintain protection of our proprietary position by, among other methods, licensing or filing U.S. and foreign patents and applications relating to our technology, inventions, and improvements that are important to the development and implementation of our business.</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Our WAKIX patent portfolio is comprised of three U.S. patents exclusively licensed to us from Bioprojet. One U.S. patent, No. 8,207,197, has claims directed to a polymorph, i.e. a specific crystalline form, of pitolisant and, methods for preparing that polymorph of pitolisant, which is expected to expire in February 2029 without taking into consideration any possible patent term extension. A second U.S. patent, No. 8,486,947, has claims directed to methods of treating excessive daytime sleepiness by administering pitolisant, which is expected to expire in September 2029 without taking into consideration any possible patent term extension. With applicable patent term extension granted to us, we believe the term of the last-to-expire pitolisant-related patent in our portfolio will extend to February 2030 or September 2030, depending on which patent we elect for patent term extension as described below.</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Our HBS-102 patent portfolio comprises three patent families. The first patent family includes a U.S. patent No. 8,637,501, which has claims certain melanin-concentrating hormone (MCH-1) receptor antagonists as compositions of matter, as well as methods of making the antagonists, and methods of use for treating obesity, anxiety, and depression, and processes for preparing the compounds, which is expected to expire in April 2031 without taking into consideration any possible patent term extension. A second patent family comprises three issued U.S. patents (Nos. 8,716,308; 9,296,743, and 9,650,378), and issued patents in Australia, Brazil, Canada, China, Germany, Spain, France, the United Kingdom, Israel, Italy, Japan, Korea, Mexico, and New Zealand. The patents have claims directed to certain human MCH-1 receptor-selective antagonists as compositions of matter, and are expected to expire in June 2031 (the ‘308 patent) and January 2029 (the ‘743 and ‘378 patents, as well as the international patents). The third patent family comprises a pending PCT application (WO2021/142395) and has claims directed to therapeutic combinations or formulations of drugs comprising triple monoamine reuptake inhibitors, MCH receptor 1 (MCHR1) antagonists, and diazoxide, and methods of treating or preventing hyperphagia, moderate to severe binge eating disorder, bulimia nervosa, and management of obesity.</w:t>
      </w:r>
    </w:p>
    <w:p>
      <w:pPr>
        <w:spacing w:after="0" w:line="20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term of individual patents in our portfolio depends upon the legal term of patents in the countries in which they are obtained. In the United States, the patent term is 20 years from the earliest date of filing a non-provisional patent application. The term of a U.S. patent may be eligible for patent term adjustment, which permits patent term restoration as compensation for delays incurred at the U.S. Patent and Trademark Office (the “USPTO”) during the patent prosecution process. In addition, for patents that cover an FDA-approved drug, the Drug Price Competition and Patent Term Restoration Act of 1984 (the “Hatch-Waxman Act”) permits a patent term extension of up to five years beyond the expiration of the patent. While the length of the patent term extension is related to the length of time the drug is under regulatory review, patent term extension cannot extend the remaining term of a patent beyond a total of 14 years from the date of product approval, and only one patent per approved drug may be extended under the Hatch-Waxman Act. We have applied for patent term extension on two patents covering pitolisant (the ‘197 and ‘947 patents referenced above), only one of which will receive patent term extension, if at all. FDA has advised the USPTO that the relevant regulatory review period for WAKIX was 505 days and, based on that information, we estimate the length of such patent term extension to be 374 days. There is no guarantee that the USPTO determination will align with our estimate.</w:t>
      </w:r>
    </w:p>
    <w:p>
      <w:pPr>
        <w:spacing w:after="0" w:line="20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patent positions of companies like ours are generally uncertain and involve complex legal and factual questions. Changes in either the patent laws or their interpretation in the United States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enforcing patent claims that cover our technology, inventions and improvements. We cannot guarantee that patents will be granted with respect to any patent applications we may file in the future, nor can we be sure that any patents that may be granted to us in the future will be commercially useful in protecting our products, the methods of use or</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manufacture of those products. Moreover, issued patents do not guarantee the right to practice our technology in relation to the commercialization of our products. Issued patents only allow us to block potential competitors from practicing the claimed inventions of the issued patents.</w:t>
      </w:r>
    </w:p>
    <w:p>
      <w:pPr>
        <w:spacing w:after="0" w:line="20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Further, patents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our issued patents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20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and/or our licensor also rely on protections under trade secret laws, and seek to protect and maintain the confidentiality of proprietary information to protect aspects of our business that are not amenable to, or that we do not consider appropriate for, patent protection. Our trade secrets include, for example, certain program specific synthesis, formulations, patient selection strategies and certain aspects of our research. It is our policy to require our employees, consultants, outside scientific collaborators, sponsored researchers and other advisors to execute confidentiality agreements upon the commencement of employment or consulting relationships with us, and for employees and consultants to enter into invention assignment agreements with us. These agreements provide that all confidential information developed or made known to the individual during the course of the individual’s relationship with us is to be kept confidential and not disclosed to third parties except in specific circumstances. Where applicable, the agreements provide that all inventions to which the individual contributed as an inventor shall be assigned to us, and as such, will become our property. There can be no assurance, however, that these agreements will provide meaningful protection or adequate remedies for our trade secrets in the event of unauthorized use or disclosure of such information.</w:t>
      </w:r>
    </w:p>
    <w:p>
      <w:pPr>
        <w:spacing w:after="0" w:line="20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Further, we have in-licensed from Bioprojet the registered trademark product name “WAKIX” in the United States. We also have registered trademark protection in the United States for “KNOW NARCOLEPSY” as well as our brand and logo “HB,” “HB HARMONY BIOSCIENCES” and “HARMONY BIOSCIENCES.” We also have trademark applications pending with the U.S. Patent and Trademark Office for “REM AT THE WRONG TIME” and “NON-REM AT THE WRONG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FDA and comparable regulatory authorities in state and local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Drug Development Process</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the United States, the FDA regulates drugs under the Federal Food, Drug, and Cosmetic Act (the “FDCA”) and its implementing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ind w:right="660" w:firstLine="648"/>
        <w:spacing w:after="0" w:line="246" w:lineRule="auto"/>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97" w:lineRule="exact"/>
        <w:rPr>
          <w:sz w:val="20"/>
          <w:szCs w:val="20"/>
          <w:color w:val="auto"/>
        </w:rPr>
      </w:pPr>
    </w:p>
    <w:p>
      <w:pPr>
        <w:ind w:left="1000" w:right="200" w:hanging="317"/>
        <w:spacing w:after="0" w:line="246"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(“GLP”) regulations;</w:t>
      </w:r>
    </w:p>
    <w:p>
      <w:pPr>
        <w:spacing w:after="0" w:line="196" w:lineRule="exact"/>
        <w:rPr>
          <w:rFonts w:ascii="Arial" w:cs="Arial" w:eastAsia="Arial" w:hAnsi="Arial"/>
          <w:sz w:val="18"/>
          <w:szCs w:val="18"/>
          <w:color w:val="auto"/>
        </w:rPr>
      </w:pPr>
    </w:p>
    <w:p>
      <w:pPr>
        <w:ind w:left="1000" w:hanging="31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225" w:lineRule="exact"/>
        <w:rPr>
          <w:rFonts w:ascii="Arial" w:cs="Arial" w:eastAsia="Arial" w:hAnsi="Arial"/>
          <w:sz w:val="18"/>
          <w:szCs w:val="18"/>
          <w:color w:val="auto"/>
        </w:rPr>
      </w:pPr>
    </w:p>
    <w:p>
      <w:pPr>
        <w:ind w:left="1000" w:right="540" w:hanging="317"/>
        <w:spacing w:after="0" w:line="246"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at each clinical site before each trial may be initiated;</w:t>
      </w:r>
    </w:p>
    <w:p>
      <w:pPr>
        <w:spacing w:after="0" w:line="196" w:lineRule="exact"/>
        <w:rPr>
          <w:rFonts w:ascii="Arial" w:cs="Arial" w:eastAsia="Arial" w:hAnsi="Arial"/>
          <w:sz w:val="18"/>
          <w:szCs w:val="18"/>
          <w:color w:val="auto"/>
        </w:rPr>
      </w:pPr>
    </w:p>
    <w:p>
      <w:pPr>
        <w:jc w:val="both"/>
        <w:ind w:left="1000" w:right="460" w:hanging="317"/>
        <w:spacing w:after="0" w:line="246"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(“GCP”) requirements to establish the safety and efficacy of the proposed drug product for each indication;</w:t>
      </w:r>
    </w:p>
    <w:p>
      <w:pPr>
        <w:spacing w:after="0" w:line="196" w:lineRule="exact"/>
        <w:rPr>
          <w:rFonts w:ascii="Arial" w:cs="Arial" w:eastAsia="Arial" w:hAnsi="Arial"/>
          <w:sz w:val="18"/>
          <w:szCs w:val="18"/>
          <w:color w:val="auto"/>
        </w:rPr>
      </w:pPr>
    </w:p>
    <w:p>
      <w:pPr>
        <w:ind w:left="1000" w:hanging="31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rFonts w:ascii="Arial" w:cs="Arial" w:eastAsia="Arial" w:hAnsi="Arial"/>
          <w:sz w:val="18"/>
          <w:szCs w:val="18"/>
          <w:color w:val="auto"/>
        </w:rPr>
      </w:pPr>
    </w:p>
    <w:p>
      <w:pPr>
        <w:jc w:val="both"/>
        <w:ind w:left="1000" w:hanging="317"/>
        <w:spacing w:after="0" w:line="238"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 (“cGMP”) requirements and to assure that the facilities, methods and controls are adequate to preserve the drug’s identity, strength, quality and purity; and</w:t>
      </w:r>
    </w:p>
    <w:p>
      <w:pPr>
        <w:spacing w:after="0" w:line="204" w:lineRule="exact"/>
        <w:rPr>
          <w:rFonts w:ascii="Arial" w:cs="Arial" w:eastAsia="Arial" w:hAnsi="Arial"/>
          <w:sz w:val="18"/>
          <w:szCs w:val="18"/>
          <w:color w:val="auto"/>
        </w:rPr>
      </w:pPr>
    </w:p>
    <w:p>
      <w:pPr>
        <w:ind w:left="1000" w:hanging="317"/>
        <w:spacing w:after="0" w:line="246"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FDA review and approval of the NDA, including consideration of the views of any FDA advisory committee, prior to commercial marketing or sale of the drug in the United States; and</w:t>
      </w:r>
    </w:p>
    <w:p>
      <w:pPr>
        <w:spacing w:after="0" w:line="196" w:lineRule="exact"/>
        <w:rPr>
          <w:rFonts w:ascii="Arial" w:cs="Arial" w:eastAsia="Arial" w:hAnsi="Arial"/>
          <w:sz w:val="18"/>
          <w:szCs w:val="18"/>
          <w:color w:val="auto"/>
        </w:rPr>
      </w:pPr>
    </w:p>
    <w:p>
      <w:pPr>
        <w:ind w:left="1000" w:right="20" w:hanging="317"/>
        <w:spacing w:after="0" w:line="246"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REMS program or to conduct a post-approval study.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Preclinical Studies</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Preclinical studies include laboratory evaluation of product chemistry,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 As a result, submission of an IND may not result in the FDA allowing clinical trials to commence.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Clinical Trials</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Clinical trials involve the administration of the investigational new drug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In addition, an IRB at each institution participating in the clinical trial must review and approve the plan for any clinical trial before it commences at that institution. Information about certain clinical trials must be submitted within specific timeframes to the NIH for public dissemination on their www.clinicaltrials.gov website.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212" w:lineRule="exact"/>
        <w:rPr>
          <w:sz w:val="20"/>
          <w:szCs w:val="20"/>
          <w:color w:val="auto"/>
        </w:rPr>
      </w:pPr>
    </w:p>
    <w:p>
      <w:pPr>
        <w:jc w:val="both"/>
        <w:ind w:left="1000" w:right="2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Phase 1: The drug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202" w:lineRule="exact"/>
        <w:rPr>
          <w:rFonts w:ascii="Arial" w:cs="Arial" w:eastAsia="Arial" w:hAnsi="Arial"/>
          <w:sz w:val="18"/>
          <w:szCs w:val="18"/>
          <w:color w:val="auto"/>
        </w:rPr>
      </w:pPr>
    </w:p>
    <w:p>
      <w:pPr>
        <w:jc w:val="both"/>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202" w:lineRule="exact"/>
        <w:rPr>
          <w:rFonts w:ascii="Arial" w:cs="Arial" w:eastAsia="Arial" w:hAnsi="Arial"/>
          <w:sz w:val="18"/>
          <w:szCs w:val="18"/>
          <w:color w:val="auto"/>
        </w:rPr>
      </w:pPr>
    </w:p>
    <w:p>
      <w:pPr>
        <w:jc w:val="both"/>
        <w:ind w:left="1000" w:hanging="317"/>
        <w:spacing w:after="0" w:line="238"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20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20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 There are also requirements governing the reporting of ongoing clinical trials and completed trial results to public registries.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Marketing Approval</w:t>
      </w:r>
    </w:p>
    <w:p>
      <w:pPr>
        <w:spacing w:after="0" w:line="23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Under the Prescription Drug User Fee Act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Specifically,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and quality.</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FDA also may require submission of a REMS to ensure that the benefits of the drug outweigh its risks. The REMS could include medication guides, physician communication plans, assessment plans, and/or elements to assure safe use, such as restricted distribution methods, patient registries, or other risk minimization tools.</w:t>
      </w:r>
    </w:p>
    <w:p>
      <w:pPr>
        <w:spacing w:after="0" w:line="203"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recommendation as to whether the application should be approved and under what conditions. The FDA is not bound by the recommendations of an advisory committee, but it considers such recommendations carefully when making decisions.</w:t>
      </w:r>
    </w:p>
    <w:p>
      <w:pPr>
        <w:spacing w:after="0" w:line="19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0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FDA Expedited Development and Review Programs</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FDA has various programs, including fast track designation, accelerated approval priority review, and breakthrough therapy designation, which are intended to expedite or simplify the process for the development and FDA review of drugs that are intended for the treatment of serious or life threatening diseases or conditions and demonstrate the potential to address unmet medical needs. The purpose of these programs is to provide important new drugs to patients earlier than under standard FDA review procedures.</w:t>
      </w:r>
    </w:p>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To be eligible for a fast track designation, the FDA must determine, based on the request of a sponsor, that a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The FDA may review sections of the NDA for a fast track product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FDA may give a priority review designation to drugs that offer major advances in treatment, or provide a treatment where no adequate therapy exists. A priority review means that the goal for the FDA to review an application is six months, rather than the standard review of ten months under current PDUFA guidelines. Under the new PDUFA agreement, these six and ten month review periods are measured from the “filing” date rather than the receipt date for NDAs for new molecular entities, which typically adds approximately two months to the timeline for review and decision from the date of submission. Products that are eligible for fast track designation may also be considered appropriate to receive a priority review.</w:t>
      </w:r>
    </w:p>
    <w:p>
      <w:pPr>
        <w:spacing w:after="0" w:line="20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addition, products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drug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post-marketing studies to verify and describe the predicted effect on irreversible morbidity or mortality or other clinical endpoint, and the drug may be subject to accelerated withdrawal procedures.</w:t>
      </w:r>
    </w:p>
    <w:p>
      <w:pPr>
        <w:spacing w:after="0" w:line="20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Moreover, under the provisions of the Food and Drug Administration Safety and Innovation Act (“FDASIA”) passed in July 2012, a sponsor can request designation of a product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also eligible for accelerated approval. The FDA must take certain actions, such as holding timely meetings and providing advice, intended to expedite the development and review of an application for approval of a breakthrough therapy. The designation includes all of the benefits of a fast track designation. The breakthrough therapy designation is a distinct status from both accelerated approval and priority review, which can also be granted to the same drug if relevant criteria are met.</w:t>
      </w:r>
    </w:p>
    <w:p>
      <w:pPr>
        <w:spacing w:after="0" w:line="206" w:lineRule="exact"/>
        <w:rPr>
          <w:sz w:val="20"/>
          <w:szCs w:val="20"/>
          <w:color w:val="auto"/>
        </w:rPr>
      </w:pPr>
    </w:p>
    <w:p>
      <w:pPr>
        <w:ind w:right="200" w:firstLine="648"/>
        <w:spacing w:after="0" w:line="238"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priority review, and breakthrough therapy designation do not change the standards for approval, but may expedite the development or approval process.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Post-Approval Requirements</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20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20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205" w:lineRule="exact"/>
        <w:rPr>
          <w:sz w:val="20"/>
          <w:szCs w:val="20"/>
          <w:color w:val="auto"/>
        </w:rPr>
      </w:pPr>
    </w:p>
    <w:p>
      <w:pPr>
        <w:ind w:left="1000" w:right="20" w:hanging="317"/>
        <w:spacing w:after="0" w:line="246"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96" w:lineRule="exact"/>
        <w:rPr>
          <w:rFonts w:ascii="Arial" w:cs="Arial" w:eastAsia="Arial" w:hAnsi="Arial"/>
          <w:sz w:val="18"/>
          <w:szCs w:val="18"/>
          <w:color w:val="auto"/>
        </w:rPr>
      </w:pPr>
    </w:p>
    <w:p>
      <w:pPr>
        <w:ind w:left="1000" w:hanging="317"/>
        <w:spacing w:after="0" w:line="246"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safety alerts, Dear Healthcare Provider letters, press releases or other communications containing warning or other safety information about the product;</w:t>
      </w:r>
    </w:p>
    <w:p>
      <w:pPr>
        <w:spacing w:after="0" w:line="196" w:lineRule="exact"/>
        <w:rPr>
          <w:rFonts w:ascii="Arial" w:cs="Arial" w:eastAsia="Arial" w:hAnsi="Arial"/>
          <w:sz w:val="18"/>
          <w:szCs w:val="18"/>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25" w:lineRule="exact"/>
        <w:rPr>
          <w:rFonts w:ascii="Arial" w:cs="Arial" w:eastAsia="Arial" w:hAnsi="Arial"/>
          <w:sz w:val="18"/>
          <w:szCs w:val="18"/>
          <w:color w:val="auto"/>
        </w:rPr>
      </w:pPr>
    </w:p>
    <w:p>
      <w:pPr>
        <w:ind w:left="1000" w:right="40" w:hanging="317"/>
        <w:spacing w:after="0" w:line="246"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refusal of the FDA to approve pending NDAs or supplements to approved NDAs, or suspension or revocation of product approvals;</w:t>
      </w:r>
    </w:p>
    <w:p>
      <w:pPr>
        <w:spacing w:after="0" w:line="196" w:lineRule="exact"/>
        <w:rPr>
          <w:rFonts w:ascii="Arial" w:cs="Arial" w:eastAsia="Arial" w:hAnsi="Arial"/>
          <w:sz w:val="18"/>
          <w:szCs w:val="18"/>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Marketing Exclusivity</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Market exclusivity provisions under the FDCA can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clinical trials in children in response to a written request from the FDA. The issuance of a written request does not require the sponsor to undertake the described clinical trials.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Orphan Drug Designation and Exclusivity</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Under the Orphan Drug Act, the FDA may grant orphan designation to a drug intended to treat a rare disease or condition, which is a disease or condition that (i) affects fewer than 200,000 individuals in the United States, or (ii) if it affects more than 200,000 individuals in the United States, there is no reasonable expectation that the cost of developing and making the product available in the United States for the disease or condition will be recovered from sales of the product. Orphan designation must be requested before submitting an NDA. After the FDA grants an orphan drug designation, the generic identity of the therapeutic agent and its potential orphan use are disclosed publicly by the FDA. Orphan designation does not convey any advantage in, or shorten the duration of, the regulatory review and approval process.</w:t>
      </w:r>
    </w:p>
    <w:p>
      <w:pPr>
        <w:spacing w:after="0" w:line="20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Among other benefits of an orphan drug designation are tax credits for certain research and a waiver of the user fee for the NDA.</w:t>
      </w:r>
    </w:p>
    <w:p>
      <w:pPr>
        <w:spacing w:after="0" w:line="20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20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received an orphan designation for pitolisant for the treatment of EDS in adult patients with narcolepsy and, upon approval of WAKIX, we received orphan exclusivity until 2026. We also received an orphan designation for pitolisant for the treatment of cataplexy in adult patients with narcolepsy and we received orphan exclusivity until 2027.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 Regulation</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Controlled Substances Act of 1970 (“CSA”) establishes registration, security, recordkeeping, reporting, storage, distribution and other requirements administered by the DEA. The DEA is concerned with the control of handlers of controlled substances, and with the equipment and raw materials used in their manufacture and packaging, in order to prevent loss and diversion into illicit channels of commerce.</w:t>
      </w:r>
    </w:p>
    <w:p>
      <w:pPr>
        <w:spacing w:after="0" w:line="20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The FDA did not recommend that the DEA schedule WAKIX as a controlled substance, and WAKIX is therefore not scheduled as a controlled substance by the DEA.</w:t>
      </w:r>
    </w:p>
    <w:p>
      <w:pPr>
        <w:spacing w:after="0" w:line="2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w:t>
      </w:r>
    </w:p>
    <w:p>
      <w:pPr>
        <w:spacing w:after="0" w:line="2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DEA typically inspects a facility to review its security measures prior to issuing a registration. Security requirements vary by controlled substance schedule, with the most stringent requirements applying to Schedule I and Schedule II substances. Required security measures include background checks on employees and physical control of inventory through measures such as cages, surveillance cameras and inventory reconciliations. Records must be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maintained for the handling of all controlled substances, and periodic reports made to the DEA, for example distribution reports for Schedule I and II controlled substances, Schedule III substances that are narcotics, and other designated substances. Reports must also be made for thefts or losses of any controlled substance, and to obtain authorization to destroy any controlled substance. In addition, special authorization and notification requirements apply to imports and exports.</w:t>
      </w:r>
    </w:p>
    <w:p>
      <w:pPr>
        <w:spacing w:after="0" w:line="20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addition, a DEA quota system controls and limits the availability and production of controlled substances in Schedule I or II. Distributions of any Schedule I or II controlled substance must also be accompanied by special order forms, with copies provided to the DEA. The DEA may adjust aggregate production quotas and individual production and procurement quotas from time to time during the year, although the DEA has substantial discretion in whether or not to make such adjustments. To meet its responsibilities, the DEA conducts periodic inspections of registered establishments that handle controlled substances. Individual states also regulate controlled substances.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addition to FDA regulation of pharmaceutical products, pharmaceutical companies are subject to federal healthcare laws and regulations as well as regulation by the states and foreign jurisdictions in which they conduct their business that restrict business practices in the pharmaceutical industry. These laws may impact, among other things, our current and future business operations, including our clinical research activities, and proposed sales, marketing and education programs and constrain the business or financial arrangements and relationships with healthcare providers and other parties through which we market, sell and distribute our products for which we obtain marketing approval. These laws include U.S. federal and state anti-kickback and false claims laws, civil monetary penalties laws, consumer protection and transparency laws as well as similar foreign laws in the jurisdictions outside the U.S., including, without limitation, those laws described below.</w:t>
      </w:r>
    </w:p>
    <w:p>
      <w:pPr>
        <w:spacing w:after="0" w:line="20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federal Anti-Kickback Statute prohibits, among other things, individuals or entities from knowingly and willfully offering, paying, soliciting or receiving remuneration, directly or indirectly, overtly or covertly, in cash or in kind to induce or in return for purchasing, leasing, ordering or arranging for or recommending the purchase, lease or order of any item or service reimbursable under Medicare, Medicaid or other federal healthcare programs. A person or entity does not need to have actual knowledge of this statute or specific intent to violate it in order to have committed a violation.</w:t>
      </w:r>
    </w:p>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federal civil and criminal false claims laws, including the civil False Claims Act, prohibit, among other things, any individual or entity from knowingly presenting, or causing to be presented, a false claim for payment to the federal government, knowingly making, using or causing to be made or used a false record or statement material to a false or fraudulent claim to the federal government, or from knowingly making a false statement to avoid, decrease or conceal an obligation to pay money to the federal government. Manufacturers can be held liable under the False Claims Act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civil False Claims Act and the civil monetary penalties statute. The False Claims Act also permits a private individual acting as a “whistleblower” to bring actions on behalf of the federal government alleging violations of the False Claims Act and to share in any monetary recovery.</w:t>
      </w:r>
    </w:p>
    <w:p>
      <w:pPr>
        <w:spacing w:after="0" w:line="2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federal Civil Monetary Penalties Law prohibits, among other things, the offering or transferring of remuneration to a Medicare or Medicaid beneficiary that the person knows or should know is likely to influence the beneficiary’s selection of a particular supplier of Medicare or Medicaid payable items or services. Federal government price reporting laws require manufacturers to calculate and report complex pricing metrics to government programs.</w:t>
      </w:r>
    </w:p>
    <w:p>
      <w:pPr>
        <w:spacing w:after="0" w:line="20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federal Health Insurance Portability and Accountability Act of 1996 (“HIPAA”) created additional federal criminal statutes that prohibit, among other things, knowingly and willfully executing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20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with</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specific exceptions, to report annually to the Centers for Medicare &amp; Medicaid Services (“CMS”)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CMS ownership and investment interests held by physicians and their immediate family members. Beginning in 2022, these reporting obligations will extend to include payments and transfers of value made during the previous year to physician assistants, nurse practitioners, clinical nurse specialists, certified registered nurse anesthetists and anesthesiologist assistants, and certified nurse midwives.</w:t>
      </w:r>
    </w:p>
    <w:p>
      <w:pPr>
        <w:spacing w:after="0" w:line="20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information and marketing expenditures or which require tracking gifts and other remuneration and items of value provided to physicians, other healthcare providers and entities; and state and local laws that require the registration of pharmaceutical sales representatives.</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Violation of any of such laws or any other governmental regulations that apply may result in significant criminal, civil and administrative penalties including damages, fines, imprisonment, disgorgement, additional reporting requirements and oversight if we become subject to a corporate integrity agreement or similar agreement to resolve allegations of non-compliance with these laws, contractual damages, reputational harm, diminished profits and future earnings, disgorgement, exclusion from participation in government healthcare programs and the curtailment or restructuring of our operations. To the extent that any of our products are sold in a foreign country, we may be subject to similar foreign laws and regulations, which may include, for instance, applicable post-marketing requirements, including safety surveillance, anti-fraud and abuse laws, implementation of corporate compliance programs, and reporting of payments or transfers of value to healthcare professionals.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 Laws</w:t>
      </w:r>
    </w:p>
    <w:p>
      <w:pPr>
        <w:spacing w:after="0" w:line="23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Pharmaceutical companies may be subject to U.S. federal and state health information privacy, security and data breach notification laws, which may govern the collection, use, disclosure and protection of health-related and other personal information. In the U.S.,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Department of Health and Human Services (“HHS”), affected individuals and if the breach is large enough, the media. Entities that are found to be in violation of HIPAA as the result of a breach of unsecured protected health information (“PHI”), a complaint about privacy practices or an audit by the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(“FTCA”).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addition, certain state laws govern the privacy and security of health information in certain circumstances, some of which may be more stringent, broader in scope or offer greater individual rights with respect to PHI than HIPAA, many of which may differ from each other, thus, complicating compliance efforts. Failure to comply with these laws, where applicable, can result in the imposition of significant civil and/or criminal penalties and private litigation. For example, California recently enacted legislation, the California Consumer Privacy Act (“CCPA”),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breach. Although the law includes limited exceptions, including for “protected health information” maintained by a covered entity or business associate, it may regulate or impact our processing of personal information depending on the context. Further, the California Privacy Rights Act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w:t>
      </w:r>
    </w:p>
    <w:p>
      <w:pPr>
        <w:spacing w:after="0" w:line="20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In Europe, the General Data Protection Regulation (“GDPR”), went into effect in May 2018 and imposes stringent data protection requirements for controllers and processors of personal data of persons within the European Economic Area (“EEA”). The GDPR applies to any company established in the EEA as well as to those outside the EEA if they collect and use personal data in connection with the offering of goods or services to individuals in the EEA or the monitoring of their behavior. The GDPR, together with national legislation, regulations and guidelines of the EEA member states and the United Kingdom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United Kingdom,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to comply with the GDPR and also the United Kingdom GDPR (“UK GDPR”) which, together with the amended UK Data Protection Act 2018, retains the GDPR in UK national law. The UK GDPR mirrors the fines under the GDPR, e.g. fines up to the greater of €20 million (£ 17.5 million) or 4% of global turnover. The relationship between the United Kingdom and the European Union in relation to certain aspects of data protection law remains unclear, and it is unclear how United Kingdom data protection laws and regulations will develop in the medium to longer term, and how data transfers to and from the United Kingdom will be regulated in the long term.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or extends that decision. European data protection authorities may interpret the GDPR, UK GDPR and national laws differently and impose additional requirements, which add to the complexity of processing personal data in or from the EEA or United Kingdom. Guidance on implementation and compliance practices are often updated or otherwise revised.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23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In the United States, no uniform policy exists for coverage and reimbursement for pharmaceutical products among third-party payors. Therefore, decisions regarding the extent of coverage and amount of reimbursement to be provided are made on a plan-by-plan basis. The process for determining whether a third-party payor will provide coverage for a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or place products at certain formulary levels that result in lower reimbursement levels and higher cost-sharing obligation imposed on patients. One third-party payor’s decision to cover a particular medical product or service does not ensure that other payors will also provide coverage for the medical product or service and the level of coverage and reimbursement can differ significantly from payor to payor. As a result, the coverage determination process will often require us to provide scientific and clinical support for the use of our products to each payor separately and can be a time-consuming process, with no assurance that coverage and adequate reimbursement will be applied consistently or obtained in the first instance. Additionally, a third-party payor’s decision to provide coverage for a product does not imply that an adequate reimbursement rate will be approved.</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Furthermore, there can be no assurance that a product will be considered medically reasonable and necessary for a specific indication, that a product will be considered cost-effective by third-party payors, that an adequate level of reimbursement will be established even if coverage is available or that the third-party payors’ reimbursement policies will not adversely affect the ability to sell a product profitably.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23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ACA was signed into law, which substantially changed the way healthcare is financed by both governmental and private insurers in the United States and significantly affected the pharmaceutical industry. The ACA contains a number of provisions, including those governing enrollment in federal healthcare programs, reimbursement adjustments and fraud and abuse changes. Additionally, the ACA increased the minimum level of Medicaid rebates payable by manufacturers of brand name drugs; required collection of rebates for drugs paid by Medicaid managed care organizations; required manufacturers to participate in a coverage gap discount program, under which they must agree to offer point-of-sale discounts (increased to 70 percent pursuant to the Bipartisan Budget Act of 2018, effective as of January 1, 2019)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the types of entities eligible for the 340B drug discount program; expanded eligibility criteria for Medicaid programs; creates a new Patient-Centered Outcomes Research Institute to oversee, identify priorities in, and conduct comparative clinical effectiveness research, along with funding for such research; and established a Center for Medicare Innovation at CMS to test innovative payment and service delivery models to lower Medicare and Medicaid spending, potentially including prescription drug spending.</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Since its enactment, there have been judicial, executive and Congressional legislative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Other legislative changes have also been proposed and adopted since the ACA was enacted, including aggregate reductions of Medicare payments to providers of 2% per fiscal year, which was temporarily suspended from May 1, 2020 through December 31, 2022 under the Coronavirus Aid, Relief and Economic Security Act (“CARES Act”), and further reduced payments to several types of Medicare providers.</w:t>
      </w:r>
    </w:p>
    <w:p>
      <w:pPr>
        <w:spacing w:after="0" w:line="20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in an attempt to control drug costs.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 party payors and governmental authorities in reference pricing systems and publication of discounts and list prices.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or additional pricing pressures.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Our corporate headquarters are located at 630 W. Germantown Pike Plymouth Meeting, Pennsylvania. In December 2020, we leased additional office space at this same location, which increased our footprint to approximately 28,638 square feet of office space. As of December 31, 2021, approximately 60 of our employees are located at our corporate headquarters. Pursuant to our Right of Use Agreement with Paragon, we also utilize office space at 330 N. Wabash Ave, Suite 3500, Chicago, Illinois 60611, where approximately 10 of our employees are located.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As of December 31, 2021, we have approximately 180 full-time employees, 105 of whom are dedicated to commercial functions, which includes sales, marketing, market access, commercial operations and insights, and 25 of whom are dedicated to research and development. None of our employees are represented by labor unions or covered by collective bargaining agreements. We consider our relationship with our employees to be good.</w:t>
      </w:r>
    </w:p>
    <w:p>
      <w:pPr>
        <w:spacing w:after="0" w:line="2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believe that our future success largely depends upon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including health care, retirement planning and paid time off.</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We believe that much of our success is rooted in the diversity of our teams and our commitment to inclusion. We value diversity at all levels and focus on extending our diversity and inclusion initiatives across our entire workforce.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Social responsibility has always been integral to our core values. We are committed to doing business with integrity and ethics. We focus on providing our employees safe and healthy working conditions, and actively participate in the communities where we are located. In addition, we support philanthropic organizations, patient-focused associations, local and national charitable organizations, and areas of need across the country by providing monetary donations or supplying food, medical supplies and other resources. We collaborate with patient advocacy organizations to understand the needs of patients living with rare, neurological disorders including narcolepsy, and are committed to addressing those needs.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Our operating subsidiary, Harmony Biosciences, LLC, was formed in May 2017. We were formed in July 2017 as Harmony Biosciences II, LLC, a Delaware limited liability company, and we converted to a Delaware corporation named Harmony Biosciences II, Inc. in September 2017. In February 2020, we changed our name to Harmony Biosciences Holdings, Inc. Our principal executive offices are located at 630 W. Germantown Pike, Plymouth Meeting, PA 19462, and our telephone number is (484) 539-9800. Our internet website is www.harmonybiosciences.com. We routinely make available important information free of charge, including copies of our Annual Reports on Form 10-K, Quarterly Reports on Form 10-Q, Current Reports on Form 8-K and amendments to those reports filed or furnished pursuant to Section 13(a) or 15(d) of the Exchange Act, as soon as reasonably practicable after such reports are electronically filed with, or furnished to, the SEC. We recognize our website as a key channel of distribution to reach public investors and as a means of disclosing material non-public information to comply with our disclosure obligations under SEC Regulation FD. Information contained on our website shall not be deemed incorporated into, or to be part of this Annual Report on Form 10-K, and any website references are not intended to be made through active hyperlinks.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right="320" w:firstLine="648"/>
        <w:spacing w:after="0" w:line="250"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and the other information included or incorporated by reference in this Annual Report on Form 10-K before making an investment in our common stock. Our business, financial condition, results of operations, or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i w:val="1"/>
          <w:iCs w:val="1"/>
          <w:color w:val="auto"/>
        </w:rPr>
        <w:t>prospects could be materially and adversely affected if any of these risks occurs, and as a result, the market price of our common stock could decline and you could lose all or part of your investment. This Annual Report on Form 10-K also contains forward-looking statements that involve risks and uncertainties. See “Part I—Cautionary Note Regarding Forward-Looking Statements.” Our actual results could differ materially and adversely from those anticipated in these forward-looking statements as a result of certain factors, including those set forth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business is subject to numerous risks and uncertainties. You should carefully consider these risks and uncertainties when investing in our securities. The principal risks and uncertainties affecting our business include the following:</w:t>
      </w:r>
    </w:p>
    <w:p>
      <w:pPr>
        <w:spacing w:after="0" w:line="203" w:lineRule="exact"/>
        <w:rPr>
          <w:sz w:val="20"/>
          <w:szCs w:val="20"/>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incurred significant losses in several periods since our inception.</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only recently begun generating revenue from product sales.</w:t>
      </w:r>
    </w:p>
    <w:p>
      <w:pPr>
        <w:spacing w:after="0" w:line="225" w:lineRule="exact"/>
        <w:rPr>
          <w:rFonts w:ascii="Arial" w:cs="Arial" w:eastAsia="Arial" w:hAnsi="Arial"/>
          <w:sz w:val="18"/>
          <w:szCs w:val="18"/>
          <w:color w:val="auto"/>
        </w:rPr>
      </w:pPr>
    </w:p>
    <w:p>
      <w:pPr>
        <w:ind w:left="1000" w:right="20" w:hanging="317"/>
        <w:spacing w:after="0" w:line="246"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a limited operating history and history of commercializing drugs, which may make it difficult for you to evaluate the success of our business to date and assess our future viability.</w:t>
      </w:r>
    </w:p>
    <w:p>
      <w:pPr>
        <w:spacing w:after="0" w:line="196" w:lineRule="exact"/>
        <w:rPr>
          <w:rFonts w:ascii="Arial" w:cs="Arial" w:eastAsia="Arial" w:hAnsi="Arial"/>
          <w:sz w:val="18"/>
          <w:szCs w:val="18"/>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limited capital and may need to raise additional capital to meet our business needs.</w:t>
      </w:r>
    </w:p>
    <w:p>
      <w:pPr>
        <w:spacing w:after="0" w:line="225" w:lineRule="exact"/>
        <w:rPr>
          <w:rFonts w:ascii="Arial" w:cs="Arial" w:eastAsia="Arial" w:hAnsi="Arial"/>
          <w:sz w:val="18"/>
          <w:szCs w:val="18"/>
          <w:color w:val="auto"/>
        </w:rPr>
      </w:pPr>
    </w:p>
    <w:p>
      <w:pPr>
        <w:ind w:left="1000" w:right="400" w:hanging="317"/>
        <w:spacing w:after="0" w:line="238"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Raising additional funds by issuing securities may cause dilution to existing shareholders, raising additional funds through debt financings may involve restrictive covenants, and raising funds through lending and licensing arrangements may restrict our operations or require us to relinquish proprietary rights to our technologies or product candidates.</w:t>
      </w:r>
    </w:p>
    <w:p>
      <w:pPr>
        <w:spacing w:after="0" w:line="204" w:lineRule="exact"/>
        <w:rPr>
          <w:rFonts w:ascii="Arial" w:cs="Arial" w:eastAsia="Arial" w:hAnsi="Arial"/>
          <w:sz w:val="18"/>
          <w:szCs w:val="18"/>
          <w:color w:val="auto"/>
        </w:rPr>
      </w:pPr>
    </w:p>
    <w:p>
      <w:pPr>
        <w:ind w:left="1000" w:right="80" w:hanging="317"/>
        <w:spacing w:after="0" w:line="246"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auditor has previously expressed substantial doubt about our ability to continue as a going concern and we may be unable to remain a going concern.</w:t>
      </w:r>
    </w:p>
    <w:p>
      <w:pPr>
        <w:spacing w:after="0" w:line="196" w:lineRule="exact"/>
        <w:rPr>
          <w:rFonts w:ascii="Arial" w:cs="Arial" w:eastAsia="Arial" w:hAnsi="Arial"/>
          <w:sz w:val="18"/>
          <w:szCs w:val="18"/>
          <w:color w:val="auto"/>
        </w:rPr>
      </w:pPr>
    </w:p>
    <w:p>
      <w:pPr>
        <w:ind w:left="1000" w:right="580" w:hanging="317"/>
        <w:spacing w:after="0" w:line="246"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made and we may be required to make significant payments in the future to Bioprojet under our licensing and collaboration agreements for pitolisant.</w:t>
      </w:r>
    </w:p>
    <w:p>
      <w:pPr>
        <w:spacing w:after="0" w:line="196" w:lineRule="exact"/>
        <w:rPr>
          <w:rFonts w:ascii="Arial" w:cs="Arial" w:eastAsia="Arial" w:hAnsi="Arial"/>
          <w:sz w:val="18"/>
          <w:szCs w:val="18"/>
          <w:color w:val="auto"/>
        </w:rPr>
      </w:pPr>
    </w:p>
    <w:p>
      <w:pPr>
        <w:ind w:left="1000" w:right="12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substantially dependent on our ability to successfully commercialize WAKIX, which is currently our only approved product. If we are unable to successfully commercialize WAKIX, our ability to generate revenue and our financial condition will be adversely affected.</w:t>
      </w:r>
    </w:p>
    <w:p>
      <w:pPr>
        <w:spacing w:after="0" w:line="202" w:lineRule="exact"/>
        <w:rPr>
          <w:rFonts w:ascii="Arial" w:cs="Arial" w:eastAsia="Arial" w:hAnsi="Arial"/>
          <w:sz w:val="18"/>
          <w:szCs w:val="18"/>
          <w:color w:val="auto"/>
        </w:rPr>
      </w:pPr>
    </w:p>
    <w:p>
      <w:pPr>
        <w:ind w:left="1000" w:right="80" w:hanging="317"/>
        <w:spacing w:after="0" w:line="246"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commercial adoption of WAKIX and any other product candidates we develop will depend on the degree of their market acceptance.</w:t>
      </w:r>
    </w:p>
    <w:p>
      <w:pPr>
        <w:spacing w:after="0" w:line="196" w:lineRule="exact"/>
        <w:rPr>
          <w:rFonts w:ascii="Arial" w:cs="Arial" w:eastAsia="Arial" w:hAnsi="Arial"/>
          <w:sz w:val="18"/>
          <w:szCs w:val="18"/>
          <w:color w:val="auto"/>
        </w:rPr>
      </w:pPr>
    </w:p>
    <w:p>
      <w:pPr>
        <w:ind w:left="1000" w:right="42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rely on our license agreement with Bioprojet to provide rights to the core intellectual property relating to pitolisant, and any termination or loss of significant rights under the agreement would adversely affect our development and/or commercialization of pitolisant.</w:t>
      </w:r>
    </w:p>
    <w:p>
      <w:pPr>
        <w:spacing w:after="0" w:line="202" w:lineRule="exact"/>
        <w:rPr>
          <w:rFonts w:ascii="Arial" w:cs="Arial" w:eastAsia="Arial" w:hAnsi="Arial"/>
          <w:sz w:val="18"/>
          <w:szCs w:val="18"/>
          <w:color w:val="auto"/>
        </w:rPr>
      </w:pPr>
    </w:p>
    <w:p>
      <w:pPr>
        <w:ind w:left="1000" w:right="44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ongoing COVID-19 pandemic may result in disruptions to our commercialization, clinical trials, manufacturing and other business operations, which could have a material adverse effect on our business, financial condition, operating results, cash flows and prospects.</w:t>
      </w:r>
    </w:p>
    <w:p>
      <w:pPr>
        <w:spacing w:after="0" w:line="202" w:lineRule="exact"/>
        <w:rPr>
          <w:rFonts w:ascii="Arial" w:cs="Arial" w:eastAsia="Arial" w:hAnsi="Arial"/>
          <w:sz w:val="18"/>
          <w:szCs w:val="18"/>
          <w:color w:val="auto"/>
        </w:rPr>
      </w:pPr>
    </w:p>
    <w:p>
      <w:pPr>
        <w:ind w:left="1000" w:right="46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Because a number of companies compete with us, many of which have greater resources than we do, and because we face rapid changes in science in our industry, we cannot be certain that our products will be accepted in the marketplace or capture market share.</w:t>
      </w:r>
    </w:p>
    <w:p>
      <w:pPr>
        <w:spacing w:after="0" w:line="202" w:lineRule="exact"/>
        <w:rPr>
          <w:rFonts w:ascii="Arial" w:cs="Arial" w:eastAsia="Arial" w:hAnsi="Arial"/>
          <w:sz w:val="18"/>
          <w:szCs w:val="18"/>
          <w:color w:val="auto"/>
        </w:rPr>
      </w:pPr>
    </w:p>
    <w:p>
      <w:pPr>
        <w:ind w:left="1000" w:right="6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regulatory approval process of the FDA is costly, lengthy and inherently unpredictable, and if we are ultimately unable to obtain regulatory approval for pitolisant in other potential indications for which we may seek to develop pitolisant, our business will be substantially harmed.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ind w:left="1000" w:right="140" w:hanging="317"/>
        <w:spacing w:after="0" w:line="246"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fail to obtain and sustain an adequate level of coverage and reimbursement for WAKIX and other product candidates by third-party payors, sales would be adversely affected.</w:t>
      </w:r>
    </w:p>
    <w:p>
      <w:pPr>
        <w:spacing w:after="0" w:line="196" w:lineRule="exact"/>
        <w:rPr>
          <w:rFonts w:ascii="Arial" w:cs="Arial" w:eastAsia="Arial" w:hAnsi="Arial"/>
          <w:sz w:val="18"/>
          <w:szCs w:val="18"/>
          <w:color w:val="auto"/>
        </w:rPr>
      </w:pPr>
    </w:p>
    <w:p>
      <w:pPr>
        <w:ind w:left="1000" w:right="80" w:hanging="317"/>
        <w:spacing w:after="0" w:line="23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WAKIX has been approved by the FDA for the treatment of EDS or cataplexy in adult patients with narcolepsy. Regulatory approval is limited by the FDA to the specific indications for which approval has been granted and, unless we seek regulatory approval for additional indications, we will be prohibited from marketing pitolisant for other indications. We may be subject to fines, penalties or injunctions if we are determined to have promoted or be promoting the use of pitolisant for unapproved or “off-label” uses, resulting in damage to our reputation and business.</w:t>
      </w:r>
    </w:p>
    <w:p>
      <w:pPr>
        <w:spacing w:after="0" w:line="204" w:lineRule="exact"/>
        <w:rPr>
          <w:rFonts w:ascii="Arial" w:cs="Arial" w:eastAsia="Arial" w:hAnsi="Arial"/>
          <w:sz w:val="18"/>
          <w:szCs w:val="18"/>
          <w:color w:val="auto"/>
        </w:rPr>
      </w:pPr>
    </w:p>
    <w:p>
      <w:pPr>
        <w:ind w:left="1000" w:right="120" w:hanging="317"/>
        <w:spacing w:after="0" w:line="274"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we are unable to obtain and maintain patent protection for our technology and products, or if the scope of the patent protection obtained is not sufficiently broad, we may not be able to compete effectively in our markets.</w:t>
      </w:r>
    </w:p>
    <w:p>
      <w:pPr>
        <w:spacing w:after="0" w:line="174" w:lineRule="exact"/>
        <w:rPr>
          <w:rFonts w:ascii="Arial" w:cs="Arial" w:eastAsia="Arial" w:hAnsi="Arial"/>
          <w:sz w:val="17"/>
          <w:szCs w:val="17"/>
          <w:color w:val="auto"/>
        </w:rPr>
      </w:pPr>
    </w:p>
    <w:p>
      <w:pPr>
        <w:ind w:left="1000" w:right="56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fail to comply with our obligations under any license, collaboration or other agreements, we may be required to pay damages and could lose intellectual property rights that are necessary for developing and protecting our current and future product candidates.</w:t>
      </w:r>
    </w:p>
    <w:p>
      <w:pPr>
        <w:spacing w:after="0" w:line="202" w:lineRule="exact"/>
        <w:rPr>
          <w:rFonts w:ascii="Arial" w:cs="Arial" w:eastAsia="Arial" w:hAnsi="Arial"/>
          <w:sz w:val="18"/>
          <w:szCs w:val="18"/>
          <w:color w:val="auto"/>
        </w:rPr>
      </w:pPr>
    </w:p>
    <w:p>
      <w:pPr>
        <w:jc w:val="both"/>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no longer qualify as an “emerging growth company” and will be required to comply with certain provisions of the Sarbanes-Oxley Act. We can no longer take advantage of the reduced disclosure requirements applicable to emerging growth companies.</w:t>
      </w:r>
    </w:p>
    <w:p>
      <w:pPr>
        <w:spacing w:after="0" w:line="202" w:lineRule="exact"/>
        <w:rPr>
          <w:rFonts w:ascii="Arial" w:cs="Arial" w:eastAsia="Arial" w:hAnsi="Arial"/>
          <w:sz w:val="18"/>
          <w:szCs w:val="18"/>
          <w:color w:val="auto"/>
        </w:rPr>
      </w:pPr>
    </w:p>
    <w:p>
      <w:pPr>
        <w:jc w:val="both"/>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no longer qualify as an “emerging growth company” and will be required to comply with certain provisions of the Sarbanes-Oxley Act. We can no longer take advantage of the reduced disclosure requirements applicable to emerging growth companies.</w:t>
      </w:r>
    </w:p>
    <w:p>
      <w:pPr>
        <w:spacing w:after="0" w:line="202" w:lineRule="exact"/>
        <w:rPr>
          <w:rFonts w:ascii="Arial" w:cs="Arial" w:eastAsia="Arial" w:hAnsi="Arial"/>
          <w:sz w:val="18"/>
          <w:szCs w:val="18"/>
          <w:color w:val="auto"/>
        </w:rPr>
      </w:pPr>
    </w:p>
    <w:p>
      <w:pPr>
        <w:ind w:left="1000" w:right="160" w:hanging="317"/>
        <w:spacing w:after="0" w:line="246"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directors, officers and principal stockholders beneficially own a significant percentage of our stock and will be able to exert significant control over matters subject to stockholder approval.</w:t>
      </w:r>
    </w:p>
    <w:p>
      <w:pPr>
        <w:spacing w:after="0" w:line="196" w:lineRule="exact"/>
        <w:rPr>
          <w:rFonts w:ascii="Arial" w:cs="Arial" w:eastAsia="Arial" w:hAnsi="Arial"/>
          <w:sz w:val="18"/>
          <w:szCs w:val="18"/>
          <w:color w:val="auto"/>
        </w:rPr>
      </w:pPr>
    </w:p>
    <w:p>
      <w:pPr>
        <w:ind w:left="1000" w:right="240" w:hanging="317"/>
        <w:spacing w:after="0" w:line="246"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sales of our common stock in the public market, including sales by our directors, officers, or significant shareholders, could cause our share price to fall.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losses in several periods since our inception.</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Investment in pharmaceutical product development is highly speculative because it entails substantial upfront capital expenditures and significant risk that a product candidate will fail to gain regulatory approval or fail to become commercially viable. We have only recently begun to generate revenue from product sales and have incurred losses in each year since our inception for several periods. Our ability to generate revenue and achieve profitability depends on our ability to successfully commercialize WAKIX for the treatment of EDS in adult patients with narcolepsy and cataplexy in adult patients with narcolepsy, and to successfully develop and obtain the regulatory approvals necessary to commercialize pitolisant for other indications. We may incur losses in the future, and these losses could increase as we commercialize WAKIX and as we continue to develop and potentially commercialize pitolisant for other indications.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only recently begun generating revenue from product sales.</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Other than WAKIX, we do not currently have any products that are available for commercial sale. Our net income was $34.6 million and our net loss was $36.9 million for the years ended December 31, 2021 and 2020, respectively. As of December 31, 2021, we had an accumulated deficit of $453.6 million. Our ability to remain profitable depends on our ability to generate revenue. We generated net product revenues of $305.4 million and $159.7 million for the years ended December 31, 2021 and 2020, respectively. Successful commercialization will require achievement of many key milestones, including demonstrating safety and efficacy in clinical trials, obtaining regulatory approval, including marketing approval for these product candidates, manufacturing, marketing and selling those products for which we, or any of our future collaborators, may obtain regulatory approval, satisfying any post-marketing requirements and obtaining reimbursement for our products from private insurance or government payors. Because of the uncertainties and risks associated with these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activities, we are unable to accurately and precisely predict the timing and amount of revenues, the extent of any future losses. We and any future collaborators may never succeed in these activities and, even if we do, or any future collaborators do, we may never generate revenues that are large enough for us to sustain profitability or increase profitability on a quarterly or annual basis.</w:t>
      </w:r>
    </w:p>
    <w:p>
      <w:pPr>
        <w:spacing w:after="0" w:line="20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failure to remain profitable may depress the market price of our common stock and could impair our ability to raise capital, expand our business, diversify our product offerings or continue our operations. If we suffer future losses as we have in the past, investors may not receive any return on their investment and may lose their entire investment.</w:t>
      </w:r>
    </w:p>
    <w:p>
      <w:pPr>
        <w:spacing w:after="0" w:line="181"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We have a limited operating history and history of commercializing drugs, which may make it difficult for you to evaluate the success of our business to date and assess our future viability.</w:t>
      </w:r>
    </w:p>
    <w:p>
      <w:pPr>
        <w:spacing w:after="0" w:line="17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commenced operations in 2017, and our operations to date have been largely focused on staffing our company, business planning, raising capital, acquiring the rights to pitolisant, seeking registration in the United States for our product WAKIX, which is approved for the treatment of EDS in adult patients with narcolepsy and cataplexy in adult patients with narcolepsy, the commercialization of WAKIX, manufacturing WAKIX on a commercial scale, and preparing to develop pitolisant for other potential indications. This has included preparing the application for regulatory approval and other activities that were required for us to obtain approval of our NDA, and activities related to commercializing WAKIX. WAKIX is our only drug candidate for which we have obtained regulatory approval. Consequently, any predictions about our future success or viability may not be as accurate as they could be if we had a longer operating history or a longer history of successfully developing and commercializing drugs.</w:t>
      </w:r>
    </w:p>
    <w:p>
      <w:pPr>
        <w:spacing w:after="0" w:line="20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expect our financial condition and operating results to continue to fluctuate from quarter to quarter and year to year due to a variety of factors, many of which are beyond our control. We may encounter unforeseen expenses, difficulties, complications, delays and other known or unknown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capital and may need to raise additional capital in order to sustain profitability.</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As of December 31, 2021, we had an accumulated deficit of $ 453.6 million, and available cash and cash equivalents and restricted cash of $235.1 million. We have $199.5 million of debt outstanding under our Credit Agreement with Blackstone. We believe that our anticipated cash from operating and financing activities and existing cash and cash equivalents will enable us to meet our operational liquidity needs and fund our planned investing activities for the next twelve months.</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This estimate is based on assumptions that may prove to be wrong, and we could exhaust our available capital resources sooner than we currently expect. Because the length of time and activities associated with the successful development of our product candidates is highly uncertain, we are unable to estimate with certainty the actual funds we will require for development and any approved marketing and commercialization activities.</w:t>
      </w:r>
    </w:p>
    <w:p>
      <w:pPr>
        <w:spacing w:after="0" w:line="20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To fund future operations to the point at which we are able to generate positive cash flow from sales of WAKIX or other potential product candidates, we may need to raise significant additional capital. The amount and timing of future funding requirements will depend on many factors, including, but not limited to:</w:t>
      </w:r>
    </w:p>
    <w:p>
      <w:pPr>
        <w:spacing w:after="0" w:line="203" w:lineRule="exact"/>
        <w:rPr>
          <w:sz w:val="20"/>
          <w:szCs w:val="20"/>
          <w:color w:val="auto"/>
        </w:rPr>
      </w:pPr>
    </w:p>
    <w:p>
      <w:pPr>
        <w:ind w:left="1000" w:hanging="31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results of our commercialization of WAKIX;</w:t>
      </w:r>
    </w:p>
    <w:p>
      <w:pPr>
        <w:spacing w:after="0" w:line="225" w:lineRule="exact"/>
        <w:rPr>
          <w:rFonts w:ascii="Arial" w:cs="Arial" w:eastAsia="Arial" w:hAnsi="Arial"/>
          <w:sz w:val="18"/>
          <w:szCs w:val="18"/>
          <w:color w:val="auto"/>
        </w:rPr>
      </w:pPr>
    </w:p>
    <w:p>
      <w:pPr>
        <w:ind w:left="1000" w:right="520" w:hanging="317"/>
        <w:spacing w:after="0" w:line="246"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sales, marketing and distribution capabilities for our product candidates in regions where those product candidates are approved and where we choose to commercialize our products on our own;</w:t>
      </w:r>
    </w:p>
    <w:p>
      <w:pPr>
        <w:spacing w:after="0" w:line="196" w:lineRule="exact"/>
        <w:rPr>
          <w:rFonts w:ascii="Arial" w:cs="Arial" w:eastAsia="Arial" w:hAnsi="Arial"/>
          <w:sz w:val="18"/>
          <w:szCs w:val="18"/>
          <w:color w:val="auto"/>
        </w:rPr>
      </w:pPr>
    </w:p>
    <w:p>
      <w:pPr>
        <w:ind w:left="1000" w:hanging="31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manufacturing activities;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payment of royalties and milestone payments to Bioprojet;</w:t>
      </w:r>
    </w:p>
    <w:p>
      <w:pPr>
        <w:spacing w:after="0" w:line="225" w:lineRule="exact"/>
        <w:rPr>
          <w:rFonts w:ascii="Arial" w:cs="Arial" w:eastAsia="Arial" w:hAnsi="Arial"/>
          <w:sz w:val="18"/>
          <w:szCs w:val="18"/>
          <w:color w:val="auto"/>
        </w:rPr>
      </w:pPr>
    </w:p>
    <w:p>
      <w:pPr>
        <w:ind w:left="1000" w:right="200" w:hanging="317"/>
        <w:spacing w:after="0" w:line="246"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and other regulatory authorities;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ind w:left="1000" w:right="180" w:hanging="31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willingness of the FDA and other comparable regulatory authorities to accept our clinical trial designs, as well as data from our completed and planned clinical trials and preclinical studies and other work, as the basis for the review and approval of pitolisant for other potential indications or of any other product candidates;</w:t>
      </w:r>
    </w:p>
    <w:p>
      <w:pPr>
        <w:spacing w:after="0" w:line="202" w:lineRule="exact"/>
        <w:rPr>
          <w:rFonts w:ascii="Arial" w:cs="Arial" w:eastAsia="Arial" w:hAnsi="Arial"/>
          <w:sz w:val="18"/>
          <w:szCs w:val="18"/>
          <w:color w:val="auto"/>
        </w:rPr>
      </w:pPr>
    </w:p>
    <w:p>
      <w:pPr>
        <w:ind w:left="1000" w:right="340" w:hanging="317"/>
        <w:spacing w:after="0" w:line="24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expansion of our current development programs to seek new indications for pitolisant, potential new development programs for additional indications, and related general and administrative support;</w:t>
      </w:r>
    </w:p>
    <w:p>
      <w:pPr>
        <w:spacing w:after="0" w:line="196" w:lineRule="exact"/>
        <w:rPr>
          <w:rFonts w:ascii="Arial" w:cs="Arial" w:eastAsia="Arial" w:hAnsi="Arial"/>
          <w:sz w:val="18"/>
          <w:szCs w:val="18"/>
          <w:color w:val="auto"/>
        </w:rPr>
      </w:pPr>
    </w:p>
    <w:p>
      <w:pPr>
        <w:ind w:left="1000" w:right="240" w:hanging="317"/>
        <w:spacing w:after="0" w:line="24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initiation, progress, timing, and results of our clinical trials through all phases of development for pitolisant as a treatment for other indications and any other product candidates;</w:t>
      </w:r>
    </w:p>
    <w:p>
      <w:pPr>
        <w:spacing w:after="0" w:line="196" w:lineRule="exact"/>
        <w:rPr>
          <w:rFonts w:ascii="Arial" w:cs="Arial" w:eastAsia="Arial" w:hAnsi="Arial"/>
          <w:sz w:val="18"/>
          <w:szCs w:val="18"/>
          <w:color w:val="auto"/>
        </w:rPr>
      </w:pPr>
    </w:p>
    <w:p>
      <w:pPr>
        <w:ind w:left="1000" w:right="220" w:hanging="317"/>
        <w:spacing w:after="0" w:line="24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our patent claims and other intellectual property rights, in-licensed or otherwise;</w:t>
      </w:r>
    </w:p>
    <w:p>
      <w:pPr>
        <w:spacing w:after="0" w:line="196" w:lineRule="exact"/>
        <w:rPr>
          <w:rFonts w:ascii="Arial" w:cs="Arial" w:eastAsia="Arial" w:hAnsi="Arial"/>
          <w:sz w:val="18"/>
          <w:szCs w:val="18"/>
          <w:color w:val="auto"/>
        </w:rPr>
      </w:pPr>
    </w:p>
    <w:p>
      <w:pPr>
        <w:ind w:left="1000" w:right="260" w:hanging="317"/>
        <w:spacing w:after="0" w:line="24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for pitolisant or future product candidates;</w:t>
      </w:r>
    </w:p>
    <w:p>
      <w:pPr>
        <w:spacing w:after="0" w:line="196" w:lineRule="exact"/>
        <w:rPr>
          <w:rFonts w:ascii="Arial" w:cs="Arial" w:eastAsia="Arial" w:hAnsi="Arial"/>
          <w:sz w:val="18"/>
          <w:szCs w:val="18"/>
          <w:color w:val="auto"/>
        </w:rPr>
      </w:pPr>
    </w:p>
    <w:p>
      <w:pPr>
        <w:ind w:left="1000" w:hanging="31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acquiring rights to other pharmaceutical products in the future to further develop and commercialize;</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general operating expenses;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have no committed source of additional capital other than our Credit Agreement with Blackstone and we may seek to fund our operations through public or private equity offerings, debt financings, collaborations, licensing arrangements or other sources, or any combination of the foregoing. We cannot assure you that anticipated additional financing will be available to us on favorable terms, or at all. Although we have been successful in obtaining financing through the issuance of our equity securities and debt facilities, we cannot assure you that we will be able to do so in the future. If we are unable to raise additional capital in sufficient amounts or on terms acceptable to us to fund our clinical development and commercialization of pitolisant for other indications, if approved, and other business activities, we could be forced to significantly delay, scale back, or discontinue the development or commercialization of our product candidates or curtail or cease our operations.</w:t>
      </w:r>
    </w:p>
    <w:p>
      <w:pPr>
        <w:spacing w:after="0" w:line="18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i w:val="1"/>
          <w:iCs w:val="1"/>
          <w:color w:val="auto"/>
        </w:rPr>
        <w:t>Raising additional funds by issuing securities may cause dilution to existing shareholders, raising additional funds through debt financings may involve restrictive covenants, and raising funds through lending and licensing arrangements may restrict our operations or require us to relinquish proprietary rights to our technologies or product candidates.</w:t>
      </w:r>
    </w:p>
    <w:p>
      <w:pPr>
        <w:spacing w:after="0" w:line="19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Until such time, if ever, that we can generate sufficient product revenue from the sale of WAKIX, we may need to finance our cash needs through a combination of equity offerings, debt financings, including our Credit Agreement, strategic alliances and license and development agreements or other collaborations. To the extent that we raise additional capital by issuing equity securities, our existing shareholders’ ownership may experience substantial dilution, and the terms of these securities may include liquidation or other preferences that could adversely affect the rights of a common shareholder. Additionally, any agreements for future debt or preferred equity financings, if available, may involve covenants limiting or restricting our ability to take specific actions, such as incurring additional debt, making capital expenditures or declaring dividends, which could adversely affect our ability to conduct our business.</w:t>
      </w:r>
    </w:p>
    <w:p>
      <w:pPr>
        <w:spacing w:after="0" w:line="20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develop and market ourselves.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Our auditor has previously expressed substantial doubt about our ability to continue as a going concern and we may be unable to remain a going concern.</w:t>
      </w:r>
    </w:p>
    <w:p>
      <w:pPr>
        <w:spacing w:after="0" w:line="17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light of our recurring losses, accumulated deficit and negative cash flow as described in our notes to our consolidated financial statements, we had previously concluded there was substantial doubt regarding our ability to continue as a going concern and the report of our independent registered public accounting firm on our financial statements for the year ended December 31, 2019 contained an explanatory paragraph communicating this matter. Our financial statements did not include any adjustments that may have been necessary in the event we were unable to continue as a going concern. Had we been unable to establish to the satisfaction of our independent registered public accounting firm that our expected operational performance and liquidity would be sufficient to allow for the removal of this going concern qualification, we would have needed to significantly modify our operational plans for us to continue as a going concern. We believe that our anticipated cash from operating and financing activities and existing cash and cash equivalents, will enable us to meet our operational liquidity needs and fund our planned investing activities for the next twelve months.</w:t>
      </w:r>
    </w:p>
    <w:p>
      <w:pPr>
        <w:spacing w:after="0" w:line="18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We have made and may be required in the future to make significant payments to Bioprojet under our licensing and collaboration agreements for pitolisant.</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Under our agreements with Bioprojet, we are subject to significant obligations, including payment obligations upon the achievement of specified milestones and payments based on product sales, as well as other material obligations. Certain of the milestone payments payable by us under these agreements were paid prior to our commercialization of WAKIX.</w:t>
      </w:r>
    </w:p>
    <w:p>
      <w:pPr>
        <w:spacing w:after="0" w:line="20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Upon the Cataplexy Milestone Trigger Date, we became obligated to make the $100.0 million Cataplexy Milestone Payment to Bioprojet, which we paid in January 2021. In October 2020, we made a payment to Bioprojet of $2.0 million to extend the Cataplexy Milestone Payment due date to within 90 days of the Cataplexy Milestone Trigger Date. In addition, we are subject to a milestone payment of $40.0 million upon the attainment of aggregate net sales of WAKIX in the United States of $500.0 million subsequent to the date of NDA approval by the FDA pursuant to the Bioprojet License Agreement.</w:t>
      </w:r>
    </w:p>
    <w:p>
      <w:pPr>
        <w:spacing w:after="0" w:line="20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There can be no assurance that we will have the funds necessary to make such payments in the future, or be able to raise such funds when needed, on terms acceptable to us, or at all. If we fail to comply with our payment obligations, Bioprojet has the right to terminate the license agreement, in which event we would not be able to develop, manufacture or market WAKIX or any other pitolisant-based product candidate. Furthermore, if we are forced to raise additional funds to make such payments, we may be required to delay, limit, reduce or terminate our product development or future commercialization efforts.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may be limited.</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As of December 31, 2021, we had U.S. federal and state net operating loss carryforwards of approximately $98.1 million and $ 120.1 million, respectively. As of December 31, 2020, we had U.S. federal and state net operating loss carryforwards of approximately $159.4 million and $157.7 million, respectively. Our ability to utilize our federal net operating loss carryforwards may be limited under Section 382 of the Internal Revenue Code of 1986, as amended (the “Code”). The limitations apply if we experience an “ownership change,” which is generally defined as a greater than 50 percentage point change (by value) in the ownership of our equity by certain stockholders over a rolling three-year period. Similar provisions of state tax law may also apply to limit the use of our state net operating loss carryforwards. We have not assessed whether such an ownership change has previously occurred. If we have experienced an ownership change at any time since our incorporation, we may already be subject to limitations on our ability to utilize our existing net operating loss carryforwards to offset taxable income. In addition, future changes in our stock ownership, which may be outside of our control, may trigger an ownership change and, consequently, the limitations under Section 382 of the Code. As a result, if or when we earn net taxable income, our ability to use our pre-change net operating loss carryforwards to offset such taxable income may be subject to limitations, which could adversely affect our future cash flows.</w:t>
      </w:r>
    </w:p>
    <w:p>
      <w:pPr>
        <w:spacing w:after="0" w:line="181" w:lineRule="exact"/>
        <w:rPr>
          <w:sz w:val="20"/>
          <w:szCs w:val="20"/>
          <w:color w:val="auto"/>
        </w:rPr>
      </w:pPr>
    </w:p>
    <w:p>
      <w:pPr>
        <w:ind w:right="480" w:firstLine="324"/>
        <w:spacing w:after="0" w:line="271" w:lineRule="auto"/>
        <w:rPr>
          <w:sz w:val="20"/>
          <w:szCs w:val="20"/>
          <w:color w:val="auto"/>
        </w:rPr>
      </w:pPr>
      <w:r>
        <w:rPr>
          <w:rFonts w:ascii="Arial" w:cs="Arial" w:eastAsia="Arial" w:hAnsi="Arial"/>
          <w:sz w:val="18"/>
          <w:szCs w:val="18"/>
          <w:b w:val="1"/>
          <w:bCs w:val="1"/>
          <w:i w:val="1"/>
          <w:iCs w:val="1"/>
          <w:color w:val="auto"/>
        </w:rPr>
        <w:t>Our Blackstone Credit Agreement contains restrictive and financial covenants that may limit our operating flexibility.</w:t>
      </w:r>
    </w:p>
    <w:p>
      <w:pPr>
        <w:spacing w:after="0" w:line="17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Our Blackstone Credit Agreement contains certain restrictive covenants that either limit our ability to, or require a mandatory prepayment in the event that, we or our subsidiaries engage in new lines of business, incur additional indebtedness or liens, make certain investments, make certain payments, pay cash dividends, merge with other companies or consummate certain changes of control, make certain acquisitions, transfer or dispose of certain assets, liquidate or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dissolve, amend certain material agreements, enter into sale and leaseback transactions, enter into various other specified transactions, or change our name, location, or executive office without notice. We, therefore, may not be able to engage in any of the foregoing transactions unless we obtain the consent of the lenders, or in certain cases Blackstone on their behalf, or prepay the outstanding amount under the Blackstone Credit Agreement. The Blackstone Credit Agreement also contains a financial covenant that requires us to maintain at all times cash and cash equivalents in certain deposit accounts in an amount at least equal to $10.0 million.</w:t>
      </w:r>
    </w:p>
    <w:p>
      <w:pPr>
        <w:spacing w:after="0" w:line="20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obligations under the Blackstone Credit Agreement are secured by all of our assets, with certain exceptions. We may not be able to generate sufficient cash flow or sales to meet the financial covenants or pay the principal and interest under the Blackstone Credit Agreement. Furthermore, our future working capital, borrowings or equity financing could be unavailable to repay or refinance the amounts outstanding under the Blackstone Credit Agreement. In the event of a liquidation, the lenders under the facility would be repaid all outstanding principal and interest prior to distribution of assets to unsecured creditors, and the holders of our common stock would receive a portion of any liquidation proceeds only if all of our creditors then existing, including the lenders under the Blackstone Credit Agreement, were first repaid in full.</w:t>
      </w:r>
    </w:p>
    <w:p>
      <w:pPr>
        <w:spacing w:after="0" w:line="181" w:lineRule="exact"/>
        <w:rPr>
          <w:sz w:val="20"/>
          <w:szCs w:val="20"/>
          <w:color w:val="auto"/>
        </w:rPr>
      </w:pPr>
    </w:p>
    <w:p>
      <w:pPr>
        <w:jc w:val="both"/>
        <w:ind w:right="420" w:firstLine="324"/>
        <w:spacing w:after="0" w:line="253" w:lineRule="auto"/>
        <w:rPr>
          <w:sz w:val="20"/>
          <w:szCs w:val="20"/>
          <w:color w:val="auto"/>
        </w:rPr>
      </w:pPr>
      <w:r>
        <w:rPr>
          <w:rFonts w:ascii="Arial" w:cs="Arial" w:eastAsia="Arial" w:hAnsi="Arial"/>
          <w:sz w:val="18"/>
          <w:szCs w:val="18"/>
          <w:b w:val="1"/>
          <w:bCs w:val="1"/>
          <w:i w:val="1"/>
          <w:iCs w:val="1"/>
          <w:color w:val="auto"/>
        </w:rPr>
        <w:t>Our failure to comply with the covenants or other terms of the Blackstone Credit Agreement, including as a result of events beyond our control, could result in a default under the Blackstone Credit Agreement that could materially and adversely affect the ongoing viability of our business.</w:t>
      </w:r>
    </w:p>
    <w:p>
      <w:pPr>
        <w:spacing w:after="0" w:line="19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Blackstone and the other Lenders may elect to accelerate the repayment of all unpaid principal of the Loans, accrued interest and other amounts owed under the Blackstone Credit Agreement upon consummation of a specified change of control transaction or the occurrence of certain events of default (as specified in the Blackstone Credit Agreement), including, among other things:</w:t>
      </w:r>
    </w:p>
    <w:p>
      <w:pPr>
        <w:spacing w:after="0" w:line="205" w:lineRule="exact"/>
        <w:rPr>
          <w:sz w:val="20"/>
          <w:szCs w:val="20"/>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default in a payment obligation under the Blackstone Credit Agreement;</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breach of the restrictive covenants or other terms of the Blackstone Credit Agreement;</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breach of reporting obligations;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failure to properly maintain the collateral;</w:t>
      </w:r>
    </w:p>
    <w:p>
      <w:pPr>
        <w:spacing w:after="0" w:line="225" w:lineRule="exact"/>
        <w:rPr>
          <w:rFonts w:ascii="Arial" w:cs="Arial" w:eastAsia="Arial" w:hAnsi="Arial"/>
          <w:sz w:val="18"/>
          <w:szCs w:val="18"/>
          <w:color w:val="auto"/>
        </w:rPr>
      </w:pPr>
    </w:p>
    <w:p>
      <w:pPr>
        <w:ind w:left="1000" w:right="60" w:hanging="317"/>
        <w:spacing w:after="0" w:line="246"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termination or materially adverse amendment of a permit or authorization related to one of our products that is not revoked within 90 days;</w:t>
      </w:r>
    </w:p>
    <w:p>
      <w:pPr>
        <w:spacing w:after="0" w:line="210"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specified change of control transaction occurring under the License Agreement;</w:t>
      </w:r>
    </w:p>
    <w:p>
      <w:pPr>
        <w:spacing w:after="0" w:line="225" w:lineRule="exact"/>
        <w:rPr>
          <w:rFonts w:ascii="Arial" w:cs="Arial" w:eastAsia="Arial" w:hAnsi="Arial"/>
          <w:sz w:val="18"/>
          <w:szCs w:val="18"/>
          <w:color w:val="auto"/>
        </w:rPr>
      </w:pPr>
    </w:p>
    <w:p>
      <w:pPr>
        <w:jc w:val="both"/>
        <w:ind w:left="1000" w:hanging="317"/>
        <w:spacing w:after="0" w:line="249"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respect to WAKIX or another material product, a governmental authority (i) asserting that such product lacks a material authorization, which assertion is not withdrawn or resolved within 90 days or (ii) taking certain regulatory actions resulting in a discontinuance, withdrawal or delay of such product which would reasonably be expected to last for more than 90 days;</w:t>
      </w:r>
    </w:p>
    <w:p>
      <w:pPr>
        <w:spacing w:after="0" w:line="207"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recall that would reasonably be expected to result in a material adverse effect;</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entry into a settlement agreement with a government authority resulting in liability greater than $2.0 million;</w:t>
      </w:r>
    </w:p>
    <w:p>
      <w:pPr>
        <w:spacing w:after="0" w:line="225" w:lineRule="exact"/>
        <w:rPr>
          <w:rFonts w:ascii="Arial" w:cs="Arial" w:eastAsia="Arial" w:hAnsi="Arial"/>
          <w:sz w:val="18"/>
          <w:szCs w:val="18"/>
          <w:color w:val="auto"/>
        </w:rPr>
      </w:pPr>
    </w:p>
    <w:p>
      <w:pPr>
        <w:ind w:left="1000" w:right="440" w:hanging="317"/>
        <w:spacing w:after="0" w:line="246"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material breach under or the early termination of one of our key intellectual property licensing or supply chain agreements; and</w:t>
      </w:r>
    </w:p>
    <w:p>
      <w:pPr>
        <w:spacing w:after="0" w:line="196"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specified insolvency and bankruptcy-related events.</w:t>
      </w:r>
    </w:p>
    <w:p>
      <w:pPr>
        <w:spacing w:after="0" w:line="22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Subject to any applicable cure period set forth in the Blackstone Credit Agreement, all amounts outstanding with respect to the Loans (principal and accrued interest), as well as any applicable prepayment premiums or interest “make-whole” payments, would become due and payable, and upon the occurrence of a payment event of default and following acceleration of the Loans, all past due obligations shall bear interest at a default interest rate that is 2.00% higher than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otherwise applicable rate. Our assets or cash flow may not be sufficient to fully repay our obligations under the Loans if the obligations thereunder are accelerated upon any events of default. Further, if we are unable to repay, refinance or restructure our obligations under the Loans, the Administrative Agent on behalf of the Lenders could proceed to protect and enforce their rights under the Blackstone Credit Agreement and other loan documents by exercising such remedies (including foreclosure on the assets securing our obligations under the Blackstone Credit Agreement and the other loan documents) as are available to the Administrative Agent and the Lenders and in respect thereof under applicable law, either by suit in equity or by action at law, or both, whether for specific performance of any covenant or other agreement contained in the Blackstone Credit Agreement or other loan documents or in aid of the exercise of any power granted in the Blackstone Credit Agreement or other loan documents. Such repayment could have a material adverse effect on our business, operating results and financial condition.</w:t>
      </w:r>
    </w:p>
    <w:p>
      <w:pPr>
        <w:spacing w:after="0" w:line="184" w:lineRule="exact"/>
        <w:rPr>
          <w:sz w:val="20"/>
          <w:szCs w:val="20"/>
          <w:color w:val="auto"/>
        </w:rPr>
      </w:pPr>
    </w:p>
    <w:p>
      <w:pPr>
        <w:jc w:val="both"/>
        <w:ind w:right="60" w:firstLine="324"/>
        <w:spacing w:after="0" w:line="253" w:lineRule="auto"/>
        <w:rPr>
          <w:sz w:val="20"/>
          <w:szCs w:val="20"/>
          <w:color w:val="auto"/>
        </w:rPr>
      </w:pPr>
      <w:r>
        <w:rPr>
          <w:rFonts w:ascii="Arial" w:cs="Arial" w:eastAsia="Arial" w:hAnsi="Arial"/>
          <w:sz w:val="18"/>
          <w:szCs w:val="18"/>
          <w:b w:val="1"/>
          <w:bCs w:val="1"/>
          <w:i w:val="1"/>
          <w:iCs w:val="1"/>
          <w:color w:val="auto"/>
        </w:rPr>
        <w:t>We have never paid dividends on our common stock and we do not intend to pay dividends for the foreseeable future. Consequently, any gains from an investment in our common stock will likely depend on whether the price of our common stock increases</w:t>
      </w:r>
      <w:r>
        <w:rPr>
          <w:rFonts w:ascii="Arial" w:cs="Arial" w:eastAsia="Arial" w:hAnsi="Arial"/>
          <w:sz w:val="18"/>
          <w:szCs w:val="18"/>
          <w:b w:val="1"/>
          <w:bCs w:val="1"/>
          <w:color w:val="auto"/>
        </w:rPr>
        <w:t>.</w:t>
      </w:r>
    </w:p>
    <w:p>
      <w:pPr>
        <w:spacing w:after="0" w:line="19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Furthermore, our Blackstone Credit Agreement contains negative covenants that limit our ability to pay dividends.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1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b w:val="1"/>
          <w:bCs w:val="1"/>
          <w:i w:val="1"/>
          <w:iCs w:val="1"/>
          <w:color w:val="auto"/>
        </w:rPr>
        <w:t>We are substantially dependent on our ability to successfully commercialize WAKIX, which is currently our only approved product. If we are unable to successfully commercialize WAKIX, our ability to generate revenue and our financial condition will be adversely affected.</w:t>
      </w:r>
    </w:p>
    <w:p>
      <w:pPr>
        <w:spacing w:after="0" w:line="19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Since our inception, we have invested substantially all of our capital resources on the development, registration and commercialization of WAKIX, which was approved for the treatment of EDS in adult patients with narcolepsy in August 2019 and for the treatment of cataplexy in adult patients with narcolepsy in October 2020. We cannot be certain that WAKIX will be successfully commercialized.</w:t>
      </w:r>
    </w:p>
    <w:p>
      <w:pPr>
        <w:spacing w:after="0" w:line="205"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Our ability to generate revenue from product sales depends heavily on our success in many areas, including but not limited to:</w:t>
      </w:r>
    </w:p>
    <w:p>
      <w:pPr>
        <w:spacing w:after="0" w:line="197" w:lineRule="exact"/>
        <w:rPr>
          <w:sz w:val="20"/>
          <w:szCs w:val="20"/>
          <w:color w:val="auto"/>
        </w:rPr>
      </w:pPr>
    </w:p>
    <w:p>
      <w:pPr>
        <w:ind w:left="1000" w:hanging="31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commercializing WAKIX, either independently or with marketing service providers;</w:t>
      </w:r>
    </w:p>
    <w:p>
      <w:pPr>
        <w:spacing w:after="0" w:line="225" w:lineRule="exact"/>
        <w:rPr>
          <w:rFonts w:ascii="Arial" w:cs="Arial" w:eastAsia="Arial" w:hAnsi="Arial"/>
          <w:sz w:val="18"/>
          <w:szCs w:val="18"/>
          <w:color w:val="auto"/>
        </w:rPr>
      </w:pPr>
    </w:p>
    <w:p>
      <w:pPr>
        <w:ind w:left="1000" w:right="520" w:hanging="317"/>
        <w:spacing w:after="0" w:line="246"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strategy and operations, and obtaining market acceptance of WAKIX, including garnering market share from existing and future treatment alternatives;</w:t>
      </w:r>
    </w:p>
    <w:p>
      <w:pPr>
        <w:spacing w:after="0" w:line="196" w:lineRule="exact"/>
        <w:rPr>
          <w:rFonts w:ascii="Arial" w:cs="Arial" w:eastAsia="Arial" w:hAnsi="Arial"/>
          <w:sz w:val="18"/>
          <w:szCs w:val="18"/>
          <w:color w:val="auto"/>
        </w:rPr>
      </w:pPr>
    </w:p>
    <w:p>
      <w:pPr>
        <w:ind w:left="1000" w:right="380" w:hanging="317"/>
        <w:spacing w:after="0" w:line="274"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maintaining compliance with all regulatory requirements applicable to WAKIX and our commercial activities, including the post-marketing requirements and post-marketing commitments required by the FDA;</w:t>
      </w:r>
    </w:p>
    <w:p>
      <w:pPr>
        <w:spacing w:after="0" w:line="174" w:lineRule="exact"/>
        <w:rPr>
          <w:rFonts w:ascii="Arial" w:cs="Arial" w:eastAsia="Arial" w:hAnsi="Arial"/>
          <w:sz w:val="17"/>
          <w:szCs w:val="17"/>
          <w:color w:val="auto"/>
        </w:rPr>
      </w:pPr>
    </w:p>
    <w:p>
      <w:pPr>
        <w:ind w:left="1000" w:hanging="31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coverage and adequate reimbursement from third-party payors for each of our product candidates;</w:t>
      </w:r>
    </w:p>
    <w:p>
      <w:pPr>
        <w:spacing w:after="0" w:line="225" w:lineRule="exact"/>
        <w:rPr>
          <w:rFonts w:ascii="Arial" w:cs="Arial" w:eastAsia="Arial" w:hAnsi="Arial"/>
          <w:sz w:val="18"/>
          <w:szCs w:val="18"/>
          <w:color w:val="auto"/>
        </w:rPr>
      </w:pPr>
    </w:p>
    <w:p>
      <w:pPr>
        <w:ind w:left="1000" w:right="120" w:hanging="317"/>
        <w:spacing w:after="0" w:line="238"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continued acceptability of the safety profile of WAKIX and the occurrence of any unexpected side effects, adverse reactions or misuse, including potential business impact such as the need to withdraw the product (either voluntarily or as mandated by the FDA), loss of support by the advocacy communities or loss of positive corporate reputation resulting in related unfavorable media coverage in these areas;</w:t>
      </w:r>
    </w:p>
    <w:p>
      <w:pPr>
        <w:spacing w:after="0" w:line="204" w:lineRule="exact"/>
        <w:rPr>
          <w:rFonts w:ascii="Arial" w:cs="Arial" w:eastAsia="Arial" w:hAnsi="Arial"/>
          <w:sz w:val="18"/>
          <w:szCs w:val="18"/>
          <w:color w:val="auto"/>
        </w:rPr>
      </w:pPr>
    </w:p>
    <w:p>
      <w:pPr>
        <w:ind w:left="1000" w:right="820" w:hanging="317"/>
        <w:spacing w:after="0" w:line="246"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managing third-party service providers involved in the manufacturing and development of pitolisant;</w:t>
      </w:r>
    </w:p>
    <w:p>
      <w:pPr>
        <w:spacing w:after="0" w:line="196" w:lineRule="exact"/>
        <w:rPr>
          <w:rFonts w:ascii="Arial" w:cs="Arial" w:eastAsia="Arial" w:hAnsi="Arial"/>
          <w:sz w:val="18"/>
          <w:szCs w:val="18"/>
          <w:color w:val="auto"/>
        </w:rPr>
      </w:pPr>
    </w:p>
    <w:p>
      <w:pPr>
        <w:ind w:left="1000" w:right="280" w:hanging="317"/>
        <w:spacing w:after="0" w:line="246"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completing the development of pitolisant in other indications by demonstrating safety, tolerability and efficacy profiles that are satisfactory to the FDA;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regulatory approvals to market pitolisant for other indications;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complying with the terms of the license agreement with Bioprojet;</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225" w:lineRule="exact"/>
        <w:rPr>
          <w:rFonts w:ascii="Arial" w:cs="Arial" w:eastAsia="Arial" w:hAnsi="Arial"/>
          <w:sz w:val="18"/>
          <w:szCs w:val="18"/>
          <w:color w:val="auto"/>
        </w:rPr>
      </w:pPr>
    </w:p>
    <w:p>
      <w:pPr>
        <w:ind w:left="1000" w:right="620" w:hanging="317"/>
        <w:spacing w:after="0" w:line="246"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protecting and expanding the portfolio of intellectual property rights, including patents, trade secrets and knowhow; and</w:t>
      </w:r>
    </w:p>
    <w:p>
      <w:pPr>
        <w:spacing w:after="0" w:line="196"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our efforts to market WAKIX for the treatment of EDS in adult patients with narcolepsy and cataplexy in adult patients with narcolepsy, our revenue will be dependent, in part, on the size of the markets in the United States, or in other territories where we may seek and obtain regulatory approval, the number of competitors in such markets, the acceptance of the price of the product in those markets and the ability to obtain reimbursement at any price. If the number of our addressable patients is not as large as we estimate or the reasonably accepted population for treatment is narrowed by competition, physician choice or treatment guidelines, we may not generate significant revenue from sales of such products. If we are not able to generate substantial revenue from the sale of approved products, we may never become profitable.</w:t>
      </w:r>
    </w:p>
    <w:p>
      <w:pPr>
        <w:spacing w:after="0" w:line="181"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The commercial adoption of WAKIX and any other product candidates we develop will depend on the degree of their market acceptance.</w:t>
      </w:r>
    </w:p>
    <w:p>
      <w:pPr>
        <w:spacing w:after="0" w:line="17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Even with the requisite approvals from the FDA and other regulatory authorities, the commercial adoption of WAKIX for the treatment of EDS in adult patients with narcolepsy and cataplexy in adult patients with narcolepsy, and any other indications and product candidates we may develop, will depend on the degree of their acceptance by physicians, patients, third-party payors and others in the medical community. If WAKIX or any other product candidates we develop do not achieve an adequate level of market acceptance, we may not generate significant product revenues or any profits from operations. The degree of market acceptance of WAKIX or any other product candidates we develop, if approved for commercial sale, will depend on a number of factors, some of which are beyond our control, including:</w:t>
      </w:r>
    </w:p>
    <w:p>
      <w:pPr>
        <w:spacing w:after="0" w:line="203" w:lineRule="exact"/>
        <w:rPr>
          <w:sz w:val="20"/>
          <w:szCs w:val="20"/>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safety and efficacy of the product as demonstrated in clinical trials;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perception of physicians, patients, third-party payors and others in the medical community of the relative safety, efficacy, convenience, effect on quality-of-life and cost-effectiveness of the product, compared to those of other available treatments;</w:t>
      </w:r>
    </w:p>
    <w:p>
      <w:pPr>
        <w:spacing w:after="0" w:line="202" w:lineRule="exact"/>
        <w:rPr>
          <w:rFonts w:ascii="Arial" w:cs="Arial" w:eastAsia="Arial" w:hAnsi="Arial"/>
          <w:sz w:val="18"/>
          <w:szCs w:val="18"/>
          <w:color w:val="auto"/>
        </w:rPr>
      </w:pPr>
    </w:p>
    <w:p>
      <w:pPr>
        <w:ind w:left="1000" w:right="14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product’s approved labeling, including the description of the product’s approved indications, the description of its efficacy, including the endpoints in which it showed an improvement, and the prevalence and severity of any side effects, including any associated limitations or warnings;</w:t>
      </w:r>
    </w:p>
    <w:p>
      <w:pPr>
        <w:spacing w:after="0" w:line="202" w:lineRule="exact"/>
        <w:rPr>
          <w:rFonts w:ascii="Arial" w:cs="Arial" w:eastAsia="Arial" w:hAnsi="Arial"/>
          <w:sz w:val="18"/>
          <w:szCs w:val="18"/>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any similar generic treatments;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differentiate WAKIX or other approved products from other treatments in the same space;</w:t>
      </w:r>
    </w:p>
    <w:p>
      <w:pPr>
        <w:spacing w:after="0" w:line="225" w:lineRule="exact"/>
        <w:rPr>
          <w:rFonts w:ascii="Arial" w:cs="Arial" w:eastAsia="Arial" w:hAnsi="Arial"/>
          <w:sz w:val="18"/>
          <w:szCs w:val="18"/>
          <w:color w:val="auto"/>
        </w:rPr>
      </w:pPr>
    </w:p>
    <w:p>
      <w:pPr>
        <w:ind w:left="1000" w:right="300" w:hanging="317"/>
        <w:spacing w:after="0" w:line="246"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adoption of WAKIX as a first-line therapy for EDS in adult patients with narcolepsy and cataplexy in adult patients with narcolepsy;</w:t>
      </w:r>
    </w:p>
    <w:p>
      <w:pPr>
        <w:spacing w:after="0" w:line="196" w:lineRule="exact"/>
        <w:rPr>
          <w:rFonts w:ascii="Arial" w:cs="Arial" w:eastAsia="Arial" w:hAnsi="Arial"/>
          <w:sz w:val="18"/>
          <w:szCs w:val="18"/>
          <w:color w:val="auto"/>
        </w:rPr>
      </w:pPr>
    </w:p>
    <w:p>
      <w:pPr>
        <w:ind w:left="1000" w:right="160" w:hanging="317"/>
        <w:spacing w:after="0" w:line="246"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those that may be discovered following approval and commercialization;</w:t>
      </w:r>
    </w:p>
    <w:p>
      <w:pPr>
        <w:spacing w:after="0" w:line="196" w:lineRule="exact"/>
        <w:rPr>
          <w:rFonts w:ascii="Arial" w:cs="Arial" w:eastAsia="Arial" w:hAnsi="Arial"/>
          <w:sz w:val="18"/>
          <w:szCs w:val="18"/>
          <w:color w:val="auto"/>
        </w:rPr>
      </w:pPr>
    </w:p>
    <w:p>
      <w:pPr>
        <w:ind w:left="1000" w:right="620" w:hanging="317"/>
        <w:spacing w:after="0" w:line="246"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treatments and of physicians to prescribe these treatments;</w:t>
      </w:r>
    </w:p>
    <w:p>
      <w:pPr>
        <w:spacing w:after="0" w:line="196" w:lineRule="exact"/>
        <w:rPr>
          <w:rFonts w:ascii="Arial" w:cs="Arial" w:eastAsia="Arial" w:hAnsi="Arial"/>
          <w:sz w:val="18"/>
          <w:szCs w:val="18"/>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publicity concerning our products or competing products and treatments;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liability litigation alleging injuries relating to our products or similar classes of drugs;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post-approval study requirements for our products and the results thereof;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sufficient third-party insurance coverage and reimbursement.</w:t>
      </w:r>
    </w:p>
    <w:p>
      <w:pPr>
        <w:spacing w:after="0" w:line="22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Our continuing efforts to educate physicians, patients, third-party payors and others in the medical community on the benefits and risks of WAKIX may require significant resources and may never be successful. The adoption of WAKIX could be limited if physicians prescribe it only as a second line therapy. Physicians may opt to prescribe the products of our competitors for a variety of reasons. For example, WAKIX did not demonstrate non-inferiority to modafinil and, as such, physicians and patients may choose modafinil rather than WAKIX. Furthermore, because the clinical response to WAKIX may take several weeks before addressing EDS and cataplexy symptoms, patients and physicians may choose other fast acting, stimulant and wake promoting agents over WAKIX. If WAKIX fails to achieve an adequate level of acceptance by physicians, patients, third-party payors and others in the medical community, we will not be able to generate sufficient revenue to become or remain profitable.</w:t>
      </w:r>
    </w:p>
    <w:p>
      <w:pPr>
        <w:spacing w:after="0" w:line="20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cannot guarantee that WAKIX or any other product candidates we may seek to develop will ever be commercially successful, and to the extent they are not commercially successful, such product candidates would incur significant expense with no corresponding revenue. Because we expect the sales of WAKIX to generate substantially all of our revenue for the foreseeable future, the failure of WAKIX to find market acceptance would substantially harm our business and could require us to seek additional financing.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opportunity for WAKIX or any future product candidate we develop may be smaller than we estimate.</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potential market opportunity for WAKIX and any future product candidate is difficult to precisely estimate. Our estimates of the potential market opportunity for our product candidates include several key assumptions of the current market size and current pricing for commercially available products and are based on industry and market data obtained from industry publications, studies conducted by us, our industry knowledge, third-party research reports and other surveys. While we believe our estimates are reasonable and reliable, they may prove to be incorrect. Further, new studies may change the estimated incidence or prevalence of diseases and disorders. The number of patients may turn out to be lower than expected. Additionally, the potentially addressable patient population for WAKIX or any future product candidate we develop may be limited or may not be amenable to treatment with WAKIX or such future product candidate, and new patients may become increasingly difficult to identify or gain access to, which would adversely affect our results of operations and our business.</w:t>
      </w:r>
    </w:p>
    <w:p>
      <w:pPr>
        <w:spacing w:after="0" w:line="184" w:lineRule="exact"/>
        <w:rPr>
          <w:sz w:val="20"/>
          <w:szCs w:val="20"/>
          <w:color w:val="auto"/>
        </w:rPr>
      </w:pPr>
    </w:p>
    <w:p>
      <w:pPr>
        <w:ind w:right="660"/>
        <w:spacing w:after="0" w:line="253" w:lineRule="auto"/>
        <w:rPr>
          <w:sz w:val="20"/>
          <w:szCs w:val="20"/>
          <w:color w:val="auto"/>
        </w:rPr>
      </w:pPr>
      <w:r>
        <w:rPr>
          <w:rFonts w:ascii="Arial" w:cs="Arial" w:eastAsia="Arial" w:hAnsi="Arial"/>
          <w:sz w:val="18"/>
          <w:szCs w:val="18"/>
          <w:b w:val="1"/>
          <w:bCs w:val="1"/>
          <w:i w:val="1"/>
          <w:iCs w:val="1"/>
          <w:color w:val="auto"/>
        </w:rPr>
        <w:t>We rely on our license agreement with Bioprojet to provide rights to the core intellectual property relating to pitolisant, and any termination or loss of significant rights under the agreement would adversely affect our development and/or commercialization of pitolisant.</w:t>
      </w:r>
    </w:p>
    <w:p>
      <w:pPr>
        <w:spacing w:after="0" w:line="19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have licensed our core intellectual property relating to pitolisant from Bioprojet. If, for any reason, our license and commercialization agreement with Bioprojet is terminated or we otherwise lose those rights, it would materially adversely affect our business. Pursuant to our license and commercialization agreement, we obtained intellectual property rights in connection with the commercialization of pitolisant in the United States and its territories, commonwealths and protectorates, including Puerto Rico, which includes an exclusive license to use certain intellectual property owned by Bioprojet related to clinically developing and commercializing the pitolisant product candidate for narcolepsy, obstructive sleep apnea, idiopathic hypersomnia and Parkinson’s Disease.</w:t>
      </w:r>
    </w:p>
    <w:p>
      <w:pPr>
        <w:spacing w:after="0" w:line="20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Under the license agreement, Bioprojet is responsible for conducting all preclinical studies and clinical trials necessary for achieving and maintaining regulatory approval in the United States for narcolepsy and cataplexy indications, including all costs and expenses. We are responsible for all other costs associated with other development and regulatory activities, unless Bioprojet otherwise agrees to participate in funding such activities. We must obtain consent from Bioprojet before commencing any clinical trials related to pitolisant. Our ability to pursue indications other than the ones specifically enumerated in the license agreement is also contingent on mutual agreement of Bioprojet and us as to those indications and such agreement may be withheld at Bioprojet’s discretion. If Bioprojet denies consent for us to conduct clinical trials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pursue any such other indication for any reason, we will not have the right under our license and commercialization agreement to commercialize our product for such indication. In such event, Bioprojet may pursue commercialization of such indication for itself in our territory, or it may license the right to commercialize such indication in our territory to third parties, including our competitors.</w:t>
      </w:r>
    </w:p>
    <w:p>
      <w:pPr>
        <w:spacing w:after="0" w:line="20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license and commercialization agreement also imposes on us obligations relating to exclusivity, territorial rights, development, commercialization, funding, payment, diligence, sublicensing, insurance, intellectual property protection and other matters. For example, under the Bioprojet License Agreement, we cannot, directly or indirectly, develop, market, sell, promote or file an NDA with respect to any product that would compete with pitolisant in the field. If we breach any material obligations, or use the intellectual property licensed to us in an unauthorized manner, we may be required to pay damages to Bioprojet, and Bioprojet may have the right to terminate our license, which would result in us being unable to develop, manufacture and sell pitolisant and would materially adversely affect our business.</w:t>
      </w:r>
    </w:p>
    <w:p>
      <w:pPr>
        <w:spacing w:after="0" w:line="18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i w:val="1"/>
          <w:iCs w:val="1"/>
          <w:color w:val="auto"/>
        </w:rPr>
        <w:t>The ongoing COVID-19 pandemic may result in disruptions to our commercialization, clinical trials, manufacturing and other business operations, which could have a material adverse effect on our business, financial condition, operating results, cash flows and prospects.</w:t>
      </w:r>
    </w:p>
    <w:p>
      <w:pPr>
        <w:spacing w:after="0" w:line="19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outbreak of COVID-19, which has been declared a global pandemic by the World Health Organization, has spread across the globe and is impacting worldwide economic activity. A public health epidemic, including COVID-19, poses the risk that we or our employees, contractors, suppliers, distributors and other partners, as well as physicians treating narcolepsy patients, may be prevented from conducting business and patient-care activities for an indefinite period of time, including due to shutdowns and quarantines that may be requested or mandated by governmental authorities. Beginning in March 2020, we transitioned our field-based sales, market access, and medical employees to remote work and suspended work-related travel and in-person customer interactions with healthcare professionals and customers. Some of these activities have resumed in moderation following the establishment of proper protocols and procedures as COVID-19 restrictions have been revised. Our increased reliance on personnel working from home may negatively impact productivity or disrupt, delay or otherwise adversely impact our business. In addition, remote working could increase our cyber security risk.</w:t>
      </w:r>
    </w:p>
    <w:p>
      <w:pPr>
        <w:spacing w:after="0" w:line="20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General protective measures put into place at various governmental levels, including quarantines, travel restrictions and business shutdowns, may also negatively affect our operations. The responses to the COVID-19 pandemic may have had an impact on demand for WAKIX as a result of a reduced ability of prescribers to diagnose narcolepsy patients given the limitations in access to sleep testing, the reduced ability to see patients due to cancelled appointments and the reprioritization of healthcare resources toward treating COVID-19. The COVID-19 pandemic has affected our ability to access HCPs, and has caused fewer patients visits to their HCP, resulting in fewer prescriptions being written. The COVID-19 pandemic is leading to high unemployment and corresponding loss of insurance, resulting in more eligible patients taking advantage of patient assistance and/or free good programs, which is impacting our ability to convert demand to revenue and the corresponding revenue growth rate in possible future quarters will be adversely impacted by the ongoing COVID-19 pandemic.</w:t>
      </w:r>
    </w:p>
    <w:p>
      <w:pPr>
        <w:spacing w:after="0" w:line="20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continued spread of COVID-19 and the measures taken by the governments of countries affected, particularly the United States and France, could also disrupt the supply chain and the manufacture or shipment of WAKIX and of drug substance and finished drug product. For example, we may face supply chain and manufacturing limitations or difficulties as resources are shifted toward vaccine manufacturing and distribution. Any delays or interruptions in the manufacture and supply of WAKIX could result in delays for our planned clinical trials, impair our ability to meet demand for new WAKIX prescriptions and impede our clinical trial recruitment, testing, monitoring, data collection and analysis and other related activities.</w:t>
      </w:r>
    </w:p>
    <w:p>
      <w:pPr>
        <w:spacing w:after="0" w:line="20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Any of the foregoing factors could have a material adverse impact on our business, financial condition, operating results, cash flows and prospects. The extent to which COVID-19 impacts our operations and those of our third-party partners will depend on future developments, which are highly uncertain and cannot be predicted with confidence, including the duration of the pandemic, additional or modified government actions, new information which emerges concerning the severity of COVID-19 and the actions taken to contain the virus or treat its impact, among others. In particular, the speed of the continued spread of COVID-19 globally, and the magnitude of interventions to contain the spread of the virus, will determine the impact of the pandemic on our operations.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We may not be successful in our efforts to identify, in-license or acquire, discover, develop or commercialize additional product candidates, or identify other indications for pitolisant beyond EDS or cataplexy in adult patients with narcolepsy.</w:t>
      </w:r>
    </w:p>
    <w:p>
      <w:pPr>
        <w:spacing w:after="0" w:line="19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Although a substantial amount of our effort will focus on the commercialization of WAKIX for the treatment of EDS in adult patients with narcolepsy and cataplexy in adult patients with narcolepsy, we also may seek to identify, in-license or acquire, discover, develop and commercialize additional product candidates in the rare neurological disorders field, and to identify other indications for pitolisant beyond the treatment of EDS in adult patients with narcolepsy and cataplexy in adult patients with narcolepsy. We cannot assure you that our efforts to do so will be successful. Even if we are successful at in-licensing or acquiring additional product candidates, their requisite development activities may require substantial resources, and we cannot assure you that these development activities will result in regulatory approvals. We also cannot assure you that our efforts to develop and commercialize pitolisant for other indications beyond the treatment of EDS in adult patients with narcolepsy and cataplexy in adult patients with narcolepsy will be successful.</w:t>
      </w:r>
    </w:p>
    <w:p>
      <w:pPr>
        <w:spacing w:after="0" w:line="185" w:lineRule="exact"/>
        <w:rPr>
          <w:sz w:val="20"/>
          <w:szCs w:val="20"/>
          <w:color w:val="auto"/>
        </w:rPr>
      </w:pPr>
    </w:p>
    <w:p>
      <w:pPr>
        <w:ind w:right="560"/>
        <w:spacing w:after="0" w:line="301" w:lineRule="auto"/>
        <w:rPr>
          <w:sz w:val="20"/>
          <w:szCs w:val="20"/>
          <w:color w:val="auto"/>
        </w:rPr>
      </w:pPr>
      <w:r>
        <w:rPr>
          <w:rFonts w:ascii="Arial" w:cs="Arial" w:eastAsia="Arial" w:hAnsi="Arial"/>
          <w:sz w:val="17"/>
          <w:szCs w:val="17"/>
          <w:b w:val="1"/>
          <w:bCs w:val="1"/>
          <w:i w:val="1"/>
          <w:iCs w:val="1"/>
          <w:color w:val="auto"/>
        </w:rPr>
        <w:t>Our business, products or product pricing could be subject to negative publicity, which could have a material adverse effect on our reputation, business, financial position, results of operations, liquidity and cash flows.</w:t>
      </w:r>
    </w:p>
    <w:p>
      <w:pPr>
        <w:spacing w:after="0" w:line="15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recent years, the pharmaceutical industry has been the subject of public complaints and significant publicity regarding the pricing of pharmaceutical products, including publicity and pressure resulting from prices charged by competitors and peer companies for new products as well as price increases by competitors and peer companies on older products that the public has deemed excessive. We may experience downward pricing pressure on the price of WAKIX and any other future approved products due to social or political pressure to lower the cost of drugs, which could reduce our revenue and future profitability. Orphan drugs in particular have received recent negative publicity for the perceived high prices charged for them by their manufacturers, and as a result orphan drug developers such as us may be negatively impacted by such publicity and any U.S. or other government regulatory response. Due to these factors, we may suffer public criticism and negative publicity in media coverage, by industry trade associations and legislators.</w:t>
      </w:r>
    </w:p>
    <w:p>
      <w:pPr>
        <w:spacing w:after="0" w:line="20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Any of the events or developments described above could result in reputational harm and reduced market acceptance and demand for our products, could harm our ability to market our products in the future, could cause us to incur significant expense, could cause our senior management to be distracted from execution of our business strategy, and could have a material adverse effect on our business, reputation, financial condition, results of operations, liquidity, cash flows and/or share price.</w:t>
      </w:r>
    </w:p>
    <w:p>
      <w:pPr>
        <w:spacing w:after="0" w:line="180"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b w:val="1"/>
          <w:bCs w:val="1"/>
          <w:i w:val="1"/>
          <w:iCs w:val="1"/>
          <w:color w:val="auto"/>
        </w:rPr>
        <w:t>Third-party relationships are important to our business. If we are unable to enter into and maintain strategic collaborations or if these relationships are not successful, our business could be adversely affected.</w:t>
      </w:r>
    </w:p>
    <w:p>
      <w:pPr>
        <w:spacing w:after="0" w:line="17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have limited product development and distribution capabilities and we do not yet have any product manufacturing capabilities. In addition, we may enter into collaborations for the development and commercialization of certain of our product candidates. If we enter into such collaborations, we will have limited control over the amount and timing of resources that our collaborators will dedicate to the development or commercialization of our product candidates. Our ability to generate revenues from these arrangements will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 Relationships we enter into may pose a number of risks, including the following:</w:t>
      </w:r>
    </w:p>
    <w:p>
      <w:pPr>
        <w:spacing w:after="0" w:line="207" w:lineRule="exact"/>
        <w:rPr>
          <w:sz w:val="20"/>
          <w:szCs w:val="20"/>
          <w:color w:val="auto"/>
        </w:rPr>
      </w:pPr>
    </w:p>
    <w:p>
      <w:pPr>
        <w:ind w:left="1000" w:right="620" w:hanging="317"/>
        <w:spacing w:after="0" w:line="246"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current or future third parties have, and future third-party collaborators may have, significant discretion in determining the efforts and resources that they will apply;</w:t>
      </w:r>
    </w:p>
    <w:p>
      <w:pPr>
        <w:spacing w:after="0" w:line="196" w:lineRule="exact"/>
        <w:rPr>
          <w:rFonts w:ascii="Arial" w:cs="Arial" w:eastAsia="Arial" w:hAnsi="Arial"/>
          <w:sz w:val="18"/>
          <w:szCs w:val="18"/>
          <w:color w:val="auto"/>
        </w:rPr>
      </w:pPr>
    </w:p>
    <w:p>
      <w:pPr>
        <w:ind w:left="1000" w:hanging="31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 parties may not perform their obligations as expected;</w:t>
      </w:r>
    </w:p>
    <w:p>
      <w:pPr>
        <w:spacing w:after="0" w:line="225" w:lineRule="exact"/>
        <w:rPr>
          <w:rFonts w:ascii="Arial" w:cs="Arial" w:eastAsia="Arial" w:hAnsi="Arial"/>
          <w:sz w:val="18"/>
          <w:szCs w:val="18"/>
          <w:color w:val="auto"/>
        </w:rPr>
      </w:pPr>
    </w:p>
    <w:p>
      <w:pPr>
        <w:ind w:left="1000" w:right="160" w:hanging="317"/>
        <w:spacing w:after="0" w:line="238"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 parties may not pursue development and commercialization of any product candidates that we decide to develop as drugs and that achieve regulatory approval or may elect not to continue or renew development or commercialization programs based on clinical study or trial results, changes in the third parties’ strategic focus or available funding, or external factors, such as a strategic transaction that may divert resources or create competing priorities;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ind w:left="1000" w:right="8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third parties may delay preclinical studies or clinical trials, provide insufficient funding for a preclinical study or clinical trial, stop a preclinical study or clinical trial or abandon one of our product candidates, repeat or conduct clinical studies or new clinical trials or require a new formulation of a product candidate for clinical testing;</w:t>
      </w:r>
    </w:p>
    <w:p>
      <w:pPr>
        <w:spacing w:after="0" w:line="202" w:lineRule="exact"/>
        <w:rPr>
          <w:rFonts w:ascii="Arial" w:cs="Arial" w:eastAsia="Arial" w:hAnsi="Arial"/>
          <w:sz w:val="18"/>
          <w:szCs w:val="18"/>
          <w:color w:val="auto"/>
        </w:rPr>
      </w:pPr>
    </w:p>
    <w:p>
      <w:pPr>
        <w:ind w:left="1000" w:right="160" w:hanging="317"/>
        <w:spacing w:after="0" w:line="238"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third parties could independently develop, or develop with other third parties, products that compete directly or indirectly with our products and product candidates if the third parties believe that the competitive products are more likely to be successfully developed or can be commercialized under terms that are more economically attractive than ours;</w:t>
      </w:r>
    </w:p>
    <w:p>
      <w:pPr>
        <w:spacing w:after="0" w:line="204" w:lineRule="exact"/>
        <w:rPr>
          <w:rFonts w:ascii="Arial" w:cs="Arial" w:eastAsia="Arial" w:hAnsi="Arial"/>
          <w:sz w:val="18"/>
          <w:szCs w:val="18"/>
          <w:color w:val="auto"/>
        </w:rPr>
      </w:pPr>
    </w:p>
    <w:p>
      <w:pPr>
        <w:ind w:left="1000" w:right="16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current or future collaborators as competitive with their own product candidates or products, which may cause such third parties to cease to devote resources to the commercialization of our product candidates;</w:t>
      </w:r>
    </w:p>
    <w:p>
      <w:pPr>
        <w:spacing w:after="0" w:line="202" w:lineRule="exact"/>
        <w:rPr>
          <w:rFonts w:ascii="Arial" w:cs="Arial" w:eastAsia="Arial" w:hAnsi="Arial"/>
          <w:sz w:val="18"/>
          <w:szCs w:val="18"/>
          <w:color w:val="auto"/>
        </w:rPr>
      </w:pPr>
    </w:p>
    <w:p>
      <w:pPr>
        <w:ind w:left="1000" w:right="480" w:hanging="317"/>
        <w:spacing w:after="0" w:line="246"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third parties may fail to comply with applicable regulatory requirements regarding the development, manufacture, packaging, labeling, holding, distribution and/or marketing of a product candidate or product;</w:t>
      </w:r>
    </w:p>
    <w:p>
      <w:pPr>
        <w:spacing w:after="0" w:line="196" w:lineRule="exact"/>
        <w:rPr>
          <w:rFonts w:ascii="Arial" w:cs="Arial" w:eastAsia="Arial" w:hAnsi="Arial"/>
          <w:sz w:val="18"/>
          <w:szCs w:val="18"/>
          <w:color w:val="auto"/>
        </w:rPr>
      </w:pPr>
    </w:p>
    <w:p>
      <w:pPr>
        <w:jc w:val="both"/>
        <w:ind w:left="1000" w:right="36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third parties with marketing and distribution rights to pitolisant or any future product candidates that achieve regulatory approval may not commit sufficient resources to the marketing and distribution of such product or products;</w:t>
      </w:r>
    </w:p>
    <w:p>
      <w:pPr>
        <w:spacing w:after="0" w:line="202" w:lineRule="exact"/>
        <w:rPr>
          <w:rFonts w:ascii="Arial" w:cs="Arial" w:eastAsia="Arial" w:hAnsi="Arial"/>
          <w:sz w:val="18"/>
          <w:szCs w:val="18"/>
          <w:color w:val="auto"/>
        </w:rPr>
      </w:pPr>
    </w:p>
    <w:p>
      <w:pPr>
        <w:ind w:left="1000" w:right="60" w:hanging="317"/>
        <w:spacing w:after="0" w:line="238"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disagreements with third parties, including disagreements over proprietary rights, contract interpretation or the preferred course of development, might cause delays or terminations of the research, development or commercialization of pitolisant or any future product candidates, might lead to additional responsibilities for us with respect to pitolisant or any future product candidates, or might result in litigation or arbitration, any of which would be time-consuming and expensive;</w:t>
      </w:r>
    </w:p>
    <w:p>
      <w:pPr>
        <w:spacing w:after="0" w:line="202" w:lineRule="exact"/>
        <w:rPr>
          <w:rFonts w:ascii="Arial" w:cs="Arial" w:eastAsia="Arial" w:hAnsi="Arial"/>
          <w:sz w:val="18"/>
          <w:szCs w:val="18"/>
          <w:color w:val="auto"/>
        </w:rPr>
      </w:pPr>
    </w:p>
    <w:p>
      <w:pPr>
        <w:ind w:left="1000" w:right="4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third parties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202" w:lineRule="exact"/>
        <w:rPr>
          <w:rFonts w:ascii="Arial" w:cs="Arial" w:eastAsia="Arial" w:hAnsi="Arial"/>
          <w:sz w:val="18"/>
          <w:szCs w:val="18"/>
          <w:color w:val="auto"/>
        </w:rPr>
      </w:pPr>
    </w:p>
    <w:p>
      <w:pPr>
        <w:ind w:left="1000" w:right="160" w:hanging="317"/>
        <w:spacing w:after="0" w:line="246"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third parties may infringe the intellectual property rights of other third parties, which may expose us to litigation and potential liability;</w:t>
      </w:r>
    </w:p>
    <w:p>
      <w:pPr>
        <w:spacing w:after="0" w:line="196" w:lineRule="exact"/>
        <w:rPr>
          <w:rFonts w:ascii="Arial" w:cs="Arial" w:eastAsia="Arial" w:hAnsi="Arial"/>
          <w:sz w:val="18"/>
          <w:szCs w:val="18"/>
          <w:color w:val="auto"/>
        </w:rPr>
      </w:pPr>
    </w:p>
    <w:p>
      <w:pPr>
        <w:ind w:left="1000" w:right="800" w:hanging="317"/>
        <w:spacing w:after="0" w:line="246"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one of our third parties is involved in a business combination, the collaborator might deemphasize or terminate the development or commercialization of any product candidate licensed to it by us; and</w:t>
      </w:r>
    </w:p>
    <w:p>
      <w:pPr>
        <w:spacing w:after="0" w:line="196" w:lineRule="exact"/>
        <w:rPr>
          <w:rFonts w:ascii="Arial" w:cs="Arial" w:eastAsia="Arial" w:hAnsi="Arial"/>
          <w:sz w:val="18"/>
          <w:szCs w:val="18"/>
          <w:color w:val="auto"/>
        </w:rPr>
      </w:pPr>
    </w:p>
    <w:p>
      <w:pPr>
        <w:ind w:left="1000" w:right="120" w:hanging="317"/>
        <w:spacing w:after="0" w:line="246"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relationships may be terminated by the collaborator, and, if terminated, we could be required to raise additional capital to pursue further development or commercialization of the applicable product candidates.</w:t>
      </w:r>
    </w:p>
    <w:p>
      <w:pPr>
        <w:spacing w:after="0" w:line="19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If our relationships do not result in the successful discovery, development and commercialization of products or if a third party terminates its agreement with us, we may not receive any future research funding or milestone or royalty payments under the collaboration. If we do not receive the funding we expect under any third party agreements we enter into, our development of pitolisant or any future product candidates could be delayed and we may need additional resources. Additionally, if any third party terminates its agreement with us, we may find it more difficult to attract new collaborators and our perception in the business and financial communities could be adversely affected.</w:t>
      </w:r>
    </w:p>
    <w:p>
      <w:pPr>
        <w:spacing w:after="0" w:line="20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Relationships are complex and time-consuming to negotiate and document. In addition, there have been a significant number of recent business combinations among large pharmaceutical companies that have resulted in a reduced number of future collaborators.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third parties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expense. If we elect to increase our expenditures to fund development or commercialization activities on our own, we may need to obtain additional expertise and additional capital, which may not be available to us on acceptable terms, or at all. If we fail to enter into relationships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w:t>
      </w:r>
    </w:p>
    <w:p>
      <w:pPr>
        <w:spacing w:after="0" w:line="183"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b w:val="1"/>
          <w:bCs w:val="1"/>
          <w:i w:val="1"/>
          <w:iCs w:val="1"/>
          <w:color w:val="auto"/>
        </w:rPr>
        <w:t>We expect to rely on third parties to conduct our clinical trials for pitolisant and any future product candidate that we decide to develop. If these third parties do not successfully carry out their contractual duties, meet expected deadlines or comply with regulatory requirements, we may not be able to obtain regulatory approval of or commercialize any potential product candidates on a timely basis or at all.</w:t>
      </w:r>
    </w:p>
    <w:p>
      <w:pPr>
        <w:spacing w:after="0" w:line="19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will continue to rely upon third parties, including independent investigators, to conduct preclinical studies or clinical trials under agreements with universities, medical institutions, CROs, strategic partners and others. We expect to have to negotiate budgets and contracts with CROs and study or trial sites, which may result in delays to our development timelines and increased costs.</w:t>
      </w:r>
    </w:p>
    <w:p>
      <w:pPr>
        <w:spacing w:after="0" w:line="20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will have to rely heavily on third parties over the course of our preclinical studies and clinical trials and, as a result, will have limited control over the clinical investigators and limited visibility into their day-to-day activities, including with respect to their compliance with the approved clinical protocol and regulatory requirements. Nevertheless, we are responsible for ensuring that each of our preclinical studies and clinical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for clinical trials, which are regulations and guidelines enforced by the FDA and comparable foreign regulatory authorities for product candidates in clinical development.</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Regulatory authorities enforce these GCP requirements through periodic inspections of study or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clinical trials or perform additional clinical trials before approving our marketing applications. We cannot be certain that, upon inspection, such regulatory authorities will determine that any of our clinical trials comply with the GCP or other applicable requirements. In addition, our clinical trials must be conducted with drug products produced under cGMP requirements and may require a large number of patients. Our failure or any failure by these third parties to comply with these regulations, which would delay the regulatory approval or commercialization process. Moreover, our business may be implicated if any of these third parties violates federal or state laws or regulations including fraud and abuse or false claims laws and regulations or healthcare privacy and security laws.</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Any parties conducting our future clinical trials, if any, generally will not be our employees and, except for remedies that may be available to us under our agreements with the third parties conducting such clinical trials, if any, we cannot control whether or not they devote sufficient time and resources to our ongoing preclinical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current and future product candidates. As a result, our financial results and the commercial prospects for our current and future product candidates would be harmed, our costs could increase and our ability to generate revenue could be delayed.</w:t>
      </w:r>
    </w:p>
    <w:p>
      <w:pPr>
        <w:spacing w:after="0" w:line="20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If any of our relationships with these third-party CROs or others terminate, we may not be able to enter into contractual and other arrangements with alternative CROs or other third parties in a timely manner to meet projected clinical development deadlines or to do so on commercially reasonable terms. Switching or adding additional CROs involves additional cost and requires management time and focus. In addition, there is a natural transition period when a new CRO begins work. As a result, delays may occur, which can materially affect our ability to meet our desired clinical development timelines. Though we carefully manage our relationships with our CROs, there can be no assurance that we will not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encounter similar challenges or delays in the future or that these delays or challenges will not have a material adverse impact on our business, financial condition and prospects.</w:t>
      </w:r>
    </w:p>
    <w:p>
      <w:pPr>
        <w:spacing w:after="0" w:line="19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If we experience delays in meeting or fail to meet the regulatory requirements for commercialization of our current or future potential product candidates, the commercial prospects for our product candidates may be harmed and our ability to generate revenues will be materially impaired.</w:t>
      </w:r>
    </w:p>
    <w:p>
      <w:pPr>
        <w:spacing w:after="0" w:line="181"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b w:val="1"/>
          <w:bCs w:val="1"/>
          <w:i w:val="1"/>
          <w:iCs w:val="1"/>
          <w:color w:val="auto"/>
        </w:rPr>
        <w:t>We rely completely on third parties to manufacture and distribute our supply of WAKIX, including certain sole-source suppliers and manufacturers, and intend to rely on third parties to manufacture and distribute any future product candidates.</w:t>
      </w:r>
    </w:p>
    <w:p>
      <w:pPr>
        <w:spacing w:after="0" w:line="19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do not currently have, nor do we plan to acquire, the infrastructure or capability to manufacture or distribute commercial quantities of WAKIX. Our ability to commercially supply WAKIX depends, in part, on the ability of third-party manufacturers to supply and manufacture the raw materials, API and other important components related to the manufacture of WAKIX. We also rely on third parties to package the finished product. These third-party manufacturers have limited experience manufacturing the raw materials and API for WAKIX to be supplied to patients in the United States. Prior to the approval of WAKIX, we experienced minor issues related to product specifications and other minor delays in supply related to our third-party suppliers and manufacturers. While we continue to work with our third-party suppliers and manufacturers to optimize the manufacturing process for WAKIX and will work to optimize the manufacturing process for any future product candidates, we cannot guarantee that even minor changes in the process will result in products that are safe and, where applicable, effective. If we fail to develop and maintain supply relationships with these third parties, we may be unable to continue to successfully commercialize WAKIX.</w:t>
      </w:r>
    </w:p>
    <w:p>
      <w:pPr>
        <w:spacing w:after="0" w:line="20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rely and will continue to rely on certain third parties as the sole source of the materials they supply or the finished products they manufacture. For example, we rely on Interor S.A., Corden Pharma Chenôve SAS and Patheon UK Limited to provide intermediate supply ingredients, API and finished products, respectively.</w:t>
      </w:r>
    </w:p>
    <w:p>
      <w:pPr>
        <w:spacing w:after="0" w:line="203"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Additionally, we rely on our suppliers and manufacturers to purchase materials from other third parties. Any of our existing suppliers or manufacturers may:</w:t>
      </w:r>
    </w:p>
    <w:p>
      <w:pPr>
        <w:spacing w:after="0" w:line="197" w:lineRule="exact"/>
        <w:rPr>
          <w:sz w:val="20"/>
          <w:szCs w:val="20"/>
          <w:color w:val="auto"/>
        </w:rPr>
      </w:pPr>
    </w:p>
    <w:p>
      <w:pPr>
        <w:ind w:left="1000" w:right="420" w:hanging="317"/>
        <w:spacing w:after="0" w:line="246"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 to supply us with product on a timely basis or in the requested amount due to unexpected damage to or destruction of facilities or equipment or otherwise;</w:t>
      </w:r>
    </w:p>
    <w:p>
      <w:pPr>
        <w:spacing w:after="0" w:line="196" w:lineRule="exact"/>
        <w:rPr>
          <w:rFonts w:ascii="Arial" w:cs="Arial" w:eastAsia="Arial" w:hAnsi="Arial"/>
          <w:sz w:val="18"/>
          <w:szCs w:val="18"/>
          <w:color w:val="auto"/>
        </w:rPr>
      </w:pPr>
    </w:p>
    <w:p>
      <w:pPr>
        <w:ind w:left="1000" w:right="300" w:hanging="317"/>
        <w:spacing w:after="0" w:line="246"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 to increase manufacturing capacity and produce drug product and components in larger quantities and at higher yields in a timely or cost-effective manner, or at all, to sufficiently meet our commercial needs;</w:t>
      </w:r>
    </w:p>
    <w:p>
      <w:pPr>
        <w:spacing w:after="0" w:line="196" w:lineRule="exact"/>
        <w:rPr>
          <w:rFonts w:ascii="Arial" w:cs="Arial" w:eastAsia="Arial" w:hAnsi="Arial"/>
          <w:sz w:val="18"/>
          <w:szCs w:val="18"/>
          <w:color w:val="auto"/>
        </w:rPr>
      </w:pPr>
    </w:p>
    <w:p>
      <w:pPr>
        <w:ind w:left="1000" w:right="100" w:hanging="317"/>
        <w:spacing w:after="0" w:line="246"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unable to meet our production demands due to issues related to their reliance on sole- source suppliers and manufacturers;</w:t>
      </w:r>
    </w:p>
    <w:p>
      <w:pPr>
        <w:spacing w:after="0" w:line="196" w:lineRule="exact"/>
        <w:rPr>
          <w:rFonts w:ascii="Arial" w:cs="Arial" w:eastAsia="Arial" w:hAnsi="Arial"/>
          <w:sz w:val="18"/>
          <w:szCs w:val="18"/>
          <w:color w:val="auto"/>
        </w:rPr>
      </w:pPr>
    </w:p>
    <w:p>
      <w:pPr>
        <w:ind w:left="1000" w:hanging="31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supply us with product that fails to meet regulatory requirements;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become unavailable through business interruption or financial insolvency;</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lose regulatory status as an approved source;</w:t>
      </w:r>
    </w:p>
    <w:p>
      <w:pPr>
        <w:spacing w:after="0" w:line="225" w:lineRule="exact"/>
        <w:rPr>
          <w:rFonts w:ascii="Arial" w:cs="Arial" w:eastAsia="Arial" w:hAnsi="Arial"/>
          <w:sz w:val="18"/>
          <w:szCs w:val="18"/>
          <w:color w:val="auto"/>
        </w:rPr>
      </w:pPr>
    </w:p>
    <w:p>
      <w:pPr>
        <w:ind w:left="1000" w:right="420" w:hanging="317"/>
        <w:spacing w:after="0" w:line="246"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unable or unwilling to (i) honor current supply agreements or (ii) renew current supply agreements when such agreements expire on a timely basis, on acceptable terms or at all; or</w:t>
      </w:r>
    </w:p>
    <w:p>
      <w:pPr>
        <w:spacing w:after="0" w:line="196" w:lineRule="exact"/>
        <w:rPr>
          <w:rFonts w:ascii="Arial" w:cs="Arial" w:eastAsia="Arial" w:hAnsi="Arial"/>
          <w:sz w:val="18"/>
          <w:szCs w:val="18"/>
          <w:color w:val="auto"/>
        </w:rPr>
      </w:pPr>
    </w:p>
    <w:p>
      <w:pPr>
        <w:ind w:left="1000" w:hanging="31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discontinue production or manufacturing of necessary drug substances or products.</w:t>
      </w:r>
    </w:p>
    <w:p>
      <w:pPr>
        <w:spacing w:after="0" w:line="22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event of any of the foregoing, if we do not have an alternative supplier or manufacturer in place, we would be required to expend substantial management time and expense to identify, qualify and transfer technical processes to alternative suppliers or manufacturers. Transferring technology to other sites may require additional processes, technologies and validation studies, which are costly, may take considerable amounts of time, may not be successful and, in most cases, require review and approval by the FDA. Any need to find and qualify new suppliers or manufacturers could significantly delay production of WAKIX, adversely impact our ability to market WAKIX and adversely affect our business.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can be no assurance that replacements would be available to us on a timely basis, on acceptable terms or at all. While we currently maintain a robust supply of raw material inventory and an 18 month supply of finished good inventory to ensure product availability, any interruption in the supply of a drug substance or other material or in the manufacture of WAKIX could have a material adverse effect on our business, financial condition, operating results and prospects.</w:t>
      </w:r>
    </w:p>
    <w:p>
      <w:pPr>
        <w:spacing w:after="0" w:line="20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Additionally, although we are ultimately responsible for ensuring compliance with regulatory requirements such as cGMPs, we are dependent on our contract suppliers and manufacturers for day-to-day compliance with cGMP for production of both drug substances and finished products. Facilities used by our contract suppliers and manufacturers to produce the drug substances and materials or finished products for commercial sale must pass inspection and be approved by the FDA and other relevant regulatory authorities. A number of our contract suppliers and manufacturers must comply with cGMP requirements enforced by the FDA through its facilities inspection program and review of submitted technical information. If the safety of WAKIX is compromised due to a failure to adhere to applicable laws or for other reasons, we may not be able to successfully commercialize our product and we may be held liable for injuries sustained as a result. In addition, the manufacturing facilities of certain of our suppliers are located outside of the United States. This may give rise to difficulties in importing our product into the United States or other countries as a result of, among other things, regulatory agency approval requirements, taxes, tariffs, local import requirements such as import duties or inspections, incomplete or inaccurate import documentation or defective packaging.</w:t>
      </w:r>
    </w:p>
    <w:p>
      <w:pPr>
        <w:spacing w:after="0" w:line="20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Any of these factors could adversely impact our ability to effectively commercialize WAKIX.</w:t>
      </w:r>
    </w:p>
    <w:p>
      <w:pPr>
        <w:spacing w:after="0" w:line="19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Because a number of companies compete with us, many of which have greater resources than we do, and because we face rapid changes in science in our industry, we cannot be certain that our products will be accepted in the marketplace or capture market share.</w:t>
      </w:r>
    </w:p>
    <w:p>
      <w:pPr>
        <w:spacing w:after="0" w:line="19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Competition from other biotechnology and pharmaceutical companies is intense and is expected to increase. There may be a number of companies pursuing the development of pharmaceuticals in rare neurological disorders, our area of focus. These companies may be very large, and may have financial, technical, sales and distribution and other resources substantially greater than ours. The greater resources of these competitors may enable them to develop, obtain regulatory approval for or market competing products more quickly or effectively, making it extremely difficult for us to capture a share of the market for our product. We also face competition, and may in the future face additional competition, from manufacturers of generic drugs. Certain U.S. state laws allow for, and in some instances in the absence of specific instructions from the prescribing physician mandate, the dispensing of generic products rather than branded products when a generic version is available.</w:t>
      </w:r>
    </w:p>
    <w:p>
      <w:pPr>
        <w:spacing w:after="0" w:line="20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Generic competition often results in decreases in the prices at which branded products can be sold. The commercial potential of our current products and any future products may be reduced or eliminated if our competitors develop or acquire and commercialize generic or branded products that are safer or more effective, have fewer side effects, are easier to administer or are less expensive than our products. We also face competition from off-label uses of approved drugs. Additionally, the biotechnology and pharmaceutical industries are subject to rapid changes in science, and our competitors may develop and market products with improved therapeutic profiles relative to pitolisant or any future product candidates that would render pitolisant or any future product candidates noncompetitive.</w:t>
      </w:r>
    </w:p>
    <w:p>
      <w:pPr>
        <w:spacing w:after="0" w:line="181"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b w:val="1"/>
          <w:bCs w:val="1"/>
          <w:i w:val="1"/>
          <w:iCs w:val="1"/>
          <w:color w:val="auto"/>
        </w:rPr>
        <w:t>We may need to increase the size and capabilities of our organization based on business need, and we may experience difficulties in managing our growth.</w:t>
      </w:r>
    </w:p>
    <w:p>
      <w:pPr>
        <w:spacing w:after="0" w:line="17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commenced operations in 2017 and, as of December 31, 2021, had approximately 180 employees. As we advance the development of pitolisant in other indications and commercialize WAKIX as a treatment for EDS in adult patients with narcolepsy and cataplexy in adult patients with narcolepsy, we must continue to grow the size of the organization. Future growth will impose significant added responsibilities on members of management, including:</w:t>
      </w:r>
    </w:p>
    <w:p>
      <w:pPr>
        <w:spacing w:after="0" w:line="205" w:lineRule="exact"/>
        <w:rPr>
          <w:sz w:val="20"/>
          <w:szCs w:val="20"/>
          <w:color w:val="auto"/>
        </w:rPr>
      </w:pPr>
    </w:p>
    <w:p>
      <w:pPr>
        <w:ind w:left="1000" w:hanging="31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identifying, recruiting, integrating, retaining and motivating additional employees;</w:t>
      </w:r>
    </w:p>
    <w:p>
      <w:pPr>
        <w:spacing w:after="0" w:line="225" w:lineRule="exact"/>
        <w:rPr>
          <w:rFonts w:ascii="Arial" w:cs="Arial" w:eastAsia="Arial" w:hAnsi="Arial"/>
          <w:sz w:val="18"/>
          <w:szCs w:val="18"/>
          <w:color w:val="auto"/>
        </w:rPr>
      </w:pPr>
    </w:p>
    <w:p>
      <w:pPr>
        <w:ind w:left="1000" w:right="280" w:hanging="317"/>
        <w:spacing w:after="0" w:line="246"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effectively managing our development efforts, including the clinical development and FDA or other regulatory authority review processes for pitolisant or any future product candidates;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ind w:left="1000" w:right="20" w:hanging="317"/>
        <w:spacing w:after="0" w:line="246"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effectively managing any third-party service providers involved in the development and manufacture of pitolisant or any future product candidates; and</w:t>
      </w:r>
    </w:p>
    <w:p>
      <w:pPr>
        <w:spacing w:after="0" w:line="196" w:lineRule="exact"/>
        <w:rPr>
          <w:rFonts w:ascii="Arial" w:cs="Arial" w:eastAsia="Arial" w:hAnsi="Arial"/>
          <w:sz w:val="18"/>
          <w:szCs w:val="18"/>
          <w:color w:val="auto"/>
        </w:rPr>
      </w:pPr>
    </w:p>
    <w:p>
      <w:pPr>
        <w:ind w:left="1000" w:hanging="31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Our future financial performance and our ability to successfully develop and commercialize WAKIX or any future product candidates will depend, in part, on our ability to effectively manage any future growth. Our management will have to dedicate a significant amount of its attention to managing these growth activities. In addition, we expect to incur additional costs in hiring, training and retaining such additional personnel.</w:t>
      </w:r>
    </w:p>
    <w:p>
      <w:pPr>
        <w:spacing w:after="0" w:line="20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If we are not able to effectively expand our organization, we may not be able to successfully execute the tasks necessary to further develop and commercialize pitolisant or any future product candidates and, accordingly, may not achieve our research, development and commercialization goals.</w:t>
      </w:r>
    </w:p>
    <w:p>
      <w:pPr>
        <w:spacing w:after="0" w:line="18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Our future success depends on our ability to retain our key executives and to attract, retain and motivate qualified personnel.</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are highly dependent on the principal members of our management and scientific teams. We do not maintain “key person” insurance for any of our executives or other employees. The loss of the services of any of these persons could impede the achievement of our research, development and commercialization objectives.</w:t>
      </w:r>
    </w:p>
    <w:p>
      <w:pPr>
        <w:spacing w:after="0" w:line="20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To encourage valuable employees to remain at our company, in addition to salary and cash incentives, we have provided equity award grants that vest over time. The value to employees of these equity grants that vest over time may be significantly affected by changes in the price of our common stock that are beyond our control, and may at any time be insufficient to retain employees who receive more lucrative offers from other companies. Any of our employees could leave our employment at any time, with or without notice.</w:t>
      </w:r>
    </w:p>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Recruiting and retaining qualified operations, finance and accounting, quality and compliance, scientific, clinical, manufacturing and sales and marketing personnel or consultants will also be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If we are unable to attract, retain and motivate qualified and experienced personnel, it could harm our business, results of operations and financial condition. Even if we are successful in attracting and retaining such personnel, competition for such employees may significantly increase our compensation costs and adversely affect our business, results of operations and financial condition.</w:t>
      </w:r>
    </w:p>
    <w:p>
      <w:pPr>
        <w:spacing w:after="0" w:line="20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loss of the services of any of our executive officers, key employees or consultants could seriously harm our ability to successfully implement our business strategy. Replacing executive officers, key employees or consultants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or consultants on acceptable terms given the competition among numerous pharmaceutical and biotechnology companies for similar personnel.</w:t>
      </w:r>
    </w:p>
    <w:p>
      <w:pPr>
        <w:spacing w:after="0" w:line="20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may hire part-time employees or use consultants. As a result, certain of our employees, officers, directors or consultants may not devote all of their time to our business, and may from time to time serve as employees, officers, directors and consultants of other companies.</w:t>
      </w:r>
    </w:p>
    <w:p>
      <w:pPr>
        <w:spacing w:after="0" w:line="181"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7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Any unplanned event, such as flood, fire, explosion, earthquake, extreme weather condition, medical epidemics, power shortage, telecommunication failure or other natural or manmade accidents or incidents that result in us being unable to fully utilize our facilities, the manufacturing facilities of our third-party contract manufacturers or our or their distribution networks, may have a material and adverse effect on our ability to operate our business, particularly on a daily basis, and have significant negative consequences on our financial and operating conditions. Loss of access to these facilities may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result in increased costs, or interruptions in the commercialization of WAKIX or our business operations.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the manufacturing facilities of our third-party contract manufacturers or our or their distribution networks, or that otherwise disrupted operations, it may be difficult or, in certain cases, impossible, for us to continue our business for a substantial period of time.</w:t>
      </w:r>
    </w:p>
    <w:p>
      <w:pPr>
        <w:spacing w:after="0" w:line="20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8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i w:val="1"/>
          <w:iCs w:val="1"/>
          <w:color w:val="auto"/>
        </w:rPr>
        <w:t>We depend on our information technology systems, and any failure of these systems could harm our business. Any real or perceived security breaches, loss of data, and other disruptions or incidents could compromise the privacy, security, integrity or confidentiality of sensitive information related to our business or prevent us from accessing critical information and expose us to liability and reputational harm, which could adversely affect our business, results of operations and financial condition.</w:t>
      </w:r>
    </w:p>
    <w:p>
      <w:pPr>
        <w:spacing w:after="0" w:line="19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We collect and maintain data and information that is necessary to conduct our business, and we are increasingly dependent on information technology systems and infrastructure to operate our business, including systems infrastructure operated and maintained by our third party suppliers or providers. In the ordinary course of our business, we collect, store and transmit large amounts of confidential information, including intellectual property, proprietary business information and personal information. It is critical that we do so in a secure manner to maintain the privacy, security, confidentiality and integrity of such confidential information. We have established physical, electronic and organizational measures to safeguard and secure our systems and facilities to prevent an information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or unauthorized access or use resulting from computer viruses, malware, natural disasters, terrorism, war, telecommunication and electrical failures, denial-of-service attacks, cyber- attacks or cyber-intrusions over the Internet, hacking, phishing and other social engineering attacks, attachments to emails, persons inside our organization (including employees or contractors), lost or stolen devices, or persons with access to systems inside our organization.</w:t>
      </w:r>
    </w:p>
    <w:p>
      <w:pPr>
        <w:spacing w:after="0" w:line="21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risk of a security breach or disruption or data loss, particularly through social engineering attacks,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The costs to us to mitigate, investigate and respond to potential security incidents, breaches, disruptions,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approval efforts and significantly increase our costs to recover or reproduce the data. Moreover, if a real or perceived security breach affects our systems (or those of our third party providers or suppliers) or results in the loss of or accidental, unlawful or unauthorized access to, use of, release of or other processing of personally identifiable information or clinical trial data, our reputation could be materially damaged. In addition, such a breach may require notification to governmental agencies, the media or individuals pursuant to applicable data privacy and security laws. We would also be exposed to a risk of loss, negative publicity, harm to our reputation, governmental investigation and/or enforcement actions, claims or litigation and potential liability, which could materially adversely affect our business, results of operations and financial condition. The global data protection landscape is rapidly evolving, and we may be affected by or subject to new, amended or existing laws and regulations in the future, including as our operations continue to expand or if we begin to operate in foreign jurisdictions.</w:t>
      </w:r>
    </w:p>
    <w:p>
      <w:pPr>
        <w:spacing w:after="0" w:line="185"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consultants,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19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U.S. federal and state healthcare fraud and abuse laws, data privacy and security laws and other similar non-U.S. laws; or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or misrepresentation of individually identifiable information, including, without limitation,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U.S. federal healthcare programs or healthcare programs in other jurisdictions, integrity oversight and reporting obligations to resolve allegations of non-compliance,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Regulatory Approval and Commercialization</w:t>
      </w:r>
    </w:p>
    <w:p>
      <w:pPr>
        <w:spacing w:after="0" w:line="21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The regulatory approval process of the FDA is costly, lengthy and inherently unpredictable, and if we are ultimately unable to obtain regulatory approval for pitolisant in other potential indications for which we may seek to develop pitolisant, our business will be substantially harmed.</w:t>
      </w:r>
    </w:p>
    <w:p>
      <w:pPr>
        <w:spacing w:after="0" w:line="19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Although the commercialization of WAKIX is our primary focus, as part of our longer-term growth strategy, we plan to evaluate pitolisant in other indications and develop other product candidates. The research, testing, manufacturing, labeling, approval, selling, import, export, pricing and reimbursement marketing and distribution of drug products are subject to extensive regulation by the FDA and other regulatory agencies in the United States. Although we have obtained regulatory approval for WAKIX in the United States for the treatment of EDS or cataplexy in adult patients with narcolepsy, it is possible that we may not obtain regulatory approval for pitolisant for other indications, or for any other product candidates we may seek to develop in the future. We received a Complete Response Letter for pitolisant for the treatment of cataplexy in adult patients with narcolepsy, and therefore the FDA did not approve WAKIX for this indication during the initial NDA review. Subsequently, in June 2020, we received a general advice letter from the FDA stating that the FDA had re-analyzed data</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from the HARMONY 1 trial that we submitted in the NDA in support of the adult cataplexy indication for WAKIX. As a result, the FDA recommended we submit a complete response resubmission in pursuit of the adult cataplexy indication for WAKIX. Following such resubmission, we received acknowledgement from the FDA that it considers the resubmission to be a complete Class 1 response to its August 14, 2019 action letter, and the user fee goal date, or decision date, was October 13, 2020. On October 13, 2020 we received regulatory approval for WAKIX for the treatment of cataplexy in adult patients with narcolepsy. Nevertheless, obtaining regulatory approval of an NDA can be a lengthy, expensive and uncertain process.</w:t>
      </w:r>
    </w:p>
    <w:p>
      <w:pPr>
        <w:spacing w:after="0" w:line="205"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The FDA can delay, limit or deny approval of a drug candidate for many reasons or require us to conduct additional preclinical or clinical testing, including, but not limited to, the following:</w:t>
      </w:r>
    </w:p>
    <w:p>
      <w:pPr>
        <w:spacing w:after="0" w:line="197" w:lineRule="exact"/>
        <w:rPr>
          <w:sz w:val="20"/>
          <w:szCs w:val="20"/>
          <w:color w:val="auto"/>
        </w:rPr>
      </w:pPr>
    </w:p>
    <w:p>
      <w:pPr>
        <w:ind w:left="1000" w:right="140" w:hanging="317"/>
        <w:spacing w:after="0" w:line="246"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drug candidate may not be deemed safe or effective, or the clinical and other benefits may be deemed to not outweigh the candidate’s risks;</w:t>
      </w:r>
    </w:p>
    <w:p>
      <w:pPr>
        <w:spacing w:after="0" w:line="196"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might not approve our trial design and analysis plan;</w:t>
      </w:r>
    </w:p>
    <w:p>
      <w:pPr>
        <w:spacing w:after="0" w:line="225" w:lineRule="exact"/>
        <w:rPr>
          <w:rFonts w:ascii="Arial" w:cs="Arial" w:eastAsia="Arial" w:hAnsi="Arial"/>
          <w:sz w:val="18"/>
          <w:szCs w:val="18"/>
          <w:color w:val="auto"/>
        </w:rPr>
      </w:pPr>
    </w:p>
    <w:p>
      <w:pPr>
        <w:ind w:left="1000" w:right="100" w:hanging="317"/>
        <w:spacing w:after="0" w:line="246"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may not find the data from nonclinical and clinical studies and trials sufficient or may disagree with our interpretation of data from nonclinical or clinical studies;</w:t>
      </w:r>
    </w:p>
    <w:p>
      <w:pPr>
        <w:spacing w:after="0" w:line="196" w:lineRule="exact"/>
        <w:rPr>
          <w:rFonts w:ascii="Arial" w:cs="Arial" w:eastAsia="Arial" w:hAnsi="Arial"/>
          <w:sz w:val="18"/>
          <w:szCs w:val="18"/>
          <w:color w:val="auto"/>
        </w:rPr>
      </w:pPr>
    </w:p>
    <w:p>
      <w:pPr>
        <w:ind w:left="1000" w:right="26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clinical trials or by individuals using drugs similar to our product candidates, or other products containing the active ingredient in our product candidates;</w:t>
      </w:r>
    </w:p>
    <w:p>
      <w:pPr>
        <w:spacing w:after="0" w:line="202" w:lineRule="exact"/>
        <w:rPr>
          <w:rFonts w:ascii="Arial" w:cs="Arial" w:eastAsia="Arial" w:hAnsi="Arial"/>
          <w:sz w:val="18"/>
          <w:szCs w:val="18"/>
          <w:color w:val="auto"/>
        </w:rPr>
      </w:pPr>
    </w:p>
    <w:p>
      <w:pPr>
        <w:ind w:left="1000" w:right="260" w:hanging="317"/>
        <w:spacing w:after="0" w:line="246"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inspection(s) by the FDA or other regulatory authorities may result in unacceptable findings that could negatively impact approval of pitolisant;</w:t>
      </w:r>
    </w:p>
    <w:p>
      <w:pPr>
        <w:spacing w:after="0" w:line="196"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might not accept or deem acceptable a third-party manufacturers’ processes or facilities; or</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may change its approval policies or adopt new regulations.</w:t>
      </w:r>
    </w:p>
    <w:p>
      <w:pPr>
        <w:spacing w:after="0" w:line="22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Prior to obtaining approval to commercialize a drug candidate in the United States, we or our collaborators must demonstrate with substantial evidence from well-controlled clinical trials, and to the satisfaction of the FDA, that such drug candidates are safe and effective for their intended uses. The number of nonclinical and clinical studies and trials that will be required for FDA approval varies depending on the drug candidate, the disease or condition that the drug candidate is designed to address, and the regulations applicable to any particular drug candidate. In addition, data obtained from preclinical trials and clinical trials are susceptible to varying interpretations, and regulatory authorities may not interpret our data as favorably as we do, which may further delay, limit or prevent development efforts, clinical trials or marketing approval. Furthermore, as more competing drug candidates within a particular class of drugs proceed through clinical development to regulatory review and approval, the amount and type of clinical data that may be required by regulatory authorities may increase or change. Even if we believe the preclinical or clinical data for our product candidates are promising, such data may not be sufficient to support approval by the FDA and other regulatory authorities. If pitolisant fails to demonstrate safety and efficacy in clinical trials or does not gain regulatory approval for other indications, our business and results of operations will be materially and adversely harmed. Additionally, if the FDA requires that we conduct additional clinical trials, places limitations on pitolisant in our label, delays approval to market pitolisant or limits the use of pitolisant, our business and results of operations may be harmed.</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If we fail to obtain and sustain an adequate level of coverage and reimbursement for WAKIX and other product candidates by third-party payors, sales would be adversely affected.</w:t>
      </w:r>
    </w:p>
    <w:p>
      <w:pPr>
        <w:spacing w:after="0" w:line="17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Successful sales of WAKIX and any other product candidates that may receive regulatory approval depend on the availability of coverage and adequate reimbursement from third-party payors. Patients who are prescribed medications for the treatment of their conditions generally rely on third- party payors to reimburse all or part of the costs associated with their prescription drugs. There is significant uncertainty related to third-party payor coverage and reimbursement of newly approved drugs. Regulatory approvals, pricing and reimbursement for new drug products vary widely from country to country. In the United States, the principal decisions about reimbursement for new medicines are typically made by CMS, an agency within HHS. CMS decides whether and to what extent a new medicine will be covered and reimbursed under Medicare. Private payors tend to follow CMS to a substantial degree. Commercial third-party payors, such as private health insurers and health maintenance organizations, also decide which medications they will pay for and establish reimbursement levels, though commercial third-party payors often follow CMS’ reimbursement determinations. The availability of coverage and the extent of reimbursement by governmental and private payors is essential for most patients to be able to afford treatments. Sales of WAKIX or other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Coverage and reimbursement by a third-party payor may depend upon a number of factors, including the third-party payor’s determination that use of a product is:</w:t>
      </w:r>
    </w:p>
    <w:p>
      <w:pPr>
        <w:spacing w:after="0" w:line="197" w:lineRule="exact"/>
        <w:rPr>
          <w:sz w:val="20"/>
          <w:szCs w:val="20"/>
          <w:color w:val="auto"/>
        </w:rPr>
      </w:pPr>
    </w:p>
    <w:p>
      <w:pPr>
        <w:ind w:left="1000" w:hanging="3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cannot be sure that reimbursement will be available for WAKIX and, if coverage and reimbursement are available, what the level of reimbursement will be.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20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Obtaining coverage and reimbursement approval for a product from a government or other third- party payor can be an expensive and time-consuming process that could require us to provide supporting scientific, clinical and cost effectiveness data for the use of our products to the payor. The industry competition to be included in third-party payors’ drug formularies, or lists of medications for which third- party payors provide coverage and reimbursement, often leads to downward pricing pressures on pharmaceutical products. In addition, third-party payors may refuse to include a particular branded drug in their formularies or otherwise restrict patient access through formulary controls or otherwise to a branded drug when a less costly generic equivalent or other alternative is available.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In addition, many pharmaceutical manufacturers must calculate and report certain price reporting metrics to the government, such as average manufacture price and best price. Penalties may apply in some cases when such metrics are not submitted accurately and timely. We cannot be sure that reimbursement will be available for any product candidate that we commercialize and, if reimbursement is available, the level of reimbursement.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addition,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w:t>
      </w:r>
    </w:p>
    <w:p>
      <w:pPr>
        <w:spacing w:after="0" w:line="20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United States.</w:t>
      </w:r>
    </w:p>
    <w:p>
      <w:pPr>
        <w:spacing w:after="0" w:line="20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While we have obtained coverage for WAKIX from certain third-party payors, the resulting reimbursement payment rates might not be adequate or may require co-payments that patients find unacceptably high. Patients are unlikely to use WAKIX unless coverage is provided and reimbursement is adequate to cover a significant portion of the cost of WAKIX.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 We may suffer loss of corporate reputation due to industry-wide legislative or public scrutiny of our pricing decisions and practices within an increasingly price-sensitive environment.</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Despite obtaining formulary approval from certain third-party payors, sometimes with prior authorization or other formulary restrictions and requirements, including documented failure or inadequate response to alternative treatments, we expect to experience pricing pressures in connection with the sale of WAKIX due to the trend toward cost containment, managed healthcare, the increasing influence of health maintenance organizations and additional legislative changes. Large public and private payors, managed care organizations, group purchasing organizations and similar organizations are exerting increasing influence on decisions regarding the use of, and reimbursement levels for, particular treatments. Such third-party payors, including Medicare, are questioning the coverage of, and challenging the prices charged for medical products and services, and many third- party payors limit coverage of, or reimbursement for, newly approved health care products.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WAKIX.</w:t>
      </w:r>
    </w:p>
    <w:p>
      <w:pPr>
        <w:spacing w:after="0" w:line="20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These cost-control initiatives could decrease the price we have established for WAKIX, which could result in product revenues being lower than anticipated. The pricing, coverage and reimbursement of WAKIX must be adequate to support a commercial infrastructure. If the price for WAKIX decreases or if governmental and other third-party payors do not provide adequate coverage and reimbursement levels, our revenue, gross margins and prospects for profitability will suffer.</w:t>
      </w:r>
    </w:p>
    <w:p>
      <w:pPr>
        <w:spacing w:after="0" w:line="20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While we have not taken any steps to attain regulatory or patent approvals in any specific markets outside of the United States, we plan to explore obtaining additional licensing rights from Bioprojet to expand into international markets with WAKIX</w:t>
      </w:r>
      <w:r>
        <w:rPr>
          <w:rFonts w:ascii="Arial" w:cs="Arial" w:eastAsia="Arial" w:hAnsi="Arial"/>
          <w:sz w:val="18"/>
          <w:szCs w:val="18"/>
          <w:b w:val="1"/>
          <w:bCs w:val="1"/>
          <w:color w:val="auto"/>
        </w:rPr>
        <w:t>.</w:t>
      </w:r>
      <w:r>
        <w:rPr>
          <w:rFonts w:ascii="Arial" w:cs="Arial" w:eastAsia="Arial" w:hAnsi="Arial"/>
          <w:sz w:val="18"/>
          <w:szCs w:val="18"/>
          <w:color w:val="auto"/>
        </w:rPr>
        <w:t xml:space="preserve"> Outside the United States, international operations are generally subject to extensive governmental price controls and other market regulations, and we believe the increasing emphasis on cost-containment initiatives in Europe and other countries will likely put pressure on the pricing and usage of medical products.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WAKIX. Accordingly, in markets outside the United States, the reimbursement for WAKIX may be reduced compared with the United States and may be insufficient to generate commercially reasonable revenue and profits.</w:t>
      </w:r>
    </w:p>
    <w:p>
      <w:pPr>
        <w:spacing w:after="0" w:line="18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i w:val="1"/>
          <w:iCs w:val="1"/>
          <w:color w:val="auto"/>
        </w:rPr>
        <w:t>WAKIX has been approved by the FDA for the treatment of EDS in adult patients with narcolepsy, and cataplexy in adult patients with narcolepsy. Regulatory approval is limited by the FDA to the specific indication for which approval has been granted and, unless we seek regulatory approval for additional indications, we will be prohibited from marketing pitolisant for other indications. We may be subject to fines, penalties or injunctions if</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we are determined to have promoted or be promoting the use of pitolisant for unapproved or “off-label” uses, resulting in damage to our reputation and business.</w:t>
      </w:r>
    </w:p>
    <w:p>
      <w:pPr>
        <w:spacing w:after="0" w:line="17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While we received approval for the indications of the treatment of EDS in adult patients with narcolepsy and cataplexy in adult patients with narcolepsy, WAKIX is not indicated to treat any other conditions. We are prohibited from promoting WAKIX for any other indication unless we are granted FDA approval for such indication. The FDA strictly regulates the promotional claims that may be made about prescription products, and WAKIX may not be promoted for uses that are not approved by the FDA as reflected in its approved labeling. If we are not able to obtain FDA approval for any desired future indications for our products and product candidates, our ability to effectively market and sell our products may be reduced and our business may be adversely affected.</w:t>
      </w:r>
    </w:p>
    <w:p>
      <w:pPr>
        <w:spacing w:after="0" w:line="20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that are not specifically approved by the FDA. These “off-label”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biotechnology or pharmaceutical companies on off-label use. If the FDA determines that our promotional activities constitute promotion of an off-label use, it could request that we modify our promotional materials and subject us to FDA regulatory or enforcement actions as well as actions by other agencies, including issuance of warning letters or untitled letters, suspension or withdrawal of an approved product from the market, mandatory or voluntary recalls, civil fines, disgorgement of money, operating restrictions, additional reporting requirements and/or oversight if we become subject to a corporate integrity agreement or similar agreement, injunctions or criminal prosecution, any of which could significantly harm our business.</w:t>
      </w:r>
    </w:p>
    <w:p>
      <w:pPr>
        <w:spacing w:after="0" w:line="181" w:lineRule="exact"/>
        <w:rPr>
          <w:sz w:val="20"/>
          <w:szCs w:val="20"/>
          <w:color w:val="auto"/>
        </w:rPr>
      </w:pPr>
    </w:p>
    <w:p>
      <w:pPr>
        <w:jc w:val="both"/>
        <w:ind w:right="340"/>
        <w:spacing w:after="0" w:line="253" w:lineRule="auto"/>
        <w:rPr>
          <w:sz w:val="20"/>
          <w:szCs w:val="20"/>
          <w:color w:val="auto"/>
        </w:rPr>
      </w:pPr>
      <w:r>
        <w:rPr>
          <w:rFonts w:ascii="Arial" w:cs="Arial" w:eastAsia="Arial" w:hAnsi="Arial"/>
          <w:sz w:val="18"/>
          <w:szCs w:val="18"/>
          <w:b w:val="1"/>
          <w:bCs w:val="1"/>
          <w:i w:val="1"/>
          <w:iCs w:val="1"/>
          <w:color w:val="auto"/>
        </w:rPr>
        <w:t>WAKIX or any of our future product candidates may cause undesirable side effects or have other properties that could delay or prevent their regulatory approval, reduce the commercial attractiveness of a prescribing label or result in significant negative consequences following regulatory approval, if approved.</w:t>
      </w:r>
    </w:p>
    <w:p>
      <w:pPr>
        <w:spacing w:after="0" w:line="19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Clinical trials of WAKIX or other product candidates we may develop could reveal a high and unacceptable incidence and severity of undesirable side effects. Undesirable side effects could adversely affect patient enrollment in clinical studies, cause us or regulatory authorities to interrupt, delay or halt clinical studies or result in the delay, denial or withdrawal of regulatory approval by the FDA or other regulatory authorities. Undesirable or adverse side effects also could result in regulatory authorities mandating a more restrictive prescribing label for the product, which, in turn, could limit the market acceptance of the product even if approved for marketing and commercialization.</w:t>
      </w:r>
    </w:p>
    <w:p>
      <w:pPr>
        <w:spacing w:after="0" w:line="20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Drug-related side effects could result in potential product liability claims. We believe our product liability insurance coverage is sufficient in light of our clinical programs; however, we may not be able to maintain insurance coverage at a reasonable cost or in sufficient amounts or maintain coverage at all to protect us against losses due to liability. A successful product liability claim or series of claims brought against us could cause our stock price to decline and, if judgments exceed our insurance coverage, could adversely affect our results of operations, business and financial condition. In addition, regardless of merit or eventual outcome, product liability claims may result in impairment of our business reputation, significant negative media attention, withdrawal of clinical study participants, costs due to related litigation, distraction of management’s attention from our primary business, initiation of investigations by regulators, substantial monetary awards to patients or other claimants, the inability to commercialize our current product candidate or any future product candidate, product recalls, restrictions on labeling, marketing or promotion, decreased demand for our product candidates, if approved for marketing, and loss of revenue.</w:t>
      </w:r>
    </w:p>
    <w:p>
      <w:pPr>
        <w:spacing w:after="0" w:line="20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Additionally, if we or others later identify undesirable side effects caused by WAKIX, either in the post-marketing setting or in clinical trials in other potential indications for which we develop pitolisant, or in clinical trials for other product candidates, a number of potentially significant negative consequences could result, including but not limited to:</w:t>
      </w:r>
    </w:p>
    <w:p>
      <w:pPr>
        <w:spacing w:after="0" w:line="203" w:lineRule="exact"/>
        <w:rPr>
          <w:sz w:val="20"/>
          <w:szCs w:val="20"/>
          <w:color w:val="auto"/>
        </w:rPr>
      </w:pPr>
    </w:p>
    <w:p>
      <w:pPr>
        <w:ind w:left="1000" w:hanging="31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delay, prevention or withdrawal of approvals by regulatory authorities;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of additional warnings on the prescribing label;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ind w:left="1000" w:right="100" w:hanging="31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of a REMS plan, which could include a medication guide outlining the risks of such side effects for distribution to patients, a communication plan for healthcare providers and/or other elements to assure safe use;</w:t>
      </w:r>
    </w:p>
    <w:p>
      <w:pPr>
        <w:spacing w:after="0" w:line="202" w:lineRule="exact"/>
        <w:rPr>
          <w:rFonts w:ascii="Arial" w:cs="Arial" w:eastAsia="Arial" w:hAnsi="Arial"/>
          <w:sz w:val="18"/>
          <w:szCs w:val="18"/>
          <w:color w:val="auto"/>
        </w:rPr>
      </w:pPr>
    </w:p>
    <w:p>
      <w:pPr>
        <w:ind w:left="1000" w:hanging="31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designation as a controlled substance by the DEA;</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 and the potential to be held liable for harm caused to patients;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adverse effect on our reputation.</w:t>
      </w:r>
    </w:p>
    <w:p>
      <w:pPr>
        <w:spacing w:after="0" w:line="225"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Any of these events could prevent us from achieving or maintaining market acceptance of pitolisant and could significantly harm our business, results of operations, financial condition and prospects.</w:t>
      </w:r>
    </w:p>
    <w:p>
      <w:pPr>
        <w:spacing w:after="0" w:line="175" w:lineRule="exact"/>
        <w:rPr>
          <w:sz w:val="20"/>
          <w:szCs w:val="20"/>
          <w:color w:val="auto"/>
        </w:rPr>
      </w:pPr>
    </w:p>
    <w:p>
      <w:pPr>
        <w:jc w:val="both"/>
        <w:ind w:right="520"/>
        <w:spacing w:after="0" w:line="253" w:lineRule="auto"/>
        <w:rPr>
          <w:sz w:val="20"/>
          <w:szCs w:val="20"/>
          <w:color w:val="auto"/>
        </w:rPr>
      </w:pPr>
      <w:r>
        <w:rPr>
          <w:rFonts w:ascii="Arial" w:cs="Arial" w:eastAsia="Arial" w:hAnsi="Arial"/>
          <w:sz w:val="18"/>
          <w:szCs w:val="18"/>
          <w:b w:val="1"/>
          <w:bCs w:val="1"/>
          <w:i w:val="1"/>
          <w:iCs w:val="1"/>
          <w:color w:val="auto"/>
        </w:rPr>
        <w:t>We have never commercialized a product candidate prior to WAKIX and we may lack the necessary expertise, personnel and resources to successfully commercialize WAKIX or any other potential product candidates that receive regulatory approval on our own or together with collaborators.</w:t>
      </w:r>
    </w:p>
    <w:p>
      <w:pPr>
        <w:spacing w:after="0" w:line="19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WAKIX is our first commercialized product. Prior to this, our operations had been limited to organizing and staffing our company, business planning, raising capital, acquiring the rights to our product candidates and undertaking preclinical studies and clinical trials of our product candidates. We currently have no in-house manufacturing, distribution or supply capabilities. To achieve commercial success of WAKIX or any other product candidate, if approved, we will have to develop our own manufacturing, distribution and supply capabilities or outsource these activities to a third party.</w:t>
      </w:r>
    </w:p>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are early in our commercialization efforts.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or other key global markets. If we are unable to build our own distribution and marketing capabilities or to find suitable partners for the commercialization of our product candidates, we may have difficulties generating revenue from them.</w:t>
      </w:r>
    </w:p>
    <w:p>
      <w:pPr>
        <w:spacing w:after="0" w:line="18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exclusivity before approving generic versions of our products, the sales of our products could be adversely affected.</w:t>
      </w:r>
    </w:p>
    <w:p>
      <w:pPr>
        <w:spacing w:after="0" w:line="19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Once an NDA is approved, the product covered thereby becomes a “reference listed drug” in the FDA’s publication, “Approved Drug Products with Therapeutic Equivalence Evaluations,” commonly known as the Orange Book. Manufacturers may seek approval of generic versions of reference listed drugs through submission of ANDAs in the United States. In support of an ANDA, a generic manufacturer need not conduct clinical trials. Rather, the applicant generally must show that its product has the same active ingredient(s), dosage form, strength, route of administration and conditions of use or labelling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spacing w:after="0" w:line="20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FDA may not approve an ANDA for a generic product until any applicable period of non-patent exclusivity for the reference listed drug has expired. The FDCA provides a period of five years of non-patent exclusivity for a new drug containing a new chemical entity (“NCE”). Specifically, in cases where such exclusivity has been granted, an ANDA may not be submitted to the FDA until the expiration of five years unless the submission is accompanied by a Paragraph IV certification that a patent covering the reference listed drug is either invalid or will not be infringed by the generic product, in which case the applicant may submit its application four years following approval of the reference listed drug.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While we have received five years of NCE exclusivity for WAKIX, manufacturers may seek to launch generic products following the expiration of the applicable exclusivity period we obtain, even if we still have patent protection for our product.</w:t>
      </w:r>
    </w:p>
    <w:p>
      <w:pPr>
        <w:spacing w:after="0" w:line="20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Competition that our products may face from generic versions of our products could materially and adversely affect our future revenue, profitability and cash flows and substantially limit our ability to obtain a return on the investments we have made in those product candidates.</w:t>
      </w:r>
    </w:p>
    <w:p>
      <w:pPr>
        <w:spacing w:after="0" w:line="181"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b w:val="1"/>
          <w:bCs w:val="1"/>
          <w:i w:val="1"/>
          <w:iCs w:val="1"/>
          <w:color w:val="auto"/>
        </w:rPr>
        <w:t>We may incur unexpected costs or experience delays in completing, or ultimately be unable to complete, the development and commercialization of our product candidates.</w:t>
      </w:r>
    </w:p>
    <w:p>
      <w:pPr>
        <w:spacing w:after="0" w:line="17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To obtain the requisite regulatory approvals to commercialize any of our product candidates, we must demonstrate through extensive preclinical studies and clinical trials that our product candidates are safe and effective in humans. Clinical testing is expensive and can take many years to complete, and its outcome is inherently uncertain. Failure can occur at any time during the clinical trial process and our future clinical trial results may not be successful.</w:t>
      </w:r>
    </w:p>
    <w:p>
      <w:pPr>
        <w:spacing w:after="0" w:line="20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may experience delays in completing our clinical trials or preclinical studies and initiating or completing additional clinical trials. We may also experience numerous unforeseen events during our clinical trials that could delay or prevent our ability to receive marketing approval or commercialize the product candidates we develop, including:</w:t>
      </w:r>
    </w:p>
    <w:p>
      <w:pPr>
        <w:spacing w:after="0" w:line="203" w:lineRule="exact"/>
        <w:rPr>
          <w:sz w:val="20"/>
          <w:szCs w:val="20"/>
          <w:color w:val="auto"/>
        </w:rPr>
      </w:pPr>
    </w:p>
    <w:p>
      <w:pPr>
        <w:ind w:left="1000" w:right="400" w:hanging="317"/>
        <w:spacing w:after="0" w:line="246"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regulators, IRBs or other reviewing bodies may not authorize us or our investigators to commence a clinical trial, or to conduct or continue a clinical trial at a prospective or specific trial site;</w:t>
      </w:r>
    </w:p>
    <w:p>
      <w:pPr>
        <w:spacing w:after="0" w:line="196" w:lineRule="exact"/>
        <w:rPr>
          <w:rFonts w:ascii="Arial" w:cs="Arial" w:eastAsia="Arial" w:hAnsi="Arial"/>
          <w:sz w:val="18"/>
          <w:szCs w:val="18"/>
          <w:color w:val="auto"/>
        </w:rPr>
      </w:pPr>
    </w:p>
    <w:p>
      <w:pPr>
        <w:ind w:left="1000" w:right="200" w:hanging="317"/>
        <w:spacing w:after="0" w:line="274"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may not reach agreement on acceptable terms with prospective CROs and clinical trial sites, the terms of which can be subject to extensive negotiation and may vary significantly among different CROs and trial sites;</w:t>
      </w:r>
    </w:p>
    <w:p>
      <w:pPr>
        <w:spacing w:after="0" w:line="174" w:lineRule="exact"/>
        <w:rPr>
          <w:rFonts w:ascii="Arial" w:cs="Arial" w:eastAsia="Arial" w:hAnsi="Arial"/>
          <w:sz w:val="17"/>
          <w:szCs w:val="17"/>
          <w:color w:val="auto"/>
        </w:rPr>
      </w:pPr>
    </w:p>
    <w:p>
      <w:pPr>
        <w:ind w:left="1000" w:right="160" w:hanging="317"/>
        <w:spacing w:after="0" w:line="238"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subjects or patients required for clinical trials of pitolisant in additional indications or any other product candidate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202" w:lineRule="exact"/>
        <w:rPr>
          <w:rFonts w:ascii="Arial" w:cs="Arial" w:eastAsia="Arial" w:hAnsi="Arial"/>
          <w:sz w:val="18"/>
          <w:szCs w:val="18"/>
          <w:color w:val="auto"/>
        </w:rPr>
      </w:pPr>
    </w:p>
    <w:p>
      <w:pPr>
        <w:jc w:val="both"/>
        <w:ind w:left="1000" w:right="60" w:hanging="31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third-party contractors, including those manufacturing our product candidates or conducting clinical trials on our behalf, may fail to comply with regulatory requirements or meet their contractual obligations to us in a timely manner, or at all;</w:t>
      </w:r>
    </w:p>
    <w:p>
      <w:pPr>
        <w:spacing w:after="0" w:line="202" w:lineRule="exact"/>
        <w:rPr>
          <w:rFonts w:ascii="Arial" w:cs="Arial" w:eastAsia="Arial" w:hAnsi="Arial"/>
          <w:sz w:val="18"/>
          <w:szCs w:val="18"/>
          <w:color w:val="auto"/>
        </w:rPr>
      </w:pPr>
    </w:p>
    <w:p>
      <w:pPr>
        <w:ind w:left="1000" w:right="60" w:hanging="31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have to amend clinical trial protocols submitted to regulatory authorities or conduct additional studies to reflect changes in regulatory requirements or guidance, which we may be required to resubmit to an IRB and regulatory authorities for re-examination;</w:t>
      </w:r>
    </w:p>
    <w:p>
      <w:pPr>
        <w:spacing w:after="0" w:line="202" w:lineRule="exact"/>
        <w:rPr>
          <w:rFonts w:ascii="Arial" w:cs="Arial" w:eastAsia="Arial" w:hAnsi="Arial"/>
          <w:sz w:val="18"/>
          <w:szCs w:val="18"/>
          <w:color w:val="auto"/>
        </w:rPr>
      </w:pPr>
    </w:p>
    <w:p>
      <w:pPr>
        <w:ind w:left="1000" w:right="80" w:hanging="317"/>
        <w:spacing w:after="0" w:line="238"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regulators, IRBs or other reviewing bodies may fail to approve or subsequently find fault with the manufacturing processes or facilities of third-party manufacturers with which we enter into agreement for clinical and commercial supplies, or the supply or quality of pitolisant or any other product candidate or other materials necessary to conduct clinical trials of our product candidates may be insufficient, inadequate or not available at an acceptable cost, or we may experience interruptions in supply; and</w:t>
      </w:r>
    </w:p>
    <w:p>
      <w:pPr>
        <w:spacing w:after="0" w:line="202" w:lineRule="exact"/>
        <w:rPr>
          <w:rFonts w:ascii="Arial" w:cs="Arial" w:eastAsia="Arial" w:hAnsi="Arial"/>
          <w:sz w:val="18"/>
          <w:szCs w:val="18"/>
          <w:color w:val="auto"/>
        </w:rPr>
      </w:pPr>
    </w:p>
    <w:p>
      <w:pPr>
        <w:ind w:left="1000" w:right="440" w:hanging="317"/>
        <w:spacing w:after="0" w:line="246"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or the applicable foreign regulatory agencies to significantly change in a manner rendering our clinical data insufficient for approval.</w:t>
      </w:r>
    </w:p>
    <w:p>
      <w:pPr>
        <w:spacing w:after="0" w:line="19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Regulators, IRBs of the institutions in which clinical trials are being conducted or data monitoring committees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Negative or inconclusive results from our ongoing clinical trials of pitolisant for the treatment of narcolepsy, or any other clinical trial or preclinical studies in animals that we conduct, could mandate repeated or additional clinical trials and could result in changes to or delays in clinical trials in other indications. We do not know whether any clinical trials that we may conduct will demonstrate adequate efficacy and safety to result in regulatory approval to market pitolisant for our initial or potential additional indications, or any other product candidate. If later stage clinical trials do not produce favorable results, our ability to obtain regulatory approval for pitolisant for initial or potential additional indications, or any other product candidate, may be adversely impacted.</w:t>
      </w:r>
    </w:p>
    <w:p>
      <w:pPr>
        <w:spacing w:after="0" w:line="20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Our failure to successfully initiate and complete clinical trials of pitolisant for potential additional indications or any other product candidate and to demonstrate the efficacy and safety necessary to obtain regulatory approval to market pitolisant or any other product candidate would significantly harm our business. Our product candidate development costs will also increase if we experience delays in testing or regulatory approvals and we may be required to obtain additional funds to complete clinical trials. We cannot assure you that our clinical trials will begin as planned or be completed on schedule, if at all, or that we will not need to restructure our trials after they have begun.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clinical trials may ultimately lead to the denial of regulatory approval of pitolisant or any other product candidate.</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addition, prior to our acquisition of the rights to pitolisant, we had no involvement with or control over the nonclinical or clinical development of pitolisant. Additionally, pursuant to our collaboration agreement with Bioprojet, we will rely on data generated by Bioprojet in connection with seeking regulatory approval of pitolisant in the territories in which we have rights to develop and commercialize pitolisant. We are dependent on Bioprojet having conducted such research and development in accordance with the applicable protocols and legal, regulatory and scientific standards, having accurately reported the results of all clinical trials and other research they conducted prior to our acquisition of the rights to pitolisant, having correctly collected and interpreted the data from these trials and other research, and having supplied us with complete information, data sets and reports required to adequately demonstrate the results reported through the date of our acquisition of these assets. Problems related to predecessors could result in increased costs and delays in the development of pitolisant for additional indications, which could adversely affect our ability to generate any future revenue from sales of pitolisant, if approved for additional indications.</w:t>
      </w:r>
    </w:p>
    <w:p>
      <w:pPr>
        <w:spacing w:after="0" w:line="18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9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From time to time, we may publicly disclose interim, “topline” or preliminary data from our clinical trials, which is based on a preliminary analysis of then-available topline data, and the results and related findings and conclusions are subject to change following completion of the study or a full analyses of all data related to the particular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spacing w:after="0" w:line="20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 reached, our ability to obtain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approval for and commercialize our product candidates, our business, operating results, prospects or financial condition may be harmed.</w:t>
      </w:r>
    </w:p>
    <w:p>
      <w:pPr>
        <w:spacing w:after="0" w:line="175"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17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may encounter delays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 Patient enrollment and retention in clinical trials depends on many factors, including the size of the patient population, the nature of the trial protocol, our ability to recruit clinical trial investigators with the appropriate competencies and experience,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our ability to obtain and maintain patient consents, and the risk that patients enrolled in clinical trials will drop out of the trials before completion.</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Furthermore, any negative results or new safety signals we or third parties may report in clinical trials of our product candidates may make it difficult or impossible to recruit and retain patients in our clinical trials. Similarly, negative results reported by our competitors about their drug candidates may negatively affect patient recruitment in our clinical trials. In addition, marketing authorization of competitors in this same class of drugs may impair our ability to enroll patients into our clinical trials, delaying or potentially preventing us from completing recruitment of one or more of our trials. Delays or failures in planned patient enrollment or retention may result in increased costs, program delays or both, which could have a harmful effect on our ability to develop pitolisant or any future product candidates, or could render further development impossible. In addition, we expect to rely on CROs and clinical trial sites to ensure proper and timely conduct of our future clinical trials, and, while we intend to enter into agreements governing their services, we will be limited in our ability to compel their actual performance.</w:t>
      </w:r>
    </w:p>
    <w:p>
      <w:pPr>
        <w:spacing w:after="0" w:line="18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Even though the FDA granted orphan drug designation to pitolisant for the treatment of narcolepsy, we may not be able to obtain or maintain orphan drug marketing exclusivity for this product candidate or any other product candidates.</w:t>
      </w:r>
    </w:p>
    <w:p>
      <w:pPr>
        <w:spacing w:after="0" w:line="19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annually in the United States. Pitolisant was granted orphan drug designation for the treatment of narcolepsy in 2010. Generally,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drug for the same indication for that time period. Under the FDA’s regulations, the FDA will deny orphan drug exclusivity to a designated drug upon approval if the FDA has already approved another drug with the same active ingredient for the same indication, unless the drug is demonstrated to be clinically superior to the previously approved drug. The applicable exclusivity period is seven years in the United States. Orphan drug exclusivity in the United States may be unavailable where the indication for which the product candidate is approved is broader than the orphan-designated indication, or is otherwise different from the orphan-designated indication. For example, the FDA granted orphan drug designation for pitolisant for the treatment of narcolepsy. Even if we obtain orphan drug exclusivity for a drug candidate, that exclusivity may not effectively protect the candidate from competition. WAKIX may face additional competition because different drugs with a different active moiety can still be approved for the same condition. Even after an approved drug is granted orphan exclusivity, exclusivity may be lost if the FDA later determines that the request for designation was materially defective or if we are unable to assure sufficient quantities of the drug to meet the needs of patients with the rare disease or condition following approval. In addition, the FDA can subsequently approve products with the same active moiety for the same condition if the FDA concludes that the later drug is safer, more effective, or makes a major contribution to patient care. There have been legal challenges to aspects of the FDA’s regulations and policies concerning the exclusivity provisions of the Orphan Drug Act, and future challenges could lead to changes that affect the protections afforded our product candidates in ways that are difficult to predict.</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On August 3, 2017, Congress passed the FDA Reauthorization Act of 2017 (“FDARA”). FDARA, among other things, codified the FDA’s pre-existing regulatory interpretation, to require that a drug sponsor demonstrate the clinical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superiority of an orphan drug that is otherwise the same as a previously approved drug for the same rare disease or condition in order to receive orphan drug exclusivity.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80"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i w:val="1"/>
          <w:iCs w:val="1"/>
          <w:color w:val="auto"/>
        </w:rPr>
        <w:t>We are subject to ongoing regulatory obligations and continued regulatory review with respect to WAKIX, which will result in significant additional expense. Additionally, WAKIX could be subject to labeling and other restrictions and market withdrawal, and we may be subject to penalties if we fail to comply with regulatory requirements or experience unanticipated problems with WAKIX.</w:t>
      </w:r>
    </w:p>
    <w:p>
      <w:pPr>
        <w:spacing w:after="0" w:line="19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WAKIX is subject to extensive and ongoing regulatory requirements for manufacturing, labeling, packaging, storage, advertising, promotion, sampling, distribution, import, export, record keeping and submission of safety and other post-market information, including both federal and state requirements in the United States. In addition, manufacturers and manufacturers’ facilities are required to comply with extensive FDA requirements, including ensuring that quality control and manufacturing procedures conform to cGMP. As such, we and our contract manufacturers are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20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Our regulatory approval for WAKIX for the treatment of EDS or cataplexy in adult patients with narcolepsy, and any other regulatory approvals we may receive for pitolisant or any future product candidates may be subject to limitations on the approved indicated uses for which the product may be marketed or to the conditions of approval, or contain requirements for potentially costly post-marketing testing, which must comply with applicable GCP regulations. We could also be asked to conduct post marketing clinical studies to verify the safety and efficacy of future product candidates in general or in specific patient subsets. For example, as a part of the regulatory approval for WAKIX for the treatment of EDS in adult patients with narcolepsy, we are required to conduct post-marketing studies in women exposed to pitolisant in pregnancy, including a registry-based observational cohort study to assess maternal, fetal, and infant outcomes of women exposed to pitolisant during pregnancy, and another study of a different design such as a case control study or a retrospective cohort study using electronic medical record data, and a lactation study.</w:t>
      </w:r>
    </w:p>
    <w:p>
      <w:pPr>
        <w:spacing w:after="0" w:line="20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will also be required to report certain adverse events and production problems, if any, to the FDA, and to comply with requirements concerning advertising and promotion for WAKIX. Promotional communications with respect to prescription drugs are subject to a variety of legal and regulatory restrictions and must be consistent with the information in the product’s approved label. As such, we may not promote WAKIX for indications or uses for which it does not have FDA approval. The holder of an approved NDA must submit new or supplemental applications and obtain approval for certain changes to the approved product, product labeling or manufacturing process.</w:t>
      </w:r>
    </w:p>
    <w:p>
      <w:pPr>
        <w:spacing w:after="0" w:line="2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If a regulatory agency discovers previously unknown problems with WAKIX, such as adverse events of unanticipated severity or frequency, or problems with the facility where the product is manufactured, or disagrees with the promotion, marketing, or labeling of a product, the regulatory agency may impose restrictions on the product or us, including requiring withdrawal of the product from the market. If we fail to comply with applicable regulatory requirements, a regulatory agency or enforcement authority may, among other things:</w:t>
      </w:r>
    </w:p>
    <w:p>
      <w:pPr>
        <w:spacing w:after="0" w:line="202" w:lineRule="exact"/>
        <w:rPr>
          <w:sz w:val="20"/>
          <w:szCs w:val="20"/>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 warning or untitled letters;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impose civil or criminal penalties, including product seizures and injunctions;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 or suspend regulatory approval;</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225" w:lineRule="exact"/>
        <w:rPr>
          <w:rFonts w:ascii="Arial" w:cs="Arial" w:eastAsia="Arial" w:hAnsi="Arial"/>
          <w:sz w:val="18"/>
          <w:szCs w:val="18"/>
          <w:color w:val="auto"/>
        </w:rPr>
      </w:pPr>
    </w:p>
    <w:p>
      <w:pPr>
        <w:ind w:left="1000" w:right="1020" w:hanging="317"/>
        <w:spacing w:after="0" w:line="246"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on the manufacturing of our products, or on the labeling or marketing of our products; or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ind w:left="1000" w:hanging="31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 or withdrawal of the products from the market.</w:t>
      </w:r>
    </w:p>
    <w:p>
      <w:pPr>
        <w:spacing w:after="0" w:line="22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from WAKIX or future product candidates. If regulatory sanctions are applied or if regulatory approval is withdrawn, the value of our company and our operating results will be adversely affected. Additionally, if we are unable to generate revenues from the sale of WAKIX or future product candidates, our potential for achieving profitability will be diminished and the capital necessary to fund our operations will be increased.</w:t>
      </w:r>
    </w:p>
    <w:p>
      <w:pPr>
        <w:spacing w:after="0" w:line="20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regulatory requirements and policies may change, and additional government regulations may be enacted for which we may also be required to comply. We cannot predict the likelihood, nature or extent of government regulation that may arise from future legislation or administrative action, either in the United States or in other countries. If we or any future collaboration partner are not able to maintain regulatory compliance, we or such collaboration partner, as applicable, may face government enforcement action and our business will suffer.</w:t>
      </w:r>
    </w:p>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also cannot predict the likelihood, nature or extent of government regulation that may arise from future legislation or administrative or executive action, either in the United States or abroad. The policies of the FDA and of other regulatory authorities may change and additional government regulations may be enacted that could prevent, limit or delay regulatory approval of our product candidates. For example, the results of the 2020 U.S. Presidential election may affect our business and industry. Namely, the Trump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whether or how these executive actions will be implemented, or whether they will be rescinded or replaced under the Biden Administration. The policies and priorities of the Biden Administration are unknown and may materially impact the regulatory framework governing our products. If we are slow or unable to adapt to changes in existing requirements or the adoption of new requirements or policies, or if we are not able to maintain regulatory compliance, we may be subject to enforcement action and we may not achieve or sustain profitability, which would adversely affect our business, prospects, financial condition and results of operations.</w:t>
      </w:r>
    </w:p>
    <w:p>
      <w:pPr>
        <w:spacing w:after="0" w:line="203"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spacing w:after="0" w:line="181" w:lineRule="exact"/>
        <w:rPr>
          <w:sz w:val="20"/>
          <w:szCs w:val="20"/>
          <w:color w:val="auto"/>
        </w:rPr>
      </w:pPr>
    </w:p>
    <w:p>
      <w:pPr>
        <w:ind w:right="640"/>
        <w:spacing w:after="0" w:line="253"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9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federal and state healthcare laws and regulations pertaining to fraud and abuse and patients’ rights. These laws may constrain the business or financial arrangements and relationships through which we conduct our operations, including how we research, market, sell and distribute our product candidates, if approved. The laws that affect our current and future operations include, but are not limited to:</w:t>
      </w:r>
    </w:p>
    <w:p>
      <w:pPr>
        <w:spacing w:after="0" w:line="205" w:lineRule="exact"/>
        <w:rPr>
          <w:sz w:val="20"/>
          <w:szCs w:val="20"/>
          <w:color w:val="auto"/>
        </w:rPr>
      </w:pPr>
    </w:p>
    <w:p>
      <w:pPr>
        <w:ind w:left="1000" w:right="80" w:hanging="317"/>
        <w:spacing w:after="0" w:line="236"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receiving, offering or paying any remuneration (including any kickback, bribe, or certain rebate), directly or indirectly, overtly or covertly, in cash or in kind, in exchange for, or to induce or reward, or in return for, either the referral of an individual for, or the purchase, lease, order or recommendation of, any good, facility, item, or service for which payment may be made, in whole or in part, under any U.S. federal healthcare programs, such as the Medicare and Medicaid programs. This statute has been interpreted to apply to arrangements between pharmaceutical manufacturers on the one hand, and prescribers, purchasers and formulary managers, among others, on the other. A person or entity does not need to have actual knowledge of the statute or specific intent to violate it in order to have committed a violation;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ind w:left="1000" w:right="40" w:hanging="317"/>
        <w:spacing w:after="0" w:line="236"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U.S. federal civil and criminal false claims laws, such as the False Claims Act (“FCA”), which imposes significant penalties and can be enforced by private citizens through civil qui tam actions, and prohibits individuals or entities from, among other things, knowingly presenting, or causing to be presented, to the U.S. federal government, false, fictitious or fraudulent claims for payment of federal funds, and knowingly making, using or causing to be made or used a false record or statement material to a false or fraudulent claim, or from knowingly making a false statement to avoid, decrease or conceal an obligation to pay money to the U.S. federal government. For example, pharmaceutical companies have been prosecuted under the FCA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In addition, the government may assert that a claim including items or services resulting from a violation of the federal Anti-Kickback Statute constitutes a false or fraudulent claim for purposes of the FCA;</w:t>
      </w:r>
    </w:p>
    <w:p>
      <w:pPr>
        <w:spacing w:after="0" w:line="202" w:lineRule="exact"/>
        <w:rPr>
          <w:rFonts w:ascii="Arial" w:cs="Arial" w:eastAsia="Arial" w:hAnsi="Arial"/>
          <w:sz w:val="18"/>
          <w:szCs w:val="18"/>
          <w:color w:val="auto"/>
        </w:rPr>
      </w:pPr>
    </w:p>
    <w:p>
      <w:pPr>
        <w:ind w:left="1000" w:hanging="317"/>
        <w:spacing w:after="0" w:line="238"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204" w:lineRule="exact"/>
        <w:rPr>
          <w:rFonts w:ascii="Arial" w:cs="Arial" w:eastAsia="Arial" w:hAnsi="Arial"/>
          <w:sz w:val="18"/>
          <w:szCs w:val="18"/>
          <w:color w:val="auto"/>
        </w:rPr>
      </w:pPr>
    </w:p>
    <w:p>
      <w:pPr>
        <w:ind w:left="1000" w:right="40" w:hanging="317"/>
        <w:spacing w:after="0" w:line="23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204" w:lineRule="exact"/>
        <w:rPr>
          <w:rFonts w:ascii="Arial" w:cs="Arial" w:eastAsia="Arial" w:hAnsi="Arial"/>
          <w:sz w:val="18"/>
          <w:szCs w:val="18"/>
          <w:color w:val="auto"/>
        </w:rPr>
      </w:pPr>
    </w:p>
    <w:p>
      <w:pPr>
        <w:ind w:left="1000" w:right="100" w:hanging="317"/>
        <w:spacing w:after="0" w:line="246"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196" w:lineRule="exact"/>
        <w:rPr>
          <w:rFonts w:ascii="Arial" w:cs="Arial" w:eastAsia="Arial" w:hAnsi="Arial"/>
          <w:sz w:val="18"/>
          <w:szCs w:val="18"/>
          <w:color w:val="auto"/>
        </w:rPr>
      </w:pPr>
    </w:p>
    <w:p>
      <w:pPr>
        <w:ind w:left="1000" w:right="440" w:hanging="317"/>
        <w:spacing w:after="0" w:line="246"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96" w:lineRule="exact"/>
        <w:rPr>
          <w:rFonts w:ascii="Arial" w:cs="Arial" w:eastAsia="Arial" w:hAnsi="Arial"/>
          <w:sz w:val="18"/>
          <w:szCs w:val="18"/>
          <w:color w:val="auto"/>
        </w:rPr>
      </w:pPr>
    </w:p>
    <w:p>
      <w:pPr>
        <w:jc w:val="both"/>
        <w:ind w:left="1000" w:right="400" w:hanging="31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202" w:lineRule="exact"/>
        <w:rPr>
          <w:rFonts w:ascii="Arial" w:cs="Arial" w:eastAsia="Arial" w:hAnsi="Arial"/>
          <w:sz w:val="18"/>
          <w:szCs w:val="18"/>
          <w:color w:val="auto"/>
        </w:rPr>
      </w:pPr>
    </w:p>
    <w:p>
      <w:pPr>
        <w:jc w:val="both"/>
        <w:ind w:left="1000" w:right="40" w:hanging="31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state anti-kickback and false claims laws which may apply to items or services reimbursed by any third-party payor, including commercial insurers, and may be broader in scope than their federal equivalents;</w:t>
      </w:r>
    </w:p>
    <w:p>
      <w:pPr>
        <w:spacing w:after="0" w:line="202" w:lineRule="exact"/>
        <w:rPr>
          <w:rFonts w:ascii="Arial" w:cs="Arial" w:eastAsia="Arial" w:hAnsi="Arial"/>
          <w:sz w:val="18"/>
          <w:szCs w:val="18"/>
          <w:color w:val="auto"/>
        </w:rPr>
      </w:pPr>
    </w:p>
    <w:p>
      <w:pPr>
        <w:ind w:left="1000" w:right="40" w:hanging="317"/>
        <w:spacing w:after="0" w:line="236"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transparency requirements detailing interactions with and payments to healthcare providers, such as the federal reporting requirements under the Physician Payments Sunshine Act, which requires, among other things, certain manufacturers of drugs, devices, biologics and medical supplies reimbursed under Medicare, Medicaid, or the Children’s Health Insurance Program, with specific exceptions, to report annually to the HHS information related to payments and other transfers of value provided to physicians (defined to include doctors, dentists, optometrists, podiatrists and chiropractors), certain other health care professionals starting January 1, 2022, and teaching hospitals and physician ownership and investment interests, including such ownership and investment interests held by a physician’s immediate family members. Failure to submit required information may result in civil monetary penalties;</w:t>
      </w:r>
    </w:p>
    <w:p>
      <w:pPr>
        <w:spacing w:after="0" w:line="206" w:lineRule="exact"/>
        <w:rPr>
          <w:rFonts w:ascii="Arial" w:cs="Arial" w:eastAsia="Arial" w:hAnsi="Arial"/>
          <w:sz w:val="18"/>
          <w:szCs w:val="18"/>
          <w:color w:val="auto"/>
        </w:rPr>
      </w:pPr>
    </w:p>
    <w:p>
      <w:pPr>
        <w:ind w:left="1000" w:right="160" w:hanging="317"/>
        <w:spacing w:after="0" w:line="23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state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 care providers and other potential referral sources, state laws that require drug manufacturers to file reports relating to pricing information and marketing expenditures, state and local laws requiring the registration of pharmaceutical sales representatives;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ind w:left="1000" w:right="140" w:hanging="317"/>
        <w:spacing w:after="0" w:line="238"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202" w:lineRule="exact"/>
        <w:rPr>
          <w:rFonts w:ascii="Arial" w:cs="Arial" w:eastAsia="Arial" w:hAnsi="Arial"/>
          <w:sz w:val="18"/>
          <w:szCs w:val="18"/>
          <w:color w:val="auto"/>
        </w:rPr>
      </w:pPr>
    </w:p>
    <w:p>
      <w:pPr>
        <w:ind w:left="1000" w:right="20" w:hanging="317"/>
        <w:spacing w:after="0" w:line="246"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similar healthcare laws in the European Union and EEA and other jurisdictions, including reporting requirements detailing interactions with and payments to healthcare providers.</w:t>
      </w:r>
    </w:p>
    <w:p>
      <w:pPr>
        <w:spacing w:after="0" w:line="19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Ensuring that our business operations and current and future arrangements with third parties comply with applicable healthcare laws and regulations will likely be costly. It is possible that governmental authorities will conclude that our business practices, including, without limitation, our patient support and financial assistance programs, do not comply with current or future statutes, regulations, agency guidance or case law involving applicable fraud and abuse or other healthcare laws. If our operations are found to be in violation of any of the laws described above or any other governmental laws and regulations that apply to us, we may be subject to penalties, including civil, administrative and criminal penalties, damages, fines, the curtailment or restructuring of our operations, contractual damages, disgorgement, reputational harm, additional oversight and reporting obligations if we become subject to a corporate integrity agreement or similar agreement to resolve allegations of non-compliance with these laws, the exclusion from participation in federal and state healthcare programs and individual imprisonment, any of which could adversely affect our ability to market pitolisant, if approved, and adversely impact our financial results. Further, defending against any such actions can be costly, time-consuming and may require significant personnel resources.</w:t>
      </w:r>
    </w:p>
    <w:p>
      <w:pPr>
        <w:spacing w:after="0" w:line="20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Therefore, even if we are successful in defending against any such actions that may be brought against us, our business may be impaired. The risk of our being found in violation of these laws is increased by the fact that many of them have not been fully interpreted by the applicable regulatory agencies or the courts, and their provisions are open to a variety of interpretations.</w:t>
      </w:r>
    </w:p>
    <w:p>
      <w:pPr>
        <w:spacing w:after="0" w:line="183" w:lineRule="exact"/>
        <w:rPr>
          <w:sz w:val="20"/>
          <w:szCs w:val="20"/>
          <w:color w:val="auto"/>
        </w:rPr>
      </w:pPr>
    </w:p>
    <w:p>
      <w:pPr>
        <w:ind w:right="560"/>
        <w:spacing w:after="0" w:line="253"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9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20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the California Consumer Privacy Act of 2018 (the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California Privacy Rights Act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20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as amended by HITECH. While we do not believe that we are currently acting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 consuming to defend and could result in adverse publicity that could harm our business.</w:t>
      </w:r>
    </w:p>
    <w:p>
      <w:pPr>
        <w:spacing w:after="0" w:line="20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In Europe, the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In July 2020, the Court of Justice of the European Union (“CJEU”) invalidated the Privacy Shield for purposes of international transfers and imposed further restrictions on the use of standard contractual clauses (“SCCs”).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 new SCCs apply only to the transfer of personal data outside of the EEA and not the UK; the UK’s Information Commissioner’s Office launched a public consultation on its draft revised data transfers mechanisms in August 2021.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Further, from January 1, 2021, companies have to comply with the GDPR and also the UK GDPR, which, together with the amended UK Data Protection Act 2018, retains the GDPR in UK national law. The UK GDPR mirrors the fines under the GDPR, i.e., fines up to the greater of €20 million (£17.5 million) or 4% of global turnover. The relationship between the United Kingdom and the European Union in relation to certain aspects of data protection law remains unclear, and it is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unclear how United Kingdom data protection laws and regulations will develop in the medium to longer term, and how data transfers to and from the United Kingdom will be regulated in the long term.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or extends that decision.</w:t>
      </w:r>
    </w:p>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If we or third-party CMOs, CROs or other contractors or consultants fail to comply with applicable federal, state or local regulatory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84"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b w:val="1"/>
          <w:bCs w:val="1"/>
          <w:i w:val="1"/>
          <w:iCs w:val="1"/>
          <w:color w:val="auto"/>
        </w:rPr>
        <w:t>Clinical practice guidelines and recommendations published by various organizations could have significant influence on the use of WAKIX.</w:t>
      </w:r>
    </w:p>
    <w:p>
      <w:pPr>
        <w:spacing w:after="0" w:line="17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Professional societies, practice management groups, private health and science foundations and organizations involved in various diseases from time to time may publish guidelines or recommendations to the healthcare and patient communities. The recommendations of these groups or organizations may relate to such matters as usage, dosage, route of administration and use of concomitant therapies. Recommendations or guidelines suggesting the reduced use of WAKIX or the use of competitive or alternative products as the standard of care to be followed by patients and healthcare providers could result in decreased use of WAKIX.</w:t>
      </w:r>
    </w:p>
    <w:p>
      <w:pPr>
        <w:spacing w:after="0" w:line="183"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b w:val="1"/>
          <w:bCs w:val="1"/>
          <w:i w:val="1"/>
          <w:iCs w:val="1"/>
          <w:color w:val="auto"/>
        </w:rPr>
        <w:t>Product candidates we develop in the future may be classified as controlled substances, the making, use, sale, importation, exportation and distribution of which are subject to regulation by state, federal and foreign law enforcement and other regulatory agencies.</w:t>
      </w:r>
    </w:p>
    <w:p>
      <w:pPr>
        <w:spacing w:after="0" w:line="19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Product candidates we develop in the future may be classified as controlled substances, which are subject to state, federal and foreign laws and regulations regarding their manufacture, use, sale, importation, exportation and distribution. Controlled substances are regulated under CSA and regulations of the DEA.</w:t>
      </w:r>
    </w:p>
    <w:p>
      <w:pPr>
        <w:spacing w:after="0" w:line="20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w:t>
      </w:r>
    </w:p>
    <w:p>
      <w:pPr>
        <w:spacing w:after="0" w:line="20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Various states also independently regulate controlled substances. Though state controlled substances laws often mirror federal law, because the states are separate jurisdictions, they may separately schedule drugs as well. While some states automatically schedule a drug when the DEA does so, in other states there must be rulemaking or a legislative action. State scheduling may delay commercial sale of any controlled substance drug product for which we obtain federal regulatory approval and adverse scheduling could impair the commercial attractiveness of such product. We or our collaborators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20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For any of our products or product candidates classified as controlled substances, we and our suppliers, manufacturers, contractors, customers and distributors are required to obtain and maintain applicable registrations from state, federal and foreign law enforcement and regulatory agencies and comply with state, federal and foreign laws and regulations regarding the manufacture, use, sale, importation, exportation and distribution of controlled substances. There is a risk that DEA regulations may limit the supply of the compounds used in clinical trials for our product candidates, and, in the case of our approved products, the ability to produce and distribute our products in the volume needed to meet commercial demand.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Regulations associated with controlled substances govern manufacturing, labeling, packaging, testing, dispensing, production and procurement quotas, recordkeeping,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Failure to obtain and maintain required registrations or comply with any applicable regulations could delay or preclude us from developing and commercializing our product candidates containing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any of our approved products or product candidates that are classified as controlled substances.</w:t>
      </w:r>
    </w:p>
    <w:p>
      <w:pPr>
        <w:spacing w:after="0" w:line="18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Enacted and future healthcare legislative changes may increase the difficulty and cost for us to obtain marketing approval for and commercialize our product candidates and affect the prices we may obtain.</w:t>
      </w:r>
    </w:p>
    <w:p>
      <w:pPr>
        <w:spacing w:after="0" w:line="17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the United States, the European Union and other some foreign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products for which we obtain marketing approval.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collectively the ACA, was enacted to broaden access to health insurance, reduce or constrain the growth of healthcare spending, enhance remedies against fraud and abuse, add new transparency requirements for health care and health insurance industries, impose new taxes and fees on the healthcare industry, and impose additional healthcare policy reforms. The law has continued the downward pressure on pharmaceutical pricing, especially under the Medicare program, and increased the industry’s regulatory burdens and operating costs. Among the provisions of the ACA of importance to the pharmaceutical industry and our potential product candidates are the following:</w:t>
      </w:r>
    </w:p>
    <w:p>
      <w:pPr>
        <w:spacing w:after="0" w:line="203" w:lineRule="exact"/>
        <w:rPr>
          <w:sz w:val="20"/>
          <w:szCs w:val="20"/>
          <w:color w:val="auto"/>
        </w:rPr>
      </w:pPr>
    </w:p>
    <w:p>
      <w:pPr>
        <w:ind w:left="1000" w:right="20" w:hanging="31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specified branded prescription drugs and biologic agents (other than those designated as orphan drugs), which is apportioned among these entities according to their market share in certain government healthcare programs;</w:t>
      </w:r>
    </w:p>
    <w:p>
      <w:pPr>
        <w:spacing w:after="0" w:line="202" w:lineRule="exact"/>
        <w:rPr>
          <w:rFonts w:ascii="Arial" w:cs="Arial" w:eastAsia="Arial" w:hAnsi="Arial"/>
          <w:sz w:val="18"/>
          <w:szCs w:val="18"/>
          <w:color w:val="auto"/>
        </w:rPr>
      </w:pPr>
    </w:p>
    <w:p>
      <w:pPr>
        <w:ind w:left="1000" w:right="640" w:hanging="317"/>
        <w:spacing w:after="0" w:line="246"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for branded and generic drugs;</w:t>
      </w:r>
    </w:p>
    <w:p>
      <w:pPr>
        <w:spacing w:after="0" w:line="196" w:lineRule="exact"/>
        <w:rPr>
          <w:rFonts w:ascii="Arial" w:cs="Arial" w:eastAsia="Arial" w:hAnsi="Arial"/>
          <w:sz w:val="18"/>
          <w:szCs w:val="18"/>
          <w:color w:val="auto"/>
        </w:rPr>
      </w:pPr>
    </w:p>
    <w:p>
      <w:pPr>
        <w:ind w:left="1000" w:right="720" w:hanging="317"/>
        <w:spacing w:after="0" w:line="246"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methodology by which rebates owed by manufacturers under the Medicaid Drug Rebate Program are calculated for drugs that are inhaled, infused, instilled, implanted or injected;</w:t>
      </w:r>
    </w:p>
    <w:p>
      <w:pPr>
        <w:spacing w:after="0" w:line="196" w:lineRule="exact"/>
        <w:rPr>
          <w:rFonts w:ascii="Arial" w:cs="Arial" w:eastAsia="Arial" w:hAnsi="Arial"/>
          <w:sz w:val="18"/>
          <w:szCs w:val="18"/>
          <w:color w:val="auto"/>
        </w:rPr>
      </w:pPr>
    </w:p>
    <w:p>
      <w:pPr>
        <w:jc w:val="both"/>
        <w:ind w:left="1000" w:right="100" w:hanging="31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Medicare Part D coverage gap discount program, in which manufacturers must agree to offer 70% point-of-sale discounts off negotiated prices of applicable brand drugs to eligible beneficiaries under their coverage gap period, as a condition for the manufacturer’s outpatient drugs to be covered under Medicare Part D;</w:t>
      </w:r>
    </w:p>
    <w:p>
      <w:pPr>
        <w:spacing w:after="0" w:line="202" w:lineRule="exact"/>
        <w:rPr>
          <w:rFonts w:ascii="Arial" w:cs="Arial" w:eastAsia="Arial" w:hAnsi="Arial"/>
          <w:sz w:val="18"/>
          <w:szCs w:val="18"/>
          <w:color w:val="auto"/>
        </w:rPr>
      </w:pPr>
    </w:p>
    <w:p>
      <w:pPr>
        <w:ind w:left="1000" w:right="60" w:hanging="317"/>
        <w:spacing w:after="0" w:line="246"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196" w:lineRule="exact"/>
        <w:rPr>
          <w:rFonts w:ascii="Arial" w:cs="Arial" w:eastAsia="Arial" w:hAnsi="Arial"/>
          <w:sz w:val="18"/>
          <w:szCs w:val="18"/>
          <w:color w:val="auto"/>
        </w:rPr>
      </w:pPr>
    </w:p>
    <w:p>
      <w:pPr>
        <w:ind w:left="1000" w:right="200" w:hanging="31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202" w:lineRule="exact"/>
        <w:rPr>
          <w:rFonts w:ascii="Arial" w:cs="Arial" w:eastAsia="Arial" w:hAnsi="Arial"/>
          <w:sz w:val="18"/>
          <w:szCs w:val="18"/>
          <w:color w:val="auto"/>
        </w:rPr>
      </w:pPr>
    </w:p>
    <w:p>
      <w:pPr>
        <w:ind w:left="1000" w:hanging="31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5" w:lineRule="exact"/>
        <w:rPr>
          <w:rFonts w:ascii="Arial" w:cs="Arial" w:eastAsia="Arial" w:hAnsi="Arial"/>
          <w:sz w:val="18"/>
          <w:szCs w:val="18"/>
          <w:color w:val="auto"/>
        </w:rPr>
      </w:pPr>
    </w:p>
    <w:p>
      <w:pPr>
        <w:ind w:left="1000" w:right="200" w:hanging="317"/>
        <w:spacing w:after="0" w:line="246"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establishment of a Center for Medicare Innovation at the CMS to test innovative payment and service delivery models to lower Medicare and Medicaid spending, potentially including prescription drug spending; and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ind w:left="1000" w:right="60" w:hanging="317"/>
        <w:spacing w:after="0" w:line="246"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9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Since its enactment, there have been numerous judicial, executive and legislative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20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For example, in August 2011, the Budget Control Act of 2011, among other things, led to aggregate reductions to Medicare payments to providers of 2% per fiscal year, which went into effect in April 2013 and, due to subsequent legislative amendments to the statute, will stay in effect through 2030, with the exception of a temporary suspension from May 1, 2020 through December 31, 2022, unless additional Congressional action is taken. Additionally, in January 2013, the American Taxpayer Relief Act of 2012 was signed into law, which, among other things, reduced Medicare payments to several types of providers, including hospitals and cancer treatment centers, and increased the statute of limitations period in which the government may recover overpayments to providers from three to five years.</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While any proposed measures will require authorization through additional legislation to become effective, the probability of their success is uncertain, particularly in light of the new Presidential administration.</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 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Furthermore, there has been increased interest by third party payors and governmental authorities in reference pricing systems and publication of discounts and list prices. These reforms could reduce the ultimate demand for our commercial products and product candidates, once approved, or put pressure on our product pricing.</w:t>
      </w:r>
    </w:p>
    <w:p>
      <w:pPr>
        <w:spacing w:after="0" w:line="2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In the European Union, similar political, economic and regulatory developments may affect our ability to profitably commercialize our product candidates, if approved. In addition to continuing pressure on prices and cost containment measures, legislative developments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European Union, reimbursement and healthcare payment systems vary significantly by country, and many countries have instituted price ceilings on specific products and therapies.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current or any future product candidates we may develop may lose any regulatory approval that may have been obtained and we may not achieve or sustain profitability.</w:t>
      </w:r>
    </w:p>
    <w:p>
      <w:pPr>
        <w:spacing w:after="0" w:line="180"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that we participate in, we could be subject to additional reimbursement requirements, penalties, sanctions and fines, which could have a material adverse effect on our business, financial condition, results of operations and growth prospects.</w:t>
      </w:r>
    </w:p>
    <w:p>
      <w:pPr>
        <w:spacing w:after="0" w:line="19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We participate in and have certain price reporting obligations to the Medicaid Drug Rebate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we have to report on a monthly and quarterly basis to the CMS, the federal agency that administers the Medicaid Drug Rebate Program. These data include, among other things, the average manufacturer price (“AMP”) and, in the case of innovator products, the best price (“BP”) for each drug which, in general, represents the lowest price available from the manufacturer to any entity in the U.S. in any pricing structure, calculated to include all sales and associated rebates, discounts and other price concessions. We are liable for errors associated with our submission of pricing data and for any overcharging of government payors. For example, failure to submit monthly and/or quarterly AMP and BP data on a timely basis could result in a civil monetary penalty for each day the submission is late beyond the due date. Failure to make necessary disclosures and/or to identify overpayments could result in allegations against us under the Federal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w:t>
      </w:r>
    </w:p>
    <w:p>
      <w:pPr>
        <w:spacing w:after="0" w:line="21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Federal law requires that any company that participates in the Medicaid Drug Rebate Program also participate in the 340B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ACA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based on the average manufacturer price and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or other legislation or regulation could affect our 340B ceiling price calculations and negatively impact our results of operations commercializing pitolisant. In addition, legislation may be introduced that, if passed, would further expand the 340B program to additional covered entities or would require participating manufacturers to agree to provide 340B discounted pricing on drugs used in an inpatient setting.</w:t>
      </w:r>
    </w:p>
    <w:p>
      <w:pPr>
        <w:spacing w:after="0" w:line="21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order to be eligible to have our products that we successfully commercialize paid for with federal funds under the Medicaid program and purchased by certain federal agencies and grantees, we also have to participate in the U.S. Department of Veterans Affairs (“VA”), Federal Supply Schedule (“FSS”) pricing program. As part of this program, we are obligated to make our products available for procurement on an FSS contract under which we must comply with standard government terms and conditions and charge a price that is no higher than the statutory Federal Ceiling Price (“FCP”) to four federal agencies (VA, U.S. Department of Defense (“DOD”), Public Health Service, and U.S. Coast Guard).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antimony laundering laws and regulations. Compliance with these legal standards could impair our ability to compete in domestic markets. We can face criminal liability and other serious consequences for violations, which can harm our business.</w:t>
      </w:r>
    </w:p>
    <w:p>
      <w:pPr>
        <w:spacing w:after="0" w:line="19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United States domestic bribery statute contained in 18 U.S.C. § 201, the United States Travel Act, the USA PATRIOT Act, and other state and national anti-bribery and anti-money laundering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have direct or indirect interactions with officials and employees of government agencies or government- affiliated hospitals, universities, and other organizations. We can be held liable for the corrupt or other illegal activities of our employees, agents, contractors and other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1" w:lineRule="exact"/>
        <w:rPr>
          <w:sz w:val="20"/>
          <w:szCs w:val="20"/>
          <w:color w:val="auto"/>
        </w:rPr>
      </w:pPr>
    </w:p>
    <w:p>
      <w:pPr>
        <w:ind w:right="300"/>
        <w:spacing w:after="0" w:line="244"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20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on March 18, 2020, the FDA announced its intention to temporarily postpone routine surveillance inspections of domestic manufacturing facilities and provided guidance regarding the conduct of clinical trials.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upon closing of this offering and in our operations as a U.S. public company, future government shutdowns or delays could impact our ability to access the public markets and obtain necessary capital in order to properly capitalize and continue our operations.</w:t>
      </w:r>
    </w:p>
    <w:p>
      <w:pPr>
        <w:spacing w:after="0" w:line="19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We will need to obtain FDA approval of any proposed product names, and any failure or delay associated with such approval may adversely affect our business.</w:t>
      </w:r>
    </w:p>
    <w:p>
      <w:pPr>
        <w:spacing w:after="0" w:line="17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Any proprietary name we intend to use for our product candidates will require approval from the FDA regardless of whether we have secured a formal trademark registration from the USPTO. The FDA reviews proposed product names, considering both the potential for the name to lead to medical errors due to confusion with other product names and whether the proposed name is overly fanciful, misleadingly implies unique effectiveness or composition, or contributes to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overstatement of product efficacy, minimization of risk, broadening of product indications or unsubstantiated superiority. If the FDA objects to any of our proposed product names, we may be required to adopt an alternative name for our product candidates. If we adopt an alternative name, we would lose the benefit of our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ind w:right="380"/>
        <w:spacing w:after="0" w:line="301" w:lineRule="auto"/>
        <w:rPr>
          <w:sz w:val="20"/>
          <w:szCs w:val="20"/>
          <w:color w:val="auto"/>
        </w:rPr>
      </w:pPr>
      <w:r>
        <w:rPr>
          <w:rFonts w:ascii="Arial" w:cs="Arial" w:eastAsia="Arial" w:hAnsi="Arial"/>
          <w:sz w:val="17"/>
          <w:szCs w:val="17"/>
          <w:b w:val="1"/>
          <w:bCs w:val="1"/>
          <w:i w:val="1"/>
          <w:iCs w:val="1"/>
          <w:color w:val="auto"/>
        </w:rPr>
        <w:t>If we are unable to obtain and maintain patent protection for our technology and products, or if the scope of the patent protection obtained is not sufficiently broad, we may not be able to compete effectively in our markets.</w:t>
      </w:r>
    </w:p>
    <w:p>
      <w:pPr>
        <w:spacing w:after="0" w:line="15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rely, and will continue to rely, on a combination of patents, trademarks and confidentiality agreements with employees, consultants, collaborators, advisors and other third parties to protect the intellectual property related to our current and future product candidates. Our success depends in large part on our licensor’s ability to obtain and maintain patent protection in the United States with respect to WAKIX and our ability to obtain and maintain patent protection in the United States and any other relevant foreign jurisdictions with respect to any future product candidates that we develop. We seek to ensure that our current and future licensors obtain appropriate patent protection to all product candidates that we license from them. The patent prosecution process is expensive and time- consuming, and we and our licensors may not be able to file and prosecute all necessary or desirable patent applications at a reasonable cost or in a timely manner.</w:t>
      </w:r>
    </w:p>
    <w:p>
      <w:pPr>
        <w:spacing w:after="0" w:line="20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patent portfolio comprises three U.S. patents exclusively licensed to us from Bioprojet. One U.S. patent, No. 8,207,197 has claims directed to a polymorph, i.e. a specific crystalline form, of pitolisant and, methods for preparing that polymorph of pitolisant, which is expected to expire in February 2029 without taking into consideration any possible patent term extension. A second U.S. patent, No. 8,486,497, has claims directed to methods of treating excessive daytime sleepiness by administering pitolisant, which is expected to expire in September 2029 without taking into consideration any possible patent term extension.</w:t>
      </w:r>
    </w:p>
    <w:p>
      <w:pPr>
        <w:spacing w:after="0" w:line="20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patents that we in-license now or the patents and patent applications that we own or in-license in the future may not have patentable claims that protect our current and future product candidates in the relevant jurisdictions where we intend to commercialize such products. There is no assurance that we and our licensor are aware of all potentially relevant prior art relating to future patent applications. As such, the patent examiner may find prior art that can prevent a patent from issuing from a pending patent application. During the patent examination process, we or our licensor may be required to narrow the pending claims to overcome prior art, a process that may limit the scope of patent protection. Even if patents do successfully issue based on our future patent applications, and even if the issued patents cover our current and future product candidates, including their compositions formulation, method of manufacture, and method of use, third parties may challenge our issued patents’ validity, enforceability or scope, which may result in such patents being narrowed, invalidated or held unenforceable. Any successful opposition to these patents or any other patents owned by or licensed to us in the future could deprive us of rights necessary for the successful commercialization of any of our current or future product candidates, if approved. Further, if we encounter delays in regulatory approvals, the period of time during which we could market a product candidate under patent protection could be reduced.</w:t>
      </w:r>
    </w:p>
    <w:p>
      <w:pPr>
        <w:spacing w:after="0" w:line="20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If the patent applications we may own or in-license in the future with respect to our current and future product candidates fail to issue, if their breadth or strength of protection is threatened, or if they fail to provide meaningful exclusivity for any of our current or future product candidates, it could dissuade other companies from collaborating with us to develop future product candidates, and threaten our ability to commercialize our current and future product candidates. Notably, pending patent applications cannot be enforced against third parties practicing the technology claimed in such applications unless and until a patent issues from such applications. Any such outcome could have an adverse effect on our business.</w:t>
      </w:r>
    </w:p>
    <w:p>
      <w:pPr>
        <w:spacing w:after="0" w:line="2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For example, European patent law restricts the patentability of methods of treatment of the human body more than U.S. law does.</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Publications of discoveries in scientific literature often lag behind the actual discoveries, and patent applications in the United States and other jurisdictions are typically not published until 18 months after filing, or in some cases not at all.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20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Patent reform legislation could increase the uncertainties and costs surrounding the prosecution of our patent applications and the enforcement or defense of our issued patents. On September 16, 2011, the Leahy-Smith America Invents Act (the “Leahy-Smith Act”) was signed into law. The Leahy-Smith Act made a number of significant changes to United States patent laws. These include provisions that affect the way patent applications are prosecuted and challenged at the USPTO and may also affect patent litigation. The USPTO has developed and continues to develop new regulations and procedures to govern administration of the Leahy-Smith Act, and many of the substantive changes to patent law associated with the Leahy-Smith Act, and in particular, the first to file provisions, only became effective on March 16, 2013. Accordingly, it remains unclear what impact the Leahy-Smith Act, subsequent rulemaking, and judicial interpretation of the Leahy-Smith Act and regulations will have on the operation of our business. However, the Leahy- Smith Act and its implementation could increase the uncertainties and costs surrounding the prosecution of our patent applications and the enforcement or defense of our issued patents, all of which could have an adverse effect on our business and financial condition. Moreover, future changes to the patent laws of the United States and foreign jurisdictions may adversely affect the term, scope, validity and enforceability of our or our licensor’s patent rights. For example, a new bill (Terminating the Extension of Rights Misappropriated Act, or TERM Act, H.R. 3199) percolating through the United States Congress aims to reduce the term of certain drug patents in order to ease generic entry and increase competition.</w:t>
      </w:r>
    </w:p>
    <w:p>
      <w:pPr>
        <w:spacing w:after="0" w:line="21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inventorship and ownership rights for patents that we in-license or may own or in-license in the future may be challenged by third parties. Such challenges could result in loss of exclusive rights to such patents, which could limit our ability to stop others from using or commercializing similar or identical technology and products, or require us to obtain a license from such third parties on commercially reasonable terms to secure exclusive rights. If any such challenges to inventorship or ownership were asserted, there is no assurance that a court would find in our favor or that, if we choose to seek a license, such license would be available to us on acceptable terms or at all.</w:t>
      </w:r>
    </w:p>
    <w:p>
      <w:pPr>
        <w:spacing w:after="0" w:line="20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Moreover, we may be subject to a third-party pre-issuance submission of prior art to the USPTO or become involved in pre- and post-issuance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whether owned or in-licensed now or in the future, is threatened, it could dissuade companies from collaborating with us to license, develop or commercialize current or future product candidates.</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licensed patents may be challenged in the courts or patent offices in the United States.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Moreover, patents have a limited lifespan. In the United States, the natural expiration of a patent is generally 20 years after the filing of the earliest non-provisional application to which the patent claims priority. Various extensions may be available; however, the life of a patent, and the protection it affords, is limited. We may be required to disclaim a portion of patent term in order to overcome double patenting rejections from the patent office, thus potentially shortening our exclusivity period. 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licensed patent portfolio may not provide us with sufficient rights to exclude others from commercializing products similar or identical to ours.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current and future product candidates.</w:t>
      </w:r>
    </w:p>
    <w:p>
      <w:pPr>
        <w:spacing w:after="0" w:line="19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have licensed certain intellectual property rights covering pitolisant from Bioprojet, and we may license intellectual property rights from others in the future. If, for any reason, our license agreement with Bioprojet or any future licensor is terminated or we otherwise lose the rights associated with a license, it could adversely affect our business. Our license agreement with Bioprojet imposes, and any future collaboration agreements or license agreements we enter into are likely to impose various development, commercialization, funding, milestone, royalty, diligence, sublicensing, insurance, patent prosecution and enforcement or other obligations on us.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having to negotiate new or reinstated licenses on less favorable terms, or enable a competitor to gain access to the licensed technology.</w:t>
      </w:r>
    </w:p>
    <w:p>
      <w:pPr>
        <w:spacing w:after="0" w:line="18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by extending the patent term for our current and future product candidates, our business may be harmed.</w:t>
      </w:r>
    </w:p>
    <w:p>
      <w:pPr>
        <w:spacing w:after="0" w:line="17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commercial success will largely depend on our licensor’s ability to obtain and maintain patent and other intellectual property in the United States for pitolisant, and our target indications, and our ability to maintain obtain and maintain patent and other intellectual property in the United States for any product candidates. Given the amount of time required for the development, testing and regulatory review of new product candidates, patents protecting product candidates might expire before or shortly after such candidates begin to be commercialized. We expect to seek extensions of patent terms in the United States.</w:t>
      </w:r>
    </w:p>
    <w:p>
      <w:pPr>
        <w:spacing w:after="0" w:line="20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Depending upon the timing, duration and specifics of FDA marketing approval of our current and future product candidates, one or more of our U.S. patents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drug development and the FDA regulatory review process, which is limited to the approved indication (or any additional indications approved during the period of extension). This extension is limited to only one patent that covers the approved product, the approved use of the product, or a method of manufacturing the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w:t>
      </w:r>
    </w:p>
    <w:p>
      <w:pPr>
        <w:spacing w:after="0" w:line="20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If we or our licensor are unable to extend the expiration date of our or their existing patents or obtain new patents with longer expiry dates, as applicable,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w:t>
      </w:r>
    </w:p>
    <w:p>
      <w:pPr>
        <w:spacing w:after="0" w:line="183"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The validity, scope and enforceability of any patents listed in the Orange Book that cover our current and future product candidates can be challenged by third parties.</w:t>
      </w:r>
    </w:p>
    <w:p>
      <w:pPr>
        <w:spacing w:after="0" w:line="17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One or more third parties may challenge the current patents, or future patents within our portfolio, which could result in the invalidation of, or render unenforceable, some or all of the relevant patent claims or a finding of non-infringement. For example, if a third party files an ANDA for a generic drug containing pitolisant, and relies in whole or in part on studies conducted by or for us, the third party will be required to certify to the FDA that either: (1) there is no patent information listed in the FDA’s Orange Book with respect to our NDA for the applicable approved product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 party’s generic drug. A certification that the new drug will not infringe the Orange Book-listed patents for the applicable approved product candidate, or that such patents are invalid, is called a paragraph IV certification. If the third party submits a paragraph IV certification to the FDA, a notice of the paragraph IV certification must also be sent to us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once the third party’s ANDA is accepted for filing by the FDA. We may then initiate a lawsuit to defend the patents identified in the notice. The filing of a patent infringement lawsuit within 45 days of receipt of the notice automatically prevents the FDA from approving the third party’s ANDA until the earliest of 30 months or the date on which the patent expires, the lawsuit is settled, or the court reaches a decision in the infringement lawsuit in favor of the third party. If we do not file a patent infringement lawsuit within the required 45-day period, the third party’s ANDA will not be subject to the 30-month stay of FDA approval.</w:t>
      </w:r>
    </w:p>
    <w:p>
      <w:pPr>
        <w:spacing w:after="0" w:line="2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Moreover, a third party may challenge the current patents, or future patents within our portfolio, which could result in the invalidation of some or all of the patents that might otherwise be eligible for listing in the Orange Book for one of our products. If a third party successfully challenges all of the patents that might otherwise be eligible for listing in the Orange Book for one of our products, we will not be entitled to the 30-month stay of FDA approval upon the filing of an ANDA for a generic drug containing, for example, pitolisant, and relies in whole or in part on studies conducted by or for us.</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Litigation or other proceedings to enforce or defend intellectual property rights are often very complex in nature, may be very expensive and time-consuming, may divert our management’s attention from our core business, and may result in unfavorable results that could limit our ability to prevent third parties from competing with our current and future product candidates.</w:t>
      </w:r>
    </w:p>
    <w:p>
      <w:pPr>
        <w:spacing w:after="0" w:line="183" w:lineRule="exact"/>
        <w:rPr>
          <w:sz w:val="20"/>
          <w:szCs w:val="20"/>
          <w:color w:val="auto"/>
        </w:rPr>
      </w:pPr>
    </w:p>
    <w:p>
      <w:pPr>
        <w:jc w:val="both"/>
        <w:ind w:right="64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9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Periodic maintenance fees on any issued patent are due to be paid to the USPTO and other foreign patent agencies in several stages over the lifetime of the patent.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 -payment of fees and failure to properly legalize and submit formal documents. If we or our licensors fail to maintain patents and patent applications, whether owned or in-licensed now or in the future, covering any of our current or future product candidates, our competitors might be able to enter the market, which would have an adverse effect on our business.</w:t>
      </w:r>
    </w:p>
    <w:p>
      <w:pPr>
        <w:spacing w:after="0" w:line="18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We may need to acquire or license intellectual property from third parties, and such licenses may not be available or may not be available on commercially reasonable terms.</w:t>
      </w:r>
    </w:p>
    <w:p>
      <w:pPr>
        <w:spacing w:after="0" w:line="17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 third party may hold intellectual property, including patent rights that are important or necessary to the development of our current and future product candidates. It may be necessary for us to use the patented or proprietary technology of one or more third parties to commercialize our current and future product candidates. If we are unable to acquire such intellectual property outright, or obtain licenses to such intellectual property from such third parties when needed or on commercially reasonable terms, our ability to commercialize our current and future product candidates, if approved, would likely be delayed.</w:t>
      </w:r>
    </w:p>
    <w:p>
      <w:pPr>
        <w:spacing w:after="0" w:line="20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risks described elsewhere pertaining to our intellectual property rights also apply to the intellectual property rights that we in-license, and any failure by us or our licensors to obtain, maintain, defend and enforce these rights could have an adverse effect on our business. In some cases we may not have control over the prosecution, maintenance or enforcement of the patents that we license, and may not have sufficient ability to provide input into the patent prosecution, maintenance and defense process with respect to such patents, and our licensors may fail to take the steps that we believe are necessary or desirable in order to obtain, maintain, defend and enforce the licensed patents.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i w:val="1"/>
          <w:iCs w:val="1"/>
          <w:color w:val="auto"/>
        </w:rPr>
        <w:t>Third-party claims or litigation alleging infringement of patents or other proprietary rights, or seeking to invalidate patents or other proprietary rights, may delay or prevent the development and commercialization of any of our current or future product candidates.</w:t>
      </w:r>
    </w:p>
    <w:p>
      <w:pPr>
        <w:spacing w:after="0" w:line="19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Our commercial success depends in part on our avoiding infringement and other violations of the patents and proprietary rights of third parties. There is a substantial amount of litigation, both within and outside the United States, involving patent and other intellectual property rights in the pharmaceutical and biotechnology industries, including patent infringement lawsuits, interferences, derivation and administrative law proceedings, inter partes review and post-grant review before the USPTO, as well as oppositions and similar processes in foreign jurisdictions. Numerous United States and foreign issued patents and pending patent applications, which are owned by third parties, exist in the fields in which we are or may in the future be developing product candidates. As the biotechnology and pharmaceutical industries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w:t>
      </w:r>
    </w:p>
    <w:p>
      <w:pPr>
        <w:spacing w:after="0" w:line="20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Third parties may assert that we are infringing their patents or employing their proprietary technology without authorization.</w:t>
      </w:r>
    </w:p>
    <w:p>
      <w:pPr>
        <w:spacing w:after="0" w:line="19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There may be third-party patents or patent applications with claims to materials, formulations, methods of manufacture or methods for treatment related to the use or manufacture of our current and future product candidates. Because patent applications can take many years to issue, there may be currently pending patent applications that may later result in issued patents that our current and future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current and future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 was to be held by a court of competent jurisdiction to cover aspects of our formulations, processes for manufacture or methods of use, including combination therapy, the holders of any such patent may be able to block our ability to develop and commercialize the applicable product candidate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further develop and commercialize our current and future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current and future product candidates, and we have done so from time to time. We may fail to obtain any of these licenses at a reasonable cost or on reasonable terms, if at all. In that event, we would be unable to further develop and commercialize our current and future product candidates, which could harm our business significantly. Claims that we have misappropriated the confidential information or trade secrets of third parties could have a similar negative impact on our business.</w:t>
      </w:r>
    </w:p>
    <w:p>
      <w:pPr>
        <w:spacing w:after="0" w:line="20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cannot provide any assurances that third-party patents do not exist which might be enforced against our current and future product candidates, resulting in either an injunction prohibiting our sales, or, with respect to our sales, an obligation on our part to pay royalties or other forms of compensation to third parties.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7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product candidate in any jurisdiction.</w:t>
      </w:r>
    </w:p>
    <w:p>
      <w:pPr>
        <w:spacing w:after="0" w:line="20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It is possible that we and our current and future licensors will fail to identify patentable aspects of research and development output before it is too late to obtain patent protection. The patent applications that we may own or in-license in the future may fail to result in issued patents with claims that cover our current and future product candidates. We and our current and future licensors may also inadvertently make statements to regulatory agencies during the regulatory approval process that may be inconsistent with positions that have been taken during prosecution of the patent applications, which may result in such patents being narrowed, invalidated or held unenforceable.</w:t>
      </w:r>
    </w:p>
    <w:p>
      <w:pPr>
        <w:spacing w:after="0" w:line="20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affect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affect our ability to develop and market our products.</w:t>
      </w:r>
    </w:p>
    <w:p>
      <w:pPr>
        <w:spacing w:after="0" w:line="181"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the patents of our licensors or our other intellectual property rights, which could be expensive, time consuming and unsuccessful.</w:t>
      </w:r>
    </w:p>
    <w:p>
      <w:pPr>
        <w:spacing w:after="0" w:line="17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Competitors may infringe or otherwise violate the patents of our licensor or our other intellectual property rights. To counter infringement or unauthorized use, we may be required to file legal claims, which can be expensive and time-consuming. In addition, in an infringement proceeding, a court may decide that an asserted patent is not valid or is unenforceable, or may refuse to stop the other party from using the technology at issue on the grounds that the asserted patent does not cover the technology in question. An adverse result in any litigation or defense proceedings could put one or more of asserted patents at risk of being invalidated or interpreted narrowly and could put a related patent application at risk of not issuing. The initiation of a claim against a third party may also cause the third party to bring counter claims against us such as claims asserting that our patents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post-grant review, or oppositions or similar proceedings outside the United States,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may license in the future,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may not be able to detect or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shares.</w:t>
      </w:r>
    </w:p>
    <w:p>
      <w:pPr>
        <w:spacing w:after="0" w:line="181"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b w:val="1"/>
          <w:bCs w:val="1"/>
          <w:i w:val="1"/>
          <w:iCs w:val="1"/>
          <w:color w:val="auto"/>
        </w:rPr>
        <w:t>Because of the expense and uncertainty of litigation, we may not be in a position to enforce our intellectual property rights against third parties.</w:t>
      </w:r>
    </w:p>
    <w:p>
      <w:pPr>
        <w:spacing w:after="0" w:line="17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Because of the expense and uncertainty of litigation, we may conclude that even if a third party is infringing our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180"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17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United States has recently enacted and implemented wide-ranging patent reform legislation. The U.S. Supreme Court and the U.S. Court of Appeals for the Federal Circuit have issued numerous precedential opinions in recent years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20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w:t>
      </w:r>
    </w:p>
    <w:p>
      <w:pPr>
        <w:spacing w:after="0" w:line="18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17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employ individuals who were previously employed at other biotechnology or pharmaceutical companies.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w:t>
      </w:r>
    </w:p>
    <w:p>
      <w:pPr>
        <w:spacing w:after="0" w:line="20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 executing or may be breached, and we may be forced to bring claims against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third parties, or defend claims they may bring against us, to determine the ownership of what we regard as our intellectual property.</w:t>
      </w:r>
    </w:p>
    <w:p>
      <w:pPr>
        <w:spacing w:after="0" w:line="19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If we or our licensors fail in prosecuting or defending any such claims, in addition to paying monetary damages, we may lose valuable intellectual property rights or personnel. Even if we and our licensors are successful in prosecuting or defending against such claims, litigation could result in substantial costs and be a distraction to management.</w:t>
      </w:r>
    </w:p>
    <w:p>
      <w:pPr>
        <w:spacing w:after="0" w:line="18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Any trademarks we have obtained or may obtain may be infringed or be successfully challenged, resulting in harm to our business.</w:t>
      </w:r>
    </w:p>
    <w:p>
      <w:pPr>
        <w:spacing w:after="0" w:line="17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expect to rely on trademarks as one means to distinguish any of our current and future product candidates that are approved for marketing from the products of our competitors. For example, we are marketing pitolisant for the treatment of EDS or cataplexy in adult patients with narcolepsy under the brand name WAKIX, which we have licensed from Bioprojet. We may design or create new trademarks and apply to register them, our trademark applications may not be approved in the United States or any relevant foreign jurisdiction.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our trademarks and we may not have adequate resources to enforce our trademarks. If we attempt to enforce our trademarks and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2"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b w:val="1"/>
          <w:bCs w:val="1"/>
          <w:i w:val="1"/>
          <w:iCs w:val="1"/>
          <w:color w:val="auto"/>
        </w:rPr>
        <w:t>We no longer qualify as an “emerging growth company” and will be required to comply with certain provisions of the Sarbanes-Oxley Act. We can no longer take advantage of reduced disclosure requirements applicable to emerging growth companies.</w:t>
      </w:r>
    </w:p>
    <w:p>
      <w:pPr>
        <w:spacing w:after="0" w:line="19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Based on the market value of our common stock held by non-affiliates as of June 30, 2021, we no longer qualify as an “emerging growth company” as defined in the Jumpstart Our Business Startups Act (the “JOBS Act”), as of December 31, 2021. As a result, we may incur additional and increasing costs to comply with our reporting and other obligations that we had not historically incurred due to our status as an emerging growth company or as a smaller reporting company. These costs include (i) being required to comply with the auditor attestation requirements of Section 404, (ii) increased disclosure obligations regarding executive compensation in our periodic reports and proxy statements, and (iii) requirements of holding a nonbinding advisory vote on executive compensation and stockholder approval of any golden parachute payments not previously approved. These additional obligations will require us to dedicate internal resources, engage outside consultants, and adopt a detailed work plan to assess and document the adequacy of internal controls over financial reporting, continue steps to improve control processes, as appropriate, validate through testing that controls are functioning as documented, and implement a continuous reporting and improvement process for internal controls over financial reporting.</w:t>
      </w:r>
    </w:p>
    <w:p>
      <w:pPr>
        <w:spacing w:after="0" w:line="18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Our directors, officers and principal stockholders beneficially own a significant percentage of our stock and will be able to exert significant control over matters subject to stockholder approval.</w:t>
      </w:r>
    </w:p>
    <w:p>
      <w:pPr>
        <w:spacing w:after="0" w:line="17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As of December 31, 2021, our directors, officers, five percent or greater stockholders, and their respective affiliates beneficially owned in the aggregate approximately 71% of our outstanding voting stock. As a result,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and approval of any merger, sale of assets or other major corporate transaction. This may prevent or discourage unsolicited acquisition proposals or offers for our common stock that you may feel are in your best interest as one of our stockholders</w:t>
      </w:r>
      <w:r>
        <w:rPr>
          <w:rFonts w:ascii="Arial" w:cs="Arial" w:eastAsia="Arial" w:hAnsi="Arial"/>
          <w:sz w:val="18"/>
          <w:szCs w:val="18"/>
          <w:i w:val="1"/>
          <w:iCs w:val="1"/>
          <w:color w:val="auto"/>
        </w:rPr>
        <w:t>.</w:t>
      </w:r>
    </w:p>
    <w:p>
      <w:pPr>
        <w:spacing w:after="0" w:line="181"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Future sales of our common stock in the public market, including sales by our directors, officers, or significant shareholders, could cause our share price to fall.</w:t>
      </w:r>
    </w:p>
    <w:p>
      <w:pPr>
        <w:spacing w:after="0" w:line="176"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sale of additional equity securities. Certain holders of our common stock are entitled to rights with respect to registration of such shares under the Securities Act pursuant to a registration rights agreement between such holders and us. If such holders, by exercising their registration rights, sell a large number of shares, they could adversely affect the market price for our common stock. Subject to compliance with applicable securities laws, our officers, directors and other shareholders and their respective affiliates may sell some or all of their common shares in the future. No prediction can be made as to the effect, if any, such future sales will have on the market price of the common shares prevailing from time to time.</w:t>
      </w:r>
    </w:p>
    <w:p>
      <w:pPr>
        <w:spacing w:after="0" w:line="18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research about our business, our stock price and trading volume could decline.</w:t>
      </w:r>
    </w:p>
    <w:p>
      <w:pPr>
        <w:spacing w:after="0" w:line="17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operating results do not meet the expectations of the investor community, one or more of the analysts who cover our company may change their recommendations regarding our company, and our stock price could decline.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fluctuate significantly.</w:t>
      </w:r>
    </w:p>
    <w:p>
      <w:pPr>
        <w:spacing w:after="0" w:line="23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We expect our operating results to be subject to quarterly fluctuations. Our net income and other operating results will be affected by numerous factors, including:</w:t>
      </w:r>
    </w:p>
    <w:p>
      <w:pPr>
        <w:spacing w:after="0" w:line="197" w:lineRule="exact"/>
        <w:rPr>
          <w:sz w:val="20"/>
          <w:szCs w:val="20"/>
          <w:color w:val="auto"/>
        </w:rPr>
      </w:pPr>
    </w:p>
    <w:p>
      <w:pPr>
        <w:ind w:left="1000" w:hanging="31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development programs;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addition or termination of clinical trials;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intellectual property infringement lawsuit in which we may become involved;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developments affecting pitolisant;</w:t>
      </w:r>
    </w:p>
    <w:p>
      <w:pPr>
        <w:spacing w:after="0" w:line="225" w:lineRule="exact"/>
        <w:rPr>
          <w:rFonts w:ascii="Arial" w:cs="Arial" w:eastAsia="Arial" w:hAnsi="Arial"/>
          <w:sz w:val="18"/>
          <w:szCs w:val="18"/>
          <w:color w:val="auto"/>
        </w:rPr>
      </w:pPr>
    </w:p>
    <w:p>
      <w:pPr>
        <w:ind w:left="1000" w:right="80" w:hanging="317"/>
        <w:spacing w:after="0" w:line="246"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execution of any collaborative, licensing or similar arrangements, and the timing of payments we may make or receive under these arrangements;</w:t>
      </w:r>
    </w:p>
    <w:p>
      <w:pPr>
        <w:spacing w:after="0" w:line="196" w:lineRule="exact"/>
        <w:rPr>
          <w:rFonts w:ascii="Arial" w:cs="Arial" w:eastAsia="Arial" w:hAnsi="Arial"/>
          <w:sz w:val="18"/>
          <w:szCs w:val="18"/>
          <w:color w:val="auto"/>
        </w:rPr>
      </w:pPr>
    </w:p>
    <w:p>
      <w:pPr>
        <w:ind w:left="1000" w:right="300" w:hanging="317"/>
        <w:spacing w:after="0" w:line="246"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achievement and timing of milestone payments under our existing collaboration and license agreements; and</w:t>
      </w:r>
    </w:p>
    <w:p>
      <w:pPr>
        <w:spacing w:after="0" w:line="196" w:lineRule="exact"/>
        <w:rPr>
          <w:rFonts w:ascii="Arial" w:cs="Arial" w:eastAsia="Arial" w:hAnsi="Arial"/>
          <w:sz w:val="18"/>
          <w:szCs w:val="18"/>
          <w:color w:val="auto"/>
        </w:rPr>
      </w:pPr>
    </w:p>
    <w:p>
      <w:pPr>
        <w:ind w:left="1000" w:hanging="31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level of underlying demand for WAKIX and customers’ buying patterns.</w:t>
      </w:r>
    </w:p>
    <w:p>
      <w:pPr>
        <w:spacing w:after="0" w:line="22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w:t>
      </w:r>
    </w:p>
    <w:p>
      <w:pPr>
        <w:spacing w:after="0" w:line="181"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our common stock, including pursuant to our equity incentive plans, could result in additional dilution of the percentage ownership of our stockholders and could cause the stock price of our common stock to decline.</w:t>
      </w:r>
    </w:p>
    <w:p>
      <w:pPr>
        <w:spacing w:after="0" w:line="19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future, we may sell common stock, convertible securities or other equity securities in one or more transactions at prices and in a manner we determine from time to time. We also expect to issue common stock to employees, consultants and directors pursuant to our equity incentive plans. If we sell common stock, convertible securities or other equity securities in subsequent transactions, or common stock is issued pursuant to equity incentive plans, investors may be materially diluted. New investors in such subsequent transactions could gain rights, preferences and privileges senior to those of holders of our common stock.</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could delay or prevent a change in control of our company. These provisions could also make it more difficult for stockholders to elect directors and take other corporate actions. These provisions include:</w:t>
      </w:r>
    </w:p>
    <w:p>
      <w:pPr>
        <w:spacing w:after="0" w:line="203" w:lineRule="exact"/>
        <w:rPr>
          <w:sz w:val="20"/>
          <w:szCs w:val="20"/>
          <w:color w:val="auto"/>
        </w:rPr>
      </w:pPr>
    </w:p>
    <w:p>
      <w:pPr>
        <w:ind w:left="1000" w:hanging="31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225" w:lineRule="exact"/>
        <w:rPr>
          <w:rFonts w:ascii="Arial" w:cs="Arial" w:eastAsia="Arial" w:hAnsi="Arial"/>
          <w:sz w:val="18"/>
          <w:szCs w:val="18"/>
          <w:color w:val="auto"/>
        </w:rPr>
      </w:pPr>
    </w:p>
    <w:p>
      <w:pPr>
        <w:ind w:left="1000" w:right="260" w:hanging="317"/>
        <w:spacing w:after="0" w:line="246"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authorizing our board of directors to issue preferred stock with voting or other rights or preferences that could discourage a takeover attempt or delay changes in control;</w:t>
      </w:r>
    </w:p>
    <w:p>
      <w:pPr>
        <w:spacing w:after="0" w:line="196" w:lineRule="exact"/>
        <w:rPr>
          <w:rFonts w:ascii="Arial" w:cs="Arial" w:eastAsia="Arial" w:hAnsi="Arial"/>
          <w:sz w:val="18"/>
          <w:szCs w:val="18"/>
          <w:color w:val="auto"/>
        </w:rPr>
      </w:pPr>
    </w:p>
    <w:p>
      <w:pPr>
        <w:ind w:left="1000" w:hanging="31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225" w:lineRule="exact"/>
        <w:rPr>
          <w:rFonts w:ascii="Arial" w:cs="Arial" w:eastAsia="Arial" w:hAnsi="Arial"/>
          <w:sz w:val="18"/>
          <w:szCs w:val="18"/>
          <w:color w:val="auto"/>
        </w:rPr>
      </w:pPr>
    </w:p>
    <w:p>
      <w:pPr>
        <w:ind w:left="1000" w:right="400" w:hanging="317"/>
        <w:spacing w:after="0" w:line="246"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that vacancies on our board of directors may be filled only by a majority of directors then in office, even though less than a quorum;</w:t>
      </w:r>
    </w:p>
    <w:p>
      <w:pPr>
        <w:spacing w:after="0" w:line="196" w:lineRule="exact"/>
        <w:rPr>
          <w:rFonts w:ascii="Arial" w:cs="Arial" w:eastAsia="Arial" w:hAnsi="Arial"/>
          <w:sz w:val="18"/>
          <w:szCs w:val="18"/>
          <w:color w:val="auto"/>
        </w:rPr>
      </w:pPr>
    </w:p>
    <w:p>
      <w:pPr>
        <w:ind w:left="1000" w:right="620" w:hanging="317"/>
        <w:spacing w:after="0" w:line="238"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prohibiting the adoption, amendment or repeal of our amended and restated bylaws or the repeal of the provisions of our amended and restated certificate of incorporation regarding the election and removal of directors without the required approval of at least 66.67% of the shares entitled to vote at an election of directors;</w:t>
      </w:r>
    </w:p>
    <w:p>
      <w:pPr>
        <w:spacing w:after="0" w:line="204" w:lineRule="exact"/>
        <w:rPr>
          <w:rFonts w:ascii="Arial" w:cs="Arial" w:eastAsia="Arial" w:hAnsi="Arial"/>
          <w:sz w:val="18"/>
          <w:szCs w:val="18"/>
          <w:color w:val="auto"/>
        </w:rPr>
      </w:pPr>
    </w:p>
    <w:p>
      <w:pPr>
        <w:ind w:left="1000" w:hanging="31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w:t>
      </w:r>
    </w:p>
    <w:p>
      <w:pPr>
        <w:spacing w:after="0" w:line="22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0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addition, we are subject to the anti-takeover provisions contained in Section 203 of the Delaware General Corporation Law (the “DGCL”). Under Section 203 of the DGCL,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These and other provisions in our amended and restated certificate of incorporation and our amended and restated bylaws and under Delaware law could discourage potential takeover attempts, reduce the price investors might be willing to pay in the future for shares of our common stock and result in the market price of our common stock being lower than it would be without these provisions.</w:t>
      </w:r>
    </w:p>
    <w:p>
      <w:pPr>
        <w:spacing w:after="0" w:line="183"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96"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w:t>
      </w:r>
    </w:p>
    <w:p>
      <w:pPr>
        <w:spacing w:after="0" w:line="197" w:lineRule="exact"/>
        <w:rPr>
          <w:sz w:val="20"/>
          <w:szCs w:val="20"/>
          <w:color w:val="auto"/>
        </w:rPr>
      </w:pPr>
    </w:p>
    <w:p>
      <w:pPr>
        <w:ind w:left="1000" w:hanging="31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1000" w:right="80" w:hanging="317"/>
        <w:spacing w:after="0" w:line="246"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or other wrongdoing by, any of our current or former directors, officers, employees or our stockholders;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ind w:left="1000" w:right="520" w:hanging="31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(as either may be amended from time to time) or as to which the DGCL confers jurisdiction on the Court of Chancery of the State of Delaware; and</w:t>
      </w:r>
    </w:p>
    <w:p>
      <w:pPr>
        <w:spacing w:after="0" w:line="202" w:lineRule="exact"/>
        <w:rPr>
          <w:rFonts w:ascii="Arial" w:cs="Arial" w:eastAsia="Arial" w:hAnsi="Arial"/>
          <w:sz w:val="18"/>
          <w:szCs w:val="18"/>
          <w:color w:val="auto"/>
        </w:rPr>
      </w:pPr>
    </w:p>
    <w:p>
      <w:pPr>
        <w:ind w:left="1000" w:hanging="31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stockholders are deemed to have notice of and have consented to the provisions of our amended and restated certificate of incorporation related to choice of forum. This exclusive 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the exclusive 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18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76"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97"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In addition, as permitted by Section 145 of the DGCL, our amended and restated bylaws and our indemnification agreements that we have entered into with our directors and officers provide that:</w:t>
      </w:r>
    </w:p>
    <w:p>
      <w:pPr>
        <w:spacing w:after="0" w:line="197" w:lineRule="exact"/>
        <w:rPr>
          <w:sz w:val="20"/>
          <w:szCs w:val="20"/>
          <w:color w:val="auto"/>
        </w:rPr>
      </w:pPr>
    </w:p>
    <w:p>
      <w:pPr>
        <w:ind w:left="1000" w:right="560" w:hanging="317"/>
        <w:spacing w:after="0" w:line="255" w:lineRule="auto"/>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90" w:lineRule="exact"/>
        <w:rPr>
          <w:rFonts w:ascii="Arial" w:cs="Arial" w:eastAsia="Arial" w:hAnsi="Arial"/>
          <w:sz w:val="17"/>
          <w:szCs w:val="17"/>
          <w:color w:val="auto"/>
        </w:rPr>
      </w:pPr>
    </w:p>
    <w:p>
      <w:pPr>
        <w:ind w:left="1000" w:right="360" w:hanging="317"/>
        <w:spacing w:after="0" w:line="246"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96" w:lineRule="exact"/>
        <w:rPr>
          <w:rFonts w:ascii="Arial" w:cs="Arial" w:eastAsia="Arial" w:hAnsi="Arial"/>
          <w:sz w:val="18"/>
          <w:szCs w:val="18"/>
          <w:color w:val="auto"/>
        </w:rPr>
      </w:pPr>
    </w:p>
    <w:p>
      <w:pPr>
        <w:ind w:left="1000" w:right="180" w:hanging="31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202" w:lineRule="exact"/>
        <w:rPr>
          <w:rFonts w:ascii="Arial" w:cs="Arial" w:eastAsia="Arial" w:hAnsi="Arial"/>
          <w:sz w:val="18"/>
          <w:szCs w:val="18"/>
          <w:color w:val="auto"/>
        </w:rPr>
      </w:pPr>
    </w:p>
    <w:p>
      <w:pPr>
        <w:jc w:val="both"/>
        <w:ind w:left="1000" w:right="340" w:hanging="31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202" w:lineRule="exact"/>
        <w:rPr>
          <w:rFonts w:ascii="Arial" w:cs="Arial" w:eastAsia="Arial" w:hAnsi="Arial"/>
          <w:sz w:val="18"/>
          <w:szCs w:val="18"/>
          <w:color w:val="auto"/>
        </w:rPr>
      </w:pPr>
    </w:p>
    <w:p>
      <w:pPr>
        <w:ind w:left="1000" w:right="140" w:hanging="31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202" w:lineRule="exact"/>
        <w:rPr>
          <w:rFonts w:ascii="Arial" w:cs="Arial" w:eastAsia="Arial" w:hAnsi="Arial"/>
          <w:sz w:val="18"/>
          <w:szCs w:val="18"/>
          <w:color w:val="auto"/>
        </w:rPr>
      </w:pPr>
    </w:p>
    <w:p>
      <w:pPr>
        <w:ind w:left="1000" w:right="480" w:hanging="317"/>
        <w:spacing w:after="0" w:line="246"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3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do not own any real property. Our corporate headquarters are located in Plymouth Meeting, Pennsylvania. In December 2020, we leased additional office space at this same location, which increased our footprint to approximately 28,638 square feet of space pursuant to a lease that expires in 2024. We believe that our facilities are suitable to meet our current needs.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The results of any current or future litigation cannot be predicted with certainty, and regardless of the outcome, litigation can have an adverse impact on us because of defense and settlement costs, diversion of management resources and other factors. We do not believe that we have any pending litigation that, individually or in the aggregate, would have a material adverse effect on our results of operations, financial condition or cash flows.</w:t>
      </w:r>
    </w:p>
    <w:p>
      <w:pPr>
        <w:spacing w:after="0" w:line="180" w:lineRule="exact"/>
        <w:rPr>
          <w:sz w:val="20"/>
          <w:szCs w:val="20"/>
          <w:color w:val="auto"/>
        </w:rPr>
      </w:pPr>
    </w:p>
    <w:p>
      <w:pPr>
        <w:jc w:val="center"/>
        <w:ind w:right="7180"/>
        <w:spacing w:after="0"/>
        <w:rPr>
          <w:sz w:val="20"/>
          <w:szCs w:val="20"/>
          <w:color w:val="auto"/>
        </w:rPr>
      </w:pPr>
      <w:r>
        <w:rPr>
          <w:rFonts w:ascii="Arial" w:cs="Arial" w:eastAsia="Arial" w:hAnsi="Arial"/>
          <w:sz w:val="17"/>
          <w:szCs w:val="17"/>
          <w:b w:val="1"/>
          <w:bCs w:val="1"/>
          <w:color w:val="auto"/>
        </w:rPr>
        <w:t>Item 4. Mine Safety Disclosures.</w:t>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Market Information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began trading on the Nasdaq Global Market under the symbol “HRMY” on August 19, 2020.</w:t>
      </w:r>
    </w:p>
    <w:p>
      <w:pPr>
        <w:spacing w:after="0"/>
        <w:rPr>
          <w:sz w:val="20"/>
          <w:szCs w:val="20"/>
          <w:color w:val="auto"/>
        </w:rPr>
      </w:pPr>
      <w:r>
        <w:rPr>
          <w:rFonts w:ascii="Arial" w:cs="Arial" w:eastAsia="Arial" w:hAnsi="Arial"/>
          <w:sz w:val="18"/>
          <w:szCs w:val="18"/>
          <w:color w:val="auto"/>
        </w:rPr>
        <w:t>Prior to that date, there was no public trading market for our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As of February 25, 2022, we had 53 holders of record of our common stock. Because many of our shares of common stock are held by brokers and other institutions on behalf of shareholders, we are unable to estimate the total number of beneficial owners of our common stock represented by these 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34"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The following graph shows a comparison of the total cumulative shareholder returns of an investment of $100 in cash from August 19, 2020, the day we began trading, through December 31, 2021 in (i) our common stock, (ii) the Nasdaq Biotechnology Index, and (iii) the Nasdaq Composite Index. The shareholder returns in the graph below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130810</wp:posOffset>
            </wp:positionV>
            <wp:extent cx="4183380" cy="24599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18338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and to repay future indebtedness, if any, and therefore we do not anticipate declaring or paying any cash dividends on our common stock in the foreseeable future. Any future determination as to the declaration and payment of dividends, if any, will be at the discretion of our board of directors, subject to compliance with contractual restrictions and covenants in the agreements governing our current and future indebtedness. Any such determination will also depend upon our business prospects, results of operations, financial condition, cash requirements and availability, industry trends and other factors that our board of directors may deem relevant.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3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 August 2020, we completed the IPO of our common stock, in which we issued and sold 6,151,162 shares, including 802,325 shares pursuant to the underwriters’ over-allotment option at a price of $24.00 per share for an aggregate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price of approximately $147.6 million. The offer and sale of the shares in our IPO was registered under the Securities Act pursuant to a registration statement on Form S-1 (File No. 333-240122), which was declared effective by the SEC on August 18, 2020 (the “Registration Statement”). We raised approximately $135.4 million, after deducting underwriting discounts and commissions and offering expenses of approximately $12.2 million. None of these expenses consisted of direct or indirect payments made by us to (i) our directors, officers or their associates, (ii) persons owning 10% or more of our common stock or (iii) to our affiliates. There has been no material change in the planned use of proceeds from our IPO as described in the Prospectus. Net proceeds from our IPO have been invested in short-term, interest-bearing, investment grade securities.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Unless otherwise stated, the sales of the above securities were deemed to be exempt from registration under the Securities Act in reliance upon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6" w:lineRule="exact"/>
        <w:rPr>
          <w:sz w:val="20"/>
          <w:szCs w:val="20"/>
          <w:color w:val="auto"/>
        </w:rPr>
      </w:pPr>
    </w:p>
    <w:p>
      <w:pPr>
        <w:ind w:right="260" w:firstLine="648"/>
        <w:spacing w:after="0" w:line="242"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“Risk Factors” and in other parts of this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are a commercial-stage, rare disease pharmaceutical company focused on developing and commercializing innovative therapies for patients living with rare neurological diseases who have unmet medical needs. Our product, WAKIX (pitolisant), is a first-in-class molecule with a novel mechanism of action (“MOA”) specifically designed to increase histamine signaling in the brain by binding to H</w:t>
      </w:r>
      <w:r>
        <w:rPr>
          <w:rFonts w:ascii="Arial" w:cs="Arial" w:eastAsia="Arial" w:hAnsi="Arial"/>
          <w:sz w:val="13"/>
          <w:szCs w:val="13"/>
          <w:color w:val="auto"/>
        </w:rPr>
        <w:t>3</w:t>
      </w:r>
      <w:r>
        <w:rPr>
          <w:rFonts w:ascii="Arial" w:cs="Arial" w:eastAsia="Arial" w:hAnsi="Arial"/>
          <w:sz w:val="18"/>
          <w:szCs w:val="18"/>
          <w:color w:val="auto"/>
        </w:rPr>
        <w:t xml:space="preserve"> receptors. In August 2019, WAKIX was approved by the U.S. Food and Drug Administration (the “FDA”) for the treatment of excessive daytime sleepiness (“EDS”) in adult patients with narcolepsy, and its U.S. commercial launch was initiated in November 2019. On October 13, 2020, WAKIX was approved by the FDA for the treatment of cataplexy in adult patients with narcolepsy. WAKIX is the first-and-only approved product for patients with narcolepsy that is not scheduled as a controlled substance by the Drug Enforcement Administration (the “DEA”).</w:t>
      </w:r>
    </w:p>
    <w:p>
      <w:pPr>
        <w:spacing w:after="0" w:line="20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are currently pursuing label expansion for WAKIX in narcolepsy in pediatric patients and have engaged with the FDA in pursuit of pediatric exclusivity. Our strategic partner, Bioprojet is evaluating pitolisant in pediatric patients with narcolepsy and has completed a Phase 3 trial. We will be working with Bioprojet to assess the data from the Phase 3 trial to inform how best to advance the pediatric narcolepsy program. We believe that our strategic decision to assess this data first before advancing the pediatric program is the most prudent and thoughtful path forward from a development and financial perspective. In the meantime, we are continuing to evaluate regulatory strategies with regard to obtaining pediatric exclusivity. We anticipate providing an update on the path forward later this year.</w:t>
      </w:r>
    </w:p>
    <w:p>
      <w:pPr>
        <w:spacing w:after="0" w:line="203" w:lineRule="exact"/>
        <w:rPr>
          <w:sz w:val="20"/>
          <w:szCs w:val="20"/>
          <w:color w:val="auto"/>
        </w:rPr>
      </w:pPr>
    </w:p>
    <w:p>
      <w:pPr>
        <w:jc w:val="both"/>
        <w:ind w:firstLine="648"/>
        <w:spacing w:after="0" w:line="204" w:lineRule="auto"/>
        <w:rPr>
          <w:sz w:val="20"/>
          <w:szCs w:val="20"/>
          <w:color w:val="auto"/>
        </w:rPr>
      </w:pPr>
      <w:r>
        <w:rPr>
          <w:rFonts w:ascii="Arial" w:cs="Arial" w:eastAsia="Arial" w:hAnsi="Arial"/>
          <w:sz w:val="18"/>
          <w:szCs w:val="18"/>
          <w:color w:val="auto"/>
        </w:rPr>
        <w:t>We believe that pitolisant’s ability to regulate histamine gives it the potential to provide therapeutic benefit in other rare neurological diseases that are mediated through H</w:t>
      </w:r>
      <w:r>
        <w:rPr>
          <w:rFonts w:ascii="Arial" w:cs="Arial" w:eastAsia="Arial" w:hAnsi="Arial"/>
          <w:sz w:val="26"/>
          <w:szCs w:val="26"/>
          <w:color w:val="auto"/>
          <w:vertAlign w:val="subscript"/>
        </w:rPr>
        <w:t>3</w:t>
      </w:r>
      <w:r>
        <w:rPr>
          <w:rFonts w:ascii="Arial" w:cs="Arial" w:eastAsia="Arial" w:hAnsi="Arial"/>
          <w:sz w:val="18"/>
          <w:szCs w:val="18"/>
          <w:color w:val="auto"/>
        </w:rPr>
        <w:t xml:space="preserve"> receptors and histamine signaling. Beyond narcolepsy, we are</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initially focusing on the treatment of EDS associated with Prader-Willi Syndrome (“PWS”) and myotonic dystrophy, otherwise known as dystrophia myotonica (“DM”). We opened an investigational new drug application (“IND”) for pitolisant for the treatment of PWS in November 2019, completed a Phase 1 PK clinical trial in pediatric patients with PWS in December of 2019, then initiated a long-term, open-label safety trial in those patients who participated in the Phase 1 PK trial. In December 2020, we initiated a Phase 2 clinical proof of concept trial to evaluate pitolisant for the treatment of EDS and other key symptoms in patients with PWS and anticipate topline results from this trial in the second half of 2022. In June 2021, we initiated a Phase 2 clinical trial to evaluate pitolisant for the treatment of EDS, fatigue and cognitive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dysfunction in adult patients with DM1 and anticipate topline results in 2023. In addition to these potential indications, we opened an IND for pitolisant for the treatment of idiopathic hypersomnia (“IH”) in November 2021 and plan to initiate a Phase 3 trial in adult patients with IH in the first half of 2022.</w:t>
      </w:r>
    </w:p>
    <w:p>
      <w:pPr>
        <w:spacing w:after="0" w:line="20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also seek to expand our pipeline through the acquisition of additional assets that focus on addressing the unmet needs of patients with rare neurological diseases and are targeting assets that will allow us to further leverage the expertise and infrastructure that we have successfully built at Harmony so we can optimize the benefit of internal synergies. Consistent with this objective, on August 4, 2021, we acquired HBS-102, a Melanin-concentrating hormone receptor 1 (MCHR1) antagonist previously developed as CSTI-100/ALB-127258(a)/ALB-127258 (the “Compound”), along with intellectual property and other assets related to the development, manufacture, and commercialization of the Compound from ConSynance Therapeutics, Inc. In connection with the acquisition, we made an upfront payment of $3.5 million and will be required to make certain payments upon the achievement of certain development milestones, regulatory milestones, and sales milestones and pay ongoing royalties upon commercialization. We acquired full development and commercialization rights globally, but we have provided a grant-back license to ConSynance for the development and commercialization of the Compound in Greater China. We are currently assessing potential clinical targets for HBS-102 which will inform our development strategy going forward.</w:t>
      </w:r>
    </w:p>
    <w:p>
      <w:pPr>
        <w:spacing w:after="0" w:line="20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Pitolisant was developed by Bioprojet and approved by the European Medicines Agency (“EMA”) in 2016 for the treatment of narcolepsy in adult patients with or without cataplexy. We acquired an exclusive license to develop, manufacture and commercialize pitolisant in the United States pursuant to our license agreement with Bioprojet (as amended, the “Bioprojet License Agreement”) in July 2017. See “Part I—Item 1. Business.—Strategic Agreement—License and Commercialization Agreement with Bioprojet” for further information regarding the Bioprojet License Agreement. Pitolisant was granted Orphan Drug Designation for the treatment of narcolepsy by the FDA in 2010. It received Breakthrough Therapy designation for the treatment of cataplexy in patients with narcolepsy and Fast Track status for the treatment of EDS and cataplexy in patients with narcolepsy in April 2018.</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Our operating subsidiary, Harmony Biosciences, LLC, was formed in May 2017. We were formed in July 2017 as Harmony Biosciences II, LLC, a Delaware limited liability company, and we converted to a Delaware corporation named Harmony Biosciences II, Inc. in September 2017. In February 2020, we changed our name to Harmony Biosciences Holdings, Inc. Our operations to date have consisted of building and staffing our organization, acquiring the rights to pitolisant, raising capital, opening an IND for pitolisant in narcolepsy, conducting an Expanded Access Program (“EAP”) for pitolisant for appropriate patients with narcolepsy in the United States, preparing and submitting our NDA for pitolisant, gaining NDA approval for WAKIX for the treatment of EDS or cataplexy in adult patients with narcolepsy, and launching and commercializing WAKIX in the United States. In addition, we have opened INDs for development programs in PWS, DM and IH and have initiated clinical trials in PWS and DM in pursuit of potential new indications in those rare disease patient populations. We also plan to initiate a Phase 3 trial in IH in the first half of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August 2020, we completed the initial public offering (“IPO”) of our common stock, in which we sold 6,151,162 shares, including 802,325 shares pursuant to the underwriters’ over-allotment option. The shares were sold at an IPO price of $24.00 per share for net proceeds of approximately $135.4 million, after deducting underwriting discounts and commissions and offering expenses of approximately $12.2 million. Upon the closing of the IPO, all outstanding shares of our convertible preferred stock were automatically converted into shares of common stock and the accrued dividend payable to holders of the convertible preferred stock was paid out in shares of common stock, resulting in a total of 42,926,630 shares of common stock being issued to former holders of our convertible preferred stock, and warrants exercisable for convertible preferred stock were automatically converted into warrants exercisable for a total of 410,239 shares of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Launch Metrics</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As of December 31, 2021, we continue to see growth in unique healthcare professional (“HCP”) prescribers of WAKIX since it became available in November 2019. The average number of patients on WAKIX at the end of 2021 was approximately 3,800. Additionally, as of December 31, 2021, we have secured formulary access for approximately 80% of all insured lives (Commercial, Medicare and Medicaid) in the United States. Within these covered lives, we have observed favorable access to WAKIX subsequent to the expanded approval of WAKIX for the treatment of cataplexy in adult patients with narcolepsy in October 2020.</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Business Update</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During the COVID-19 pandemic, we developed a response strategy that included establishing cross-functional response teams and implementing business continuity plans to manage the impact of the pandemic on our employees, patients, HCPs, and our business.</w:t>
      </w:r>
    </w:p>
    <w:p>
      <w:pPr>
        <w:spacing w:after="0" w:line="20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Despite our response strategy, the COVID-19 pandemic has had an effect on our business and the pharmaceutical industry in general. Although the pandemic has impacted the way stakeholders interact with one another, we have leveraged technology and virtual engagement initiatives to offset our reduced in-person access to HCPs. The COVID-19 pandemic also led to high unemployment and corresponding loss of medical insurance for many patients, caused a change in relationship dynamics between patients and their HCPs, and impacted the way patients took, or did not take, their medication. As a result, we were not able to adequately gauge our growth rate and believe that our growth may be adversely impacted in the future if there is a reemergence or future outbreak of COVID-19, including any COVID-19 variant.</w:t>
      </w:r>
    </w:p>
    <w:p>
      <w:pPr>
        <w:spacing w:after="0" w:line="20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We intend to maintain meaningful engagement, generate awareness and educate our patients, HCPs and payors to support our commercial launch performance.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Commercialization</w:t>
      </w:r>
    </w:p>
    <w:p>
      <w:pPr>
        <w:spacing w:after="0" w:line="234" w:lineRule="exact"/>
        <w:rPr>
          <w:sz w:val="20"/>
          <w:szCs w:val="20"/>
          <w:color w:val="auto"/>
        </w:rPr>
      </w:pPr>
    </w:p>
    <w:p>
      <w:pPr>
        <w:jc w:val="both"/>
        <w:ind w:right="20" w:firstLine="648"/>
        <w:spacing w:after="0" w:line="234" w:lineRule="auto"/>
        <w:rPr>
          <w:sz w:val="20"/>
          <w:szCs w:val="20"/>
          <w:color w:val="auto"/>
        </w:rPr>
      </w:pPr>
      <w:r>
        <w:rPr>
          <w:rFonts w:ascii="Arial" w:cs="Arial" w:eastAsia="Arial" w:hAnsi="Arial"/>
          <w:sz w:val="18"/>
          <w:szCs w:val="18"/>
          <w:color w:val="auto"/>
        </w:rPr>
        <w:t>With respect to our commercialization activities, we believe the COVID-19 pandemic has put pressure on top-line prescription demand for WAKIX, primarily due to (i) our field sales team’s reduced ability to access HCPs in person, and</w:t>
      </w:r>
    </w:p>
    <w:p>
      <w:pPr>
        <w:spacing w:after="0" w:line="1" w:lineRule="exact"/>
        <w:rPr>
          <w:sz w:val="20"/>
          <w:szCs w:val="20"/>
          <w:color w:val="auto"/>
        </w:rPr>
      </w:pPr>
    </w:p>
    <w:p>
      <w:pPr>
        <w:jc w:val="both"/>
        <w:ind w:firstLine="8"/>
        <w:spacing w:after="0" w:line="236" w:lineRule="auto"/>
        <w:tabs>
          <w:tab w:leader="none" w:pos="278"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fewer patients seeing HCPs for prescriptions or treatments. The impact on demand for WAKIX may have also been related to a reduced ability of prescribers to diagnose narcolepsy patients given the limitations in access to sleep testing, the reduced ability to see patients due to (i) cancelled appointments and (ii) the reprioritization of healthcare resources toward the treatment of COVID-19, both of which lead to fewer prescriptions. Despite these challenges, we continued to engage and educate HCPs virtually on the overall benefit/risk profile of WAKIX and continued to provide support for people living with narcolepsy. As offices, clinics and institutions have increased in-person interactions pursuant to health authority and local government guidelines, our field teams are re-initiating in-person interactions with HCPs and customers, but the timing and level of engagement may vary by account and region and may be adversely impacted in the future where reemergence or future outbreaks of COVID-19, including the rise of variants, may occur. Access to HCPs for our sales team is still limited and despite the economy beginning to open up, we are still in a transition phase and expect continued, but decreasing, pressure on top line demand in future quarters as the challenges presented by COVID-19 begin to subside.</w:t>
      </w:r>
    </w:p>
    <w:p>
      <w:pPr>
        <w:spacing w:after="0" w:line="2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During the pandemic, elevated unemployment and the corresponding loss of health insurance caused some eligible patients to shift from commercial insurance to free drug and patient assistance programs, which impacted our ability to convert demand into revenue. Given the high unemployment rates and resulting loss of employer-sponsored insurance coverage, some patients also shifted from commercial payor coverage to government payor coverage, which may have impacted, and may continue to impact, our net revenue.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Chain</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currently expect to have adequate supply of WAKIX into the first quarter of 2023, with additional API on-hand inventory to support at least 36 months beyond this time frame. We continue to work closely with our third-party manufacturers, distributors and other partners to manage our supply chain activities and mitigate potential disruptions to our product supplies as a result of the COVID-19 pandemic. We believe that our access to the required production lines to produce additional API and WAKIX finished product throughout the next 12 to 18 months may not be directly impacted should there be a need to reprioritize manufacturing resources for the production of materials utilized for COVID-19 vaccines.</w:t>
      </w:r>
    </w:p>
    <w:p>
      <w:pPr>
        <w:spacing w:after="0" w:line="20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Our manufacturing partners in France and the United States continue to be operational. If there is a subsequent outbreak of COVID-19, or if it reemerges for an extended period of time and/or begins to impact essential distribution systems such as transatlantic freight, FedEx, UPS and postal delivery, we may experience disruptions to our supply chain and operations with associated delays in the manufacturing and supply of our products.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Research and Development</w:t>
      </w:r>
    </w:p>
    <w:p>
      <w:pPr>
        <w:spacing w:after="0" w:line="23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COVID-19 pandemic has negatively impacted the pharmaceutical industry’s ability to conduct clinical trials and this impact was recently accentuated with the emergence of the Omicron variant during the second half of 2021. As a result of some challenges that we have experienced due to the COVID-19 pandemic, we have taken measures and put contingency plans in place in order to advance our clinical development programs. We implemented remote and virtual approaches to clinical trials, including using telemedicine for remote clinic visits to perform efficacy assessments and sending out licensed HCPs to each patient to collect safety assessments (e.g. labs, electrocardiograms) as required by the protocols. We performed and continue to perform remote site visits and data monitoring where possible. These measures were instituted with the intent of maintaining patient safety and trial continuity while preserving study integrity. One unique challenge we continue to face is the ability to access sleep labs during the COVID-19 pandemic in order to conduct objective sleep testing, which is required for some of our clinical trials. In addition, we rely on contract research organizations (“CROs”) or other third parties to assist us with clinical trials, and we cannot guarantee that they will continue to perform their contractual duties in a timely and satisfactory manner as a result of the COVID-19 pandemic. Another impact from COVID has been the challenge at the clinical trial site level due to staffing shortages and/or personnel being pulled off clinical trials to care for patients with COVID. In addition, the COVID-19 pandemic has resulted in a significant increase in FDA workload as well as the need to reprioritize the projects under review. As a result, we may experience delays in FDA timelines along the course of the regulatory process (e.g. milestone meetings) and PDUFA action dates. If there is a subsequent outbreak of COVID-19 or any variant thereof or if it reemerges for an extended period of time in the future, we may experience significant delays in our clinical development timelines, which would. adversely affect our business, financial condition, results of operations and growth prospects.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Corporate Development and Other Financial Impacts</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COVID-19 pandemic evolved rapidly and caused a significant disruption of domestic and global financial markets. In addition, the pandemic limited our ability to conduct in-person due diligence and other interactions to identify new opportunities. If there is a subsequent outbreak of COVID-19 or any variant thereof or if it reemerges for an extended period of time, we may be unable to access additional capital, which could negatively affect our ability to execute on certain corporate development transactions or other important investment opportunities.</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COVID-19 pandemic has also affected, and may continue to affect, our business operations and financial results. The extent of the impact of the COVID-19 pandemic or the potential impact of a reemergence or outbreak of the pandemic on our ability to generate sales of, and revenues from, our approved products, our clinical development and regulatory efforts, our corporate development objectives and the value of and market for our common stock, will depend on future developments that are highly uncertain and cannot be predicted with confidence at this time.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Corporate Responsibility Impact</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have provided support with relief efforts to our local communities, patient-focused organizations and other charitable organizations during the COVID-19 pandemic, including corporate donations, food and medical supplies and other resources. For the safety and well-being of our employees, consultants and their families, we have abided by government-issued work-from-home orders during the COVID-19 pandemic. As COVID-19 cases decrease and more individuals are vaccinated, we intend to resume an in-office flexible work schedule. We will continue to clean and sanitize our offices on a regular basis, and adhere to CDC guidelines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w:t>
      </w:r>
      <w:r>
        <w:rPr>
          <w:rFonts w:ascii="Arial" w:cs="Arial" w:eastAsia="Arial" w:hAnsi="Arial"/>
          <w:sz w:val="18"/>
          <w:szCs w:val="18"/>
          <w:b w:val="1"/>
          <w:bCs w:val="1"/>
          <w:i w:val="1"/>
          <w:iCs w:val="1"/>
          <w:color w:val="auto"/>
        </w:rPr>
        <w:t>.</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Total revenue consists of net sales of WAKIX. Net sales represent the gross sales of WAKIX less provisions for product sales discounts and allowances, which includes trade allowances, rebates to government and commercial entities, and discounts. Although we expect net sales to increase over time, the provisions for product sales discounts and allowances may fluctuate based on the mix of sales to different customer segments and/or changes in our estimates. For further discussion of the components of Revenue, see “—Critical Accounting Policies and Significant Judgments and Estimates.”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did not generate any revenue from inception until the fourth quarter of 2019. Our current product, WAKIX, was approved by the FDA for the treatment of EDS in adult patients with narcolepsy in August 2019, became commercially available in November 2019 and was approved by the FDA for the treatment of cataplexy in adult patients with narcolepsy in October 2020</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Cost of Product Sales</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Cost of product sales includes manufacturing and distribution costs, the cost of the drug substance, FDA program fees, royalties due to third parties on net product sales, freight, shipping, handling, storage costs and salaries of employees involved with production. We began capitalizing inventory upon FDA approval of WAKIX.</w:t>
      </w:r>
    </w:p>
    <w:p>
      <w:pPr>
        <w:spacing w:after="0" w:line="20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Previously expensed inventory that was manufactured prior to FDA approval of WAKIX has not had a material impact on our historical results of operations and is not expected to have a material impact on future results of operations. Further, previously expensed inventory has not had a material impact on our historic gross margin percentage. Our cost of product sales is increasing moderately as we continue to ramp up production and sales infrastructure to meet expected demand for WAKIX.</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shelf life of our product is three years from date of manufacture, with the earliest expiration of current inventory expected to be April 2023. We regularly review our inventory levels and expect write-offs from time to time. We will continue to assess our inventory levels in future periods as demand for WAKIX and the rate of inventory turnover evolves.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 Expenses</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Our research and development expenses generally include the license of the rights to pitolisant, conducting an Expanded Access Program (“EAP”) to provide appropriate patients with pitolisant at no cost as part of a clinical trial to assess safety prior to the approval of WAKIX, the preparation of the NDA, and the initiation of development programs for potential new indications for pitolisant in patients with PWS and DM. We also have research and development expenses related to our team of Medical Science Liaisons (“MSLs”) who interact with key opinion leaders, with a focus on the science, the role of histamine in sleep-wake state stability and the novel mechanism of action of pitolisant. In addition, our MSLs support our market access team with clinical data presentations to payors upon request and our clinical development team to identify potential clinical trial sites. Research and development costs are expensed as incurred. We have significantly increased our research and development efforts as we advance our clinical programs in PWS, DM and IH and assess other product candidates to expand our pipeline. Research and development expenses also include:</w:t>
      </w:r>
    </w:p>
    <w:p>
      <w:pPr>
        <w:spacing w:after="0" w:line="206" w:lineRule="exact"/>
        <w:rPr>
          <w:sz w:val="20"/>
          <w:szCs w:val="20"/>
          <w:color w:val="auto"/>
        </w:rPr>
      </w:pPr>
    </w:p>
    <w:p>
      <w:pPr>
        <w:ind w:left="1000" w:right="80" w:hanging="317"/>
        <w:spacing w:after="0" w:line="246"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employee-related expenses, such as salaries, share-based compensation, benefits and travel expenses for our research and development personnel;</w:t>
      </w:r>
    </w:p>
    <w:p>
      <w:pPr>
        <w:spacing w:after="0" w:line="196" w:lineRule="exact"/>
        <w:rPr>
          <w:rFonts w:ascii="Arial" w:cs="Arial" w:eastAsia="Arial" w:hAnsi="Arial"/>
          <w:sz w:val="18"/>
          <w:szCs w:val="18"/>
          <w:color w:val="auto"/>
        </w:rPr>
      </w:pPr>
    </w:p>
    <w:p>
      <w:pPr>
        <w:ind w:left="1000" w:right="260" w:hanging="317"/>
        <w:spacing w:after="0" w:line="246"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direct third-party costs such as expenses incurred under agreements with CROs, and contract manufacturing organizations (“CMOs”);</w:t>
      </w:r>
    </w:p>
    <w:p>
      <w:pPr>
        <w:spacing w:after="0" w:line="196" w:lineRule="exact"/>
        <w:rPr>
          <w:rFonts w:ascii="Arial" w:cs="Arial" w:eastAsia="Arial" w:hAnsi="Arial"/>
          <w:sz w:val="18"/>
          <w:szCs w:val="18"/>
          <w:color w:val="auto"/>
        </w:rPr>
      </w:pPr>
    </w:p>
    <w:p>
      <w:pPr>
        <w:ind w:left="1000" w:hanging="31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manufacturing costs in connection with producing materials for use in conducting clinical trials;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related to packaging and labeling clinical supplies: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third-party expenses directly attributable to the development of our product candidates;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amortization expense for assets used in research and development activities.</w:t>
      </w:r>
    </w:p>
    <w:p>
      <w:pPr>
        <w:spacing w:after="0" w:line="22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do not track research and development expenses on an indication-by-indication basis. A significant portion of our research and development costs are external costs, such as fees paid to CROs and CMOs, central laboratories, contractors, and consultants in connection with our clinical development programs. Internal expenses primarily relate to personnel who are deployed across multiple programs.</w:t>
      </w:r>
    </w:p>
    <w:p>
      <w:pPr>
        <w:spacing w:after="0" w:line="20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Product candidates in later stages of clinical development generally have higher development costs than those in earlier stages of clinical development, primarily due to the increased size and duration of later-stage clinical trials, milestone payments, and the cost of submitting an NDA to the FDA (and/or other regulatory authorities). We expect our research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development expenses to be significant over the next several years as we advance our current clinical development programs and prepare to seek regulatory approval for additional indications for pitolisant and, HBS-102, as well as potential new product candidates.</w:t>
      </w:r>
    </w:p>
    <w:p>
      <w:pPr>
        <w:spacing w:after="0" w:line="20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any additional indications for pitolisant or other product candidates that we move forward for regulatory approval. There are numerous risks and uncertainties associated with developing product candidates, including uncertainty related to:</w:t>
      </w:r>
    </w:p>
    <w:p>
      <w:pPr>
        <w:spacing w:after="0" w:line="205" w:lineRule="exact"/>
        <w:rPr>
          <w:sz w:val="20"/>
          <w:szCs w:val="20"/>
          <w:color w:val="auto"/>
        </w:rPr>
      </w:pPr>
    </w:p>
    <w:p>
      <w:pPr>
        <w:ind w:left="1000" w:right="60" w:hanging="317"/>
        <w:spacing w:after="0" w:line="246"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duration, costs and timing of clinical trials of our current development programs and any further clinical trials related to new product candidates;</w:t>
      </w:r>
    </w:p>
    <w:p>
      <w:pPr>
        <w:spacing w:after="0" w:line="196" w:lineRule="exact"/>
        <w:rPr>
          <w:rFonts w:ascii="Arial" w:cs="Arial" w:eastAsia="Arial" w:hAnsi="Arial"/>
          <w:sz w:val="18"/>
          <w:szCs w:val="18"/>
          <w:color w:val="auto"/>
        </w:rPr>
      </w:pPr>
    </w:p>
    <w:p>
      <w:pPr>
        <w:ind w:left="1000" w:right="340" w:hanging="317"/>
        <w:spacing w:after="0" w:line="246"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sufficiency of our financial and other resources to complete the necessary preclinical studies and clinical trials;</w:t>
      </w:r>
    </w:p>
    <w:p>
      <w:pPr>
        <w:spacing w:after="0" w:line="196" w:lineRule="exact"/>
        <w:rPr>
          <w:rFonts w:ascii="Arial" w:cs="Arial" w:eastAsia="Arial" w:hAnsi="Arial"/>
          <w:sz w:val="18"/>
          <w:szCs w:val="18"/>
          <w:color w:val="auto"/>
        </w:rPr>
      </w:pPr>
    </w:p>
    <w:p>
      <w:pPr>
        <w:ind w:left="1000" w:right="120" w:hanging="317"/>
        <w:spacing w:after="0" w:line="238"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impact of the COVID-19 pandemic, including any future resurgence or new variants, on the ability to initiate new clinical trials and/or maintain the continuity of ongoing clinical trials that could be impacted by future shelter-in-place orders and needs of the health care system to focus on managing patients affected by COVID-19;</w:t>
      </w:r>
    </w:p>
    <w:p>
      <w:pPr>
        <w:spacing w:after="0" w:line="204" w:lineRule="exact"/>
        <w:rPr>
          <w:rFonts w:ascii="Arial" w:cs="Arial" w:eastAsia="Arial" w:hAnsi="Arial"/>
          <w:sz w:val="18"/>
          <w:szCs w:val="18"/>
          <w:color w:val="auto"/>
        </w:rPr>
      </w:pPr>
    </w:p>
    <w:p>
      <w:pPr>
        <w:ind w:left="1000" w:hanging="31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receiving Bioprojet’s consent to pursue additional indications for pitolisant;</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acceptance of INDs for our planned clinical trials or future clinical trials;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successful and timely enrollment and completion of clinical trials;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successful completion of preclinical studies and clinical trials;</w:t>
      </w:r>
    </w:p>
    <w:p>
      <w:pPr>
        <w:spacing w:after="0" w:line="225" w:lineRule="exact"/>
        <w:rPr>
          <w:rFonts w:ascii="Arial" w:cs="Arial" w:eastAsia="Arial" w:hAnsi="Arial"/>
          <w:sz w:val="18"/>
          <w:szCs w:val="18"/>
          <w:color w:val="auto"/>
        </w:rPr>
      </w:pPr>
    </w:p>
    <w:p>
      <w:pPr>
        <w:ind w:left="1000" w:right="760" w:hanging="317"/>
        <w:spacing w:after="0" w:line="246"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successful data from our clinical programs that support an acceptable risk-benefit profile of our product candidates in the intended populations;</w:t>
      </w:r>
    </w:p>
    <w:p>
      <w:pPr>
        <w:spacing w:after="0" w:line="196" w:lineRule="exact"/>
        <w:rPr>
          <w:rFonts w:ascii="Arial" w:cs="Arial" w:eastAsia="Arial" w:hAnsi="Arial"/>
          <w:sz w:val="18"/>
          <w:szCs w:val="18"/>
          <w:color w:val="auto"/>
        </w:rPr>
      </w:pPr>
    </w:p>
    <w:p>
      <w:pPr>
        <w:ind w:left="1000" w:hanging="31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receipt and maintenance of regulatory and marketing approvals from applicable regulatory authorities;</w:t>
      </w:r>
    </w:p>
    <w:p>
      <w:pPr>
        <w:spacing w:after="0" w:line="225" w:lineRule="exact"/>
        <w:rPr>
          <w:rFonts w:ascii="Arial" w:cs="Arial" w:eastAsia="Arial" w:hAnsi="Arial"/>
          <w:sz w:val="18"/>
          <w:szCs w:val="18"/>
          <w:color w:val="auto"/>
        </w:rPr>
      </w:pPr>
    </w:p>
    <w:p>
      <w:pPr>
        <w:ind w:left="1000" w:right="200" w:hanging="317"/>
        <w:spacing w:after="0" w:line="246"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product candidate is approved;</w:t>
      </w:r>
    </w:p>
    <w:p>
      <w:pPr>
        <w:spacing w:after="0" w:line="196" w:lineRule="exact"/>
        <w:rPr>
          <w:rFonts w:ascii="Arial" w:cs="Arial" w:eastAsia="Arial" w:hAnsi="Arial"/>
          <w:sz w:val="18"/>
          <w:szCs w:val="18"/>
          <w:color w:val="auto"/>
        </w:rPr>
      </w:pPr>
    </w:p>
    <w:p>
      <w:pPr>
        <w:ind w:left="1000" w:hanging="31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entry into collaborations to further the development of our product candidates;</w:t>
      </w:r>
    </w:p>
    <w:p>
      <w:pPr>
        <w:spacing w:after="0" w:line="225" w:lineRule="exact"/>
        <w:rPr>
          <w:rFonts w:ascii="Arial" w:cs="Arial" w:eastAsia="Arial" w:hAnsi="Arial"/>
          <w:sz w:val="18"/>
          <w:szCs w:val="18"/>
          <w:color w:val="auto"/>
        </w:rPr>
      </w:pPr>
    </w:p>
    <w:p>
      <w:pPr>
        <w:ind w:left="1000" w:right="980" w:hanging="317"/>
        <w:spacing w:after="0" w:line="246"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product candidates; and</w:t>
      </w:r>
    </w:p>
    <w:p>
      <w:pPr>
        <w:spacing w:after="0" w:line="196" w:lineRule="exact"/>
        <w:rPr>
          <w:rFonts w:ascii="Arial" w:cs="Arial" w:eastAsia="Arial" w:hAnsi="Arial"/>
          <w:sz w:val="18"/>
          <w:szCs w:val="18"/>
          <w:color w:val="auto"/>
        </w:rPr>
      </w:pPr>
    </w:p>
    <w:p>
      <w:pPr>
        <w:ind w:left="1000" w:hanging="31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successfully launching our product candidates and achieving commercial sales, if and when approved.</w:t>
      </w:r>
    </w:p>
    <w:p>
      <w:pPr>
        <w:spacing w:after="0" w:line="225" w:lineRule="exact"/>
        <w:rPr>
          <w:sz w:val="20"/>
          <w:szCs w:val="20"/>
          <w:color w:val="auto"/>
        </w:rPr>
      </w:pPr>
    </w:p>
    <w:p>
      <w:pPr>
        <w:ind w:right="280" w:firstLine="648"/>
        <w:spacing w:after="0"/>
        <w:rPr>
          <w:sz w:val="20"/>
          <w:szCs w:val="20"/>
          <w:color w:val="auto"/>
        </w:rPr>
      </w:pPr>
      <w:r>
        <w:rPr>
          <w:rFonts w:ascii="Arial" w:cs="Arial" w:eastAsia="Arial" w:hAnsi="Arial"/>
          <w:sz w:val="18"/>
          <w:szCs w:val="18"/>
          <w:color w:val="auto"/>
        </w:rPr>
        <w:t>A change in the outcome of any of these variables with respect to the development of any of our programs or any product candidate we develop would significantly change the costs, timing and viability associated with the development and/or regulatory approval of such programs or product candidates.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Sales and Marketing Expenses</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sales and marketing expenses have primarily related to the market development and launch activities of WAKIX for the treatment of EDS in adult patients with narcolepsy and cataplexy in adult patients with narcolepsy. Market development and commercial launch activities account for a significant portion of the overall company operating expenses and are expensed as they are incurred. We expect our sales and marketing expenses to increase in the near- and mid-term to support our indications for the treatment of EDS and cataplexy in adult patients with narcolepsy and to expand our portfolio with the anticipated growth from potential additional indications.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and marketing expenses include:</w:t>
      </w:r>
    </w:p>
    <w:p>
      <w:pPr>
        <w:spacing w:after="0" w:line="212" w:lineRule="exact"/>
        <w:rPr>
          <w:sz w:val="20"/>
          <w:szCs w:val="20"/>
          <w:color w:val="auto"/>
        </w:rPr>
      </w:pPr>
    </w:p>
    <w:p>
      <w:pPr>
        <w:ind w:left="1000" w:right="80" w:hanging="317"/>
        <w:spacing w:after="0" w:line="246"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employee-related expenses, such as salaries, share-based compensation, benefits and travel expenses for our sales and marketing personnel;</w:t>
      </w:r>
    </w:p>
    <w:p>
      <w:pPr>
        <w:spacing w:after="0" w:line="196" w:lineRule="exact"/>
        <w:rPr>
          <w:rFonts w:ascii="Arial" w:cs="Arial" w:eastAsia="Arial" w:hAnsi="Arial"/>
          <w:sz w:val="18"/>
          <w:szCs w:val="18"/>
          <w:color w:val="auto"/>
        </w:rPr>
      </w:pPr>
    </w:p>
    <w:p>
      <w:pPr>
        <w:ind w:left="1000" w:right="220" w:hanging="317"/>
        <w:spacing w:after="0" w:line="246"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healthcare professional-related expenses, including marketing programs, healthcare professional promotional medical education, disease education, conference exhibits and market research;</w:t>
      </w:r>
    </w:p>
    <w:p>
      <w:pPr>
        <w:spacing w:after="0" w:line="196" w:lineRule="exact"/>
        <w:rPr>
          <w:rFonts w:ascii="Arial" w:cs="Arial" w:eastAsia="Arial" w:hAnsi="Arial"/>
          <w:sz w:val="18"/>
          <w:szCs w:val="18"/>
          <w:color w:val="auto"/>
        </w:rPr>
      </w:pPr>
    </w:p>
    <w:p>
      <w:pPr>
        <w:ind w:left="1000" w:right="120" w:hanging="317"/>
        <w:spacing w:after="0" w:line="246"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patient-related expenses, including patient awareness and education programs, disease awareness education, patient reimbursement programs, patient support services and market research;</w:t>
      </w:r>
    </w:p>
    <w:p>
      <w:pPr>
        <w:spacing w:after="0" w:line="196" w:lineRule="exact"/>
        <w:rPr>
          <w:rFonts w:ascii="Arial" w:cs="Arial" w:eastAsia="Arial" w:hAnsi="Arial"/>
          <w:sz w:val="18"/>
          <w:szCs w:val="18"/>
          <w:color w:val="auto"/>
        </w:rPr>
      </w:pPr>
    </w:p>
    <w:p>
      <w:pPr>
        <w:ind w:left="1000" w:right="140" w:hanging="317"/>
        <w:spacing w:after="0" w:line="246"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 access expenses, including payor education, specialty pharmacy programs and services to support the continued commercialization of WAKIX; and</w:t>
      </w:r>
    </w:p>
    <w:p>
      <w:pPr>
        <w:spacing w:after="0" w:line="196" w:lineRule="exact"/>
        <w:rPr>
          <w:rFonts w:ascii="Arial" w:cs="Arial" w:eastAsia="Arial" w:hAnsi="Arial"/>
          <w:sz w:val="18"/>
          <w:szCs w:val="18"/>
          <w:color w:val="auto"/>
        </w:rPr>
      </w:pPr>
    </w:p>
    <w:p>
      <w:pPr>
        <w:ind w:left="1000" w:right="300" w:hanging="317"/>
        <w:spacing w:after="0" w:line="246"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secondary data purchases (i.e. patient claims and prescription data), data warehouse development and data management.</w:t>
      </w:r>
    </w:p>
    <w:p>
      <w:pPr>
        <w:spacing w:after="0" w:line="19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addition, these expenses include external costs such as website development, media placement fees, agency fees for patient, medical education and promotional expenses, market research, analysis of secondary data, conference fees, consulting fees and travel expenses.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General and administrative expenses consist primarily of employee-related expenses, such as salaries, share-based compensation, benefits and travel expenses for our personnel in executive, legal, finance and accounting, human resources, investor relations, and other administrative departments. General and administrative expenses also consist of office leases, and professional fees, including legal, tax and accounting and consulting fees.</w:t>
      </w:r>
    </w:p>
    <w:p>
      <w:pPr>
        <w:spacing w:after="0" w:line="20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commercialization efforts, ongoing and future potential research and development activities, and increased costs of operating as a public company. These increases will likely include increased costs related to the hiring of additional personnel and fees paid to outside consultants, lawyers and accountants, among other expenses. Additionally, we anticipate increased costs associated with being a public company, including expenses related to services associated with maintaining compliance with the requirements of Nasdaq and the SEC, insurance and investor relations costs. If any of our current or future indication expansion programs or new product candidates obtain U.S. regulatory approval, we expect that we would incur significantly increased expenses associated with building a sales and marketing team.</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Paragon Agreements</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were party to a management services agreement (the “Management Services Agreement”) with Paragon Biosciences, LLC (“Paragon”), entered into in September 2017, pursuant to which Paragon provided us with certain professional services, which was terminated upon the consummation of our IPO. In August 2021, the Company paid a $2,300 advisory fee to Paragon in connection with the Blackstone Credit Agreement (see “Liquidity, Sources of Funding and Capital Resources” below).</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are also party to a right-of-use agreement with Paragon whereby we have access to and the right to use certain office space leased by Paragon in Chicago, Illinois. For the year ended December 31, 2021, we paid fees of $0.3 million pursuant to this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Loss on Debt Extinguishment</w:t>
      </w:r>
    </w:p>
    <w:p>
      <w:pPr>
        <w:spacing w:after="0" w:line="23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Loss on debt extinguishment consists primarily of costs of extinguishment of debt during the period related to the prepayment of our credit agreements.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Expense, Net</w:t>
      </w:r>
    </w:p>
    <w:p>
      <w:pPr>
        <w:spacing w:after="0" w:line="23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Other expense, net consists primarily of costs of the fair value of the warrants associated with the Credit Agreement we entered into with OrbiMed.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 net</w:t>
      </w:r>
    </w:p>
    <w:p>
      <w:pPr>
        <w:spacing w:after="0" w:line="23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Interest expense, net consists primarily of interest expense on debt facilities and amortization of debt issuance costs offset by interest income earned on our cash balances.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selected items in our consolidated statements of operations for the periods presented: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4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product revenue</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305,440</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159,742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sales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55,518</w:t>
            </w:r>
          </w:p>
        </w:tc>
        <w:tc>
          <w:tcPr>
            <w:tcW w:w="2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27,738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249,922</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132,004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30,367</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100"/>
              <w:spacing w:after="0" w:line="202" w:lineRule="exact"/>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68,118</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55,824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63,909</w:t>
            </w:r>
          </w:p>
        </w:tc>
        <w:tc>
          <w:tcPr>
            <w:tcW w:w="2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39,746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gridSpan w:val="2"/>
          </w:tcPr>
          <w:p>
            <w:pPr>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162,394</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115,018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87,528</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debt extinguishment</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(26,146)</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line="202" w:lineRule="exact"/>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(23,970)</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gridSpan w:val="2"/>
          </w:tcPr>
          <w:p>
            <w:pPr>
              <w:spacing w:after="0" w:line="196" w:lineRule="exact"/>
              <w:rPr>
                <w:sz w:val="20"/>
                <w:szCs w:val="20"/>
                <w:color w:val="auto"/>
              </w:rPr>
            </w:pPr>
            <w:r>
              <w:rPr>
                <w:rFonts w:ascii="Arial" w:cs="Arial" w:eastAsia="Arial" w:hAnsi="Arial"/>
                <w:sz w:val="18"/>
                <w:szCs w:val="18"/>
                <w:color w:val="auto"/>
              </w:rPr>
              <w:t>Net income (loss) before provision for income taxes</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37,428</w:t>
            </w: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(36,944)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(2,831)</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gridSpan w:val="2"/>
          </w:tcPr>
          <w:p>
            <w:pPr>
              <w:spacing w:after="0" w:line="196" w:lineRule="exact"/>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34,597</w:t>
            </w:r>
          </w:p>
        </w:tc>
        <w:tc>
          <w:tcPr>
            <w:tcW w:w="22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(36,944)</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Net Product Revenue</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Net product revenue increased by $145.7 million, or 91.2%, for the year ended December 31, 2021 compared to the same period in 2020. The increase was primarily due to an increase in the average number of patients on WAKIX and the price increase of WAKIX in connection with the cataplexy indication approval in the fourth quarter of 2020.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Cost of Product Sales</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Cost of product sales increased by $27.8 million, or 100.2%, for the year ended December 31, 2021 compared to the same period in 2020. The increase was due to higher sales of WAKIX, which was launched in November 2019. Cost of product sales is primarily comprised of the royalty payment to Bioprojet.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 Expenses</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Research and development expenses increased by $10.9 million, or 56.1%, for the year ended December 31, 2021 as compared to the same period in 2020. The increase was primarily due to clinical development work associated with PWS and DM, $3.5 million asset acquisition of HBS-102 and an increase to stock compensation associated with new awards.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Sales and Marketing Expenses</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Sales and marketing expenses increased by $12.3 million, or 22.0%, for the year ended December 31, 2021 as compared to the same period in 2020. The increase was primarily due to patient engagement and marketing activities and an increase to stock-compensation expense associated with new awards.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General and administrative expenses increased by $24.2 million, or 60.8%, for the year ended December 31, 2021 as compared to the same period in 2020. This increase is primarily due to intangible asset amortization of the milestone payment made in connection with the FDA’s approval of WAKIX for the treatment of cataplexy in adult patients with narcolepsy in October 2020, an increase to stock compensation associated with new awards, and the additional cost of public company insurance, partially offset by a decrease in fees paid to Paragon. Additionally, general expenses have increased due to an increase in headcount year-over-year as well as additional spend in 2021 following the COVID-19 pandemic in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Debt Extinguishment</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Loss on debt extinguishment increased $3.5 million, or 15.5%, for the year ended December 31, 2021 as compared to the same period in 2020 due to increased costs relating to the OrbiMed debt extinguishment as compared to the extinguishment of debt pertaining to the Loan Agreement with the multi-draw loan with CRG Servicing LLC (the “CRG Loan”), which occurred in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Other expense, net decreased by $3.1 million, or 100%, for the year ended December 31, 2021, as compared to the same period in 2020 primarily due to the change in the fair value of the warranty liability, which was recorded in the year ended December 31,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Interest expense decreased by $4.3 million, or 15.1%, for the year ended December 31, 2021, as compared to the same period in 2020 primarily due to lower interest rates as a result of entering into the Blackstone Credit Agreement in August 2021, partially offset by an increase in amortization of deferred financing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effective income tax rate was 7.6% and 0.0% for the year ended December 31, 2021 and 2020, respectively. Currently, we have recorded a full valuation allowance against our net deferred tax assets, primarily related to federal and state net operating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Sources of Funding and Capital Resources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date, we have financed our operations primarily with (a) proceeds from sales of our convertible preferred stock;</w:t>
      </w:r>
    </w:p>
    <w:p>
      <w:pPr>
        <w:ind w:left="300" w:hanging="292"/>
        <w:spacing w:after="0" w:line="234" w:lineRule="auto"/>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borrowings under our (i) CRG Loan, (ii) our Credit Agreement with OrbiMed and (iii) our Blackstone Credit Agreement;</w:t>
      </w:r>
    </w:p>
    <w:p>
      <w:pPr>
        <w:jc w:val="both"/>
        <w:ind w:firstLine="8"/>
        <w:spacing w:after="0" w:line="237" w:lineRule="auto"/>
        <w:tabs>
          <w:tab w:leader="none" w:pos="28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proceeds from our IPO; and (d) the proceeds from the sale of common stock to Blackstone. From our inception through our IPO, we have received aggregate proceeds of $345.0 million from sales of our convertible preferred stock. In August 2020, we completed the IPO of our common stock, in which we sold 6,151,162 shares of our common stock, including 802,325 shares of our common stock pursuant to the underwriters’ over-allotment option. The shares were sold at a price of $24.00 per share for net proceeds of approximately $135.4 million. As of December 31, 2021, we had cash, cash equivalents and restricted cash of $235.1 million and accumulated deficit of $453.6 million. As of December 31, 2021, we had outstanding debt of $199.5 million.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consolidated financial statements have been prepared as though we will continue as a going concern, which contemplates the realization of assets and satisfaction of liabilities in the normal course of business.</w:t>
      </w:r>
    </w:p>
    <w:p>
      <w:pPr>
        <w:spacing w:after="0" w:line="19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believe that our anticipated cash from operating and financing activities, including as a result of potential availability under the DDTL (defined below), and existing cash and cash equivalents will enable us to meet our operational liquidity needs and fund our planned investing activities for the next 12 months. We have based this estimate on assumptions that may prove to be incorrect, and we could use our capital resources sooner than we expect.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Blackstone Credit Agreement</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On August 9, 2021, the Company entered into the Blackstone Credit Agreement that provides for (i) a senior secured term loan facility in an aggregate original principal amount of $200.0 million (the “Initial Term Loan”) and (ii) a senior secured delayed draw term loan facility in an aggregate principal amount up to $100.0 million (the “DDTL” and, together with the Initial Term Loans, the “Loans”). The DDTL will be available to draw down through August 9, 2022. We used substantially all of the proceeds from the Blackstone Credit Agreement, and the related sale of our common stock, to repay the balance of the OrbiMed Loan (defined below).</w:t>
      </w:r>
    </w:p>
    <w:p>
      <w:pPr>
        <w:spacing w:after="0" w:line="2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repayment schedule for the Initial Loan consists of quarterly $0.5 million principal payments commencing on December 31, 2021 and increasing to quarterly $ 5 million payments beginning on March 31, 2024, with a $145.5 million payment due on the maturity date of August 9, 2026 (“Maturity Date”). Interest is payable quarterly commencing on November 9, 2021 and continuing through the Maturity Date. The Initial Loan bears interest at a per annum rate equal to LIBOR, subject to a 1.00% floor, plus 6.50%. The Loans are guaranteed by our subsidiary Harmony Biosciences, LLC.</w:t>
      </w:r>
    </w:p>
    <w:p>
      <w:pPr>
        <w:spacing w:after="0" w:line="20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Blackstone Credit Agreement contains affirmative and negative covenants, including limitations on our ability, among other things, to incur additional debt, grant or permit additional liens, make investments and acquisitions, merge or consolidate with others, dispose of assets, pay dividends and distributions and enter into affiliate transactions, in each case, subject to certain exceptions. In addition, the Blackstone Credit Agreement contains a financial covenant that requires us to maintain at all times cash and cash equivalents in certain deposit accounts in an amount at least equal to $10.0 million. The Company is compliance with all covenants as of December 31, 2021.</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OrbiMed Credit Agreement</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February 2019, we entered into the CRG Loan for an aggregate of $200.0 million of which $102.5 million was outstanding as of December 31, 2019. On January 9, 2020, we entered into the Credit Agreement with OrbiMed (the “OrbiMed Loan”) for an aggregate of $200.0 million and paid off all of our obligations under the CRG Loan. Borrowings under the Credit Agreement were collateralized by all of the Company’s assets, excluding the intellectual property licensed through the Bioprojet License Agreement. At the time of prepayment, the Company was required to pay an exit fee of 7.0% of the principal amount of the OrbiMed Loan that was repaid..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Agreement Related to Intellectual Property</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August 2021, the Company entered into an asset purchase agreement with ConSynance Therapeutics, Inc. to acquire HBS-102 (formerly “CSTI-100”), a potential first-in-class molecule with a novel mechanism of action. Under the terms of the agreement, the Company acquired full development and commercialization rights globally, with the exception of Greater China, for $3.5 million, which was recorded in research and development expense in the Company’s statement of operations and comprehensive loss for the year ended December 31, 2021. Additionally, there are payments due upon the achievement of certain milestones including $1.8 million for preclinical milestones, $19.0 million for development milestones, $44.0 million for regulatory milestones and $110.0 million for sales milestones.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Milestone Payment</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Upon FDA approval of WAKIX for the treatment of cataplexy in adult patients with narcolepsy in October 2020 (the “Cataplexy Milestone Trigger Date”), we became obligated to make the $100.0 million milestone payment (the “Cataplexy Milestone Payment”) to Bioprojet under the provisions of the Bioprojet License Agreement (“License Agreement”). Subsequently, in October 2020, we made a payment to Bioprojet of $2.0 million to extend the Cataplexy Milestone Payment due date to within 90 days of the Cataplexy Milestone Trigger Date. In January 2021, we made the $100.0 million Cataplexy Milestone Payment in full to Bioprojet.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Subsequent to the year ended December 31, 2021, the Company attained $500.0 million in aggregate net sales of WAKIX in the United States, which triggered a $40.0 million payment under the provisions of the License Agreement. The Company expects to make this payment in March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our cash flows for the years ended December 31, 2021 and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center"/>
              <w:ind w:right="17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4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Selected cash flow data</w:t>
            </w:r>
          </w:p>
        </w:tc>
        <w:tc>
          <w:tcPr>
            <w:tcW w:w="2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28"/>
        </w:trPr>
        <w:tc>
          <w:tcPr>
            <w:tcW w:w="48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3"/>
          </w:tcPr>
          <w:p>
            <w:pPr>
              <w:jc w:val="center"/>
              <w:ind w:left="459"/>
              <w:spacing w:after="0" w:line="129"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80" w:type="dxa"/>
            <w:vAlign w:val="bottom"/>
            <w:gridSpan w:val="2"/>
          </w:tcPr>
          <w:p>
            <w:pPr>
              <w:spacing w:after="0" w:line="196" w:lineRule="exact"/>
              <w:rPr>
                <w:sz w:val="20"/>
                <w:szCs w:val="20"/>
                <w:color w:val="auto"/>
              </w:rPr>
            </w:pPr>
            <w:r>
              <w:rPr>
                <w:rFonts w:ascii="Arial" w:cs="Arial" w:eastAsia="Arial" w:hAnsi="Arial"/>
                <w:sz w:val="18"/>
                <w:szCs w:val="18"/>
                <w:color w:val="auto"/>
              </w:rPr>
              <w:t>Cash provided by (used in):</w:t>
            </w:r>
          </w:p>
        </w:tc>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2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98,557</w:t>
            </w:r>
          </w:p>
        </w:tc>
        <w:tc>
          <w:tcPr>
            <w:tcW w:w="6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(100,298)</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Financing activities</w:t>
            </w:r>
          </w:p>
        </w:tc>
        <w:tc>
          <w:tcPr>
            <w:tcW w:w="2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7,419</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209,161</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Operating Activities</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Net cash provided by operating activities for the year ended December 31, 2021 consisted of our net income of $34.6 million adjusted for non-cash items of $26.1 million related to loss on extinguishment of debt, $18.8 million related to intangible amortization and depreciation and $16.1 million related to stock-based compensation expense. Net working capital excluding cash increased by $0.6 million.</w:t>
      </w:r>
    </w:p>
    <w:p>
      <w:pPr>
        <w:spacing w:after="0" w:line="20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Net cash used in operating activities for the year ended December 31, 2020 consisted of our net loss of $36.9 million adjusted for non-cash items of $ 22.6 million associated with loss on extinguishment of debt and $13.0 million related to intangible amortization and fair value of warrants.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Investing Activities</w:t>
      </w:r>
    </w:p>
    <w:p>
      <w:pPr>
        <w:spacing w:after="0" w:line="234"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Net cash used in investing activities for the year ended December 31, 2021 was $100.3 million, which was primarily attributable to the $100.0 million milestone payment associated with the Bioprojet License Agreement.</w:t>
      </w:r>
    </w:p>
    <w:p>
      <w:pPr>
        <w:spacing w:after="0" w:line="19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Net cash used in investing activities for the year ended December 31, 2020 was $2 million, which was primarily attributable to the $2 million milestone payment associated with the Bioprojet License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Financing Activities</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Net cash provided by financing activities for the year ended December 31, 2021 was $ 7.4 million, which primarily consisted of $190.9 million in proceeds associated with the Blackstone Credit Agreement, net of issuance costs, and $29.7 million in proceeds associated with issuance of common stock to Blackstone, net of issuance costs. These proceeds were partially offset by $222.0 million in payments of principal and exit fees associated with the extinguishment of the OrbiMed Loan, $0.9 million in proceeds from exercised options and $0.5 million in principal payments associated with the Blackstone Credit Agreement.</w:t>
      </w:r>
    </w:p>
    <w:p>
      <w:pPr>
        <w:spacing w:after="0" w:line="20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Net cash provided by financing activities for the year ended December 31, 2020 was $209.2 million, which primarily consisted of $ 194.2 million associated with the OrbiMed Loan net of issuance costs and net proceeds from our IPO of $135.4 million, offset with $120.9 million of repayment and exit fees associated with the CRG Loan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accounting principles generally accepted in the United States of America, or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GAAP, we evaluate our estimates and judgments on an ongoing basis.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Significant estimates include assumptions used in the determination of some of our costs incurred under our services type agreements and which costs are charged to research and development and general and administrative expense.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5" w:lineRule="exact"/>
        <w:rPr>
          <w:sz w:val="20"/>
          <w:szCs w:val="20"/>
          <w:color w:val="auto"/>
        </w:rPr>
      </w:pPr>
    </w:p>
    <w:p>
      <w:pPr>
        <w:ind w:right="140" w:firstLine="648"/>
        <w:spacing w:after="0" w:line="238" w:lineRule="auto"/>
        <w:rPr>
          <w:sz w:val="20"/>
          <w:szCs w:val="20"/>
          <w:color w:val="auto"/>
        </w:rPr>
      </w:pPr>
      <w:r>
        <w:rPr>
          <w:rFonts w:ascii="Arial" w:cs="Arial" w:eastAsia="Arial" w:hAnsi="Arial"/>
          <w:sz w:val="18"/>
          <w:szCs w:val="18"/>
          <w:color w:val="auto"/>
        </w:rPr>
        <w:t>We define our critical accounting policies as those under GAAP that require us to make subjective estimates and judgments about matters that are uncertain and are likely to have a material impact on our financial condition and results of operations, as well as the specific manner in which we apply those principles. While our accounting policies are more fully described in Note 3 to our financial statements included herein under “Part II—Item 8.</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Financial Statements and Supplementary Data.”, we believe the following are the critical accounting policies used in the preparation of our consolidated financial statements that require significant estimates and judgments.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3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We account for contracts with our customers in accordance with ASC 606, Revenue from Contracts with Customers (ASC 606), or ASC 606.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we will collect the consideration we are entitled to in exchange for the goods or services it transfers to the customer. The amount of variable consideration which is included in the transaction price may be constrained and is included in the net sales price only to the extent that it is probable that a significant reversal in the amount of the cumulative revenue recognized under contracts will not occur in a future period. Our analyses contemplate the application of the constraint in accordance with ASC 606.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spacing w:after="0" w:line="21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have determined that the delivery of our product to our customer constitutes a single performance obligation as there are no other promises to deliver goods or services in contracts with our customers. Shipping and handling activities are considered to be fulfilment activities and are not considered to be a separate performance obligation. The payment terms with our customers do not exceed one year and therefore, no amount of consideration has been allocated as a financing component. Taxes collected related to product sales are remitted to governmental authorities and are excluded from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23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recognize revenue on sales of WAKIX when the customer obtains control of the product, which occurs at a point in time, typically upon delivery. Product revenues are recorded at the product’s list price, net of applicable reserves for variable consideration that are offered within contracts between us and our customers, payors, and other indirect customers relating to the sale of WAKIX. Components of variable consideration include government and commercial contracts, product returns, commercial co-payment assistance program transactions, and distribution service fees. These deductions, as detailed below, are based on the amounts earned, or to be claimed on the related sales, and are classified as a current liability or reduction of receivables.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Contracts</w:t>
      </w:r>
    </w:p>
    <w:p>
      <w:pPr>
        <w:spacing w:after="0" w:line="23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have entered into contracts (i) to participate in the Medicaid Drug Rebate Program and the Medicare Part D program, and (ii) to sell to the U.S. Department of Veterans Affairs, 340b entities and other government agencies, or Government Payors, so that WAKIX will be eligible for purchase by, in partial or full reimbursement from, such Government Payors. We record reserves for rebates due pursuant to these contracts in the same period the revenue is recognized as a reduction of product revenue. The liability for government rebates is included in accrued expenses in our consolidated balance sheet.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estimate rebates due pursuant to government contracts based upon our historical payment and payor mix trends, information obtained from third parties estimating current payor mix, the government-mandated discounts applicable to government-funded programs, as well as information obtained from our customers. The liability for these government rebates consists of estimates of claims for WAKIX dispensed in the current period, plus an estimate for product which has shipped and has been recognized as revenue, but remains in the distribution channel at the end of a reporting period.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 Expenses</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research and development expenses. We base our expenses for services rendered on our estimates of the services received and efforts expended pursuant to quotes, contracts and communicating with our vendors. The financial terms of these agreements are subject to negotiation, vary from contract to contract and may result in uneven payments. There may be instances in which payments made to our vendors will exceed the level of services provided and result in a prepayment of the expense. In accruing service fees, we estimate the time period over which services will be performed and level of effort to be expended in each period. If the actual timing of the performance of services or the level of effort varies from our estimate, we adjust the accrual or amount of prepaid or accrued expenses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Company recognizes compensation expense relating to stock-based payment transactions in operating results using a fair value measurement method, in accordance with FASB ASC 718, Compensation-Stock Compensation. ASC 718 requires all stock-based payments to employees to be recognized in operating results as compensation expense based on fair value over the requisite service period of the awards. The vesting periods have a time-based provision consisting of three to five years and expire no more than 10 years after the date of grant. Upon a change of control, certain unvested awards will immediately vest. The Company determines the fair value of stock-based awards using the Black-Scholes option-pricing model, which uses both historical and current market data to estimate fair value. The method incorporates various assumptions, such as the risk-free interest rate, expected volatility, expected dividend yield, and expected life of the options.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0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Deferred tax assets may be reduced by a valuation allowance if, based on all available evidence, it is more likely than not that some portion or all of the deferred income tax assets will not be realized. Management judgment is required in determining the period in which a reversal of a valuation allowance should occur. We are required to consider all available evidence, both positive and negative, such as historical levels of income and future forecasts of taxable income among other items, in determining whether a full or partial release of its valuation allowance is required. Our accounting for deferred tax consequences represents the best estimate of those future events. We present deferred income taxes on the Consolidated Balance Sheet on a jurisdictional basis as either a net noncurrent asset or liability.</w:t>
      </w:r>
    </w:p>
    <w:p>
      <w:pPr>
        <w:spacing w:after="0" w:line="20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record liabilities for uncertain tax positions based on a two-step approach. The first step is recognition, where we evaluate whether an individual tax position has a likelihood of greater than 50% of being sustained upon examination based solely on the technical merits of the position, including resolution of any related appeals or litigation processes. For tax positions that are currently estimated to have less than a 50% likelihood of being sustained, no tax benefit is recorded. For tax positions that have met the recognition threshold in the first step, we perform the second step of the approach of measuring the benefit (expense) to be recorded. The actual benefits (expense) ultimately realized may differ from our estimates. In future periods, changes in facts, circumstances, and new information may require us to change the recognition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and measurement estimates with regard to individual tax positions. Changes in recognition and measurement estimates are recorded in the statement of income and balance sheet in the period in which such changes occur. As of December 31, 2020, and 2019, we did not have any liabilities for unrecognized tax positions. As it relates to any interest and penalties associated with any uncertain tax positions, our position is to include those interest and penalties as a component of income tax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See Note 3 to our financial statements included herein under “Part II—Item 8. Financial Statements and Supplementary Data.” for more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JOBS Act</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For the year ended December 31, 2020, the Company was an “emerging growth company”, or EGC, as defined in the Jumpstart Our Business Startups Act (the “JOBS Act”), of 2012. Under the JOBS Act, emerging growth companies can delay adopting new or revised accounting standards issued subsequent to the enactment of the JOBS Act until such time as those standards apply to private companies.</w:t>
      </w:r>
    </w:p>
    <w:p>
      <w:pPr>
        <w:spacing w:after="0" w:line="20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have previously elected to use this extended transition period for complying with new or revised accounting standards that have different effective dates for public and private companies until the earlier of the date we (i) are no longer an EGC or (ii) affirmatively and irrevocably opt out of the extended transition period provided in the JOBS Act. As a result, our financial statements may not be comparable to companies that comply with new or revised accounting pronouncements as of public company effective dates. If we were to subsequently elect instead to comply with these public company effective dates, such election would be irrevocable pursuant to the JOBS Act.</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We are no longer an EGC as of December 31, 2021 and are no longer able to take advantage of the reduced disclosure requirements applicable to an EGC.</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Fluctuation Risk</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are exposed to market risk related to changes in interest rates. As of December 31, 2021, our cash and cash equivalents consisted of cash and money market accounts. Our primary exposure to market risk is interest income sensitivity, which is affected by changes in the general level of U.S. interest rates. However, because of the short-term nature of the instruments in our portfolio, an immediate 10% change in market interest rates would not have a material impact on the fair market value of our investment portfolio or on our financial position or results of operations.</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As of December 31, 2021, we had $199.5 million in borrowings outstanding. The Initial Loan bears interest at a per annum rate equal to LIBOR, subject to a 1.00% floor, plus 6.50%. Based on the $199.5 million of principal outstanding as of December 31, 2021, an immediate 10% change in the LIBOR would not have a material impact on our debt-related obligations, financial position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Fluctuation Risk</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are not currently exposed to significant risk related to changes in foreign currency exchange rates; however, we have contracted with and may continue to contract with foreign vendors that are located in Europe. Our operations may be subject to fluctuations in foreign currency exchange rates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Fluctuation Risk</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for the years ended December 31, 2021 or 2020.</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844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655"/>
        </w:trPr>
        <w:tc>
          <w:tcPr>
            <w:tcW w:w="844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480" w:type="dxa"/>
            <w:vAlign w:val="bottom"/>
          </w:tcPr>
          <w:p>
            <w:pPr>
              <w:spacing w:after="0"/>
              <w:rPr>
                <w:sz w:val="24"/>
                <w:szCs w:val="24"/>
                <w:color w:val="auto"/>
              </w:rPr>
            </w:pPr>
          </w:p>
        </w:tc>
      </w:tr>
      <w:tr>
        <w:trPr>
          <w:trHeight w:val="378"/>
        </w:trPr>
        <w:tc>
          <w:tcPr>
            <w:tcW w:w="8440" w:type="dxa"/>
            <w:vAlign w:val="bottom"/>
            <w:gridSpan w:val="8"/>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No. 34)</w:t>
            </w:r>
          </w:p>
        </w:tc>
        <w:tc>
          <w:tcPr>
            <w:tcW w:w="14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196"/>
        </w:trPr>
        <w:tc>
          <w:tcPr>
            <w:tcW w:w="23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9"/>
              </w:rPr>
            </w:pPr>
            <w:hyperlink w:anchor="page95">
              <w:r>
                <w:rPr>
                  <w:rFonts w:ascii="Arial" w:cs="Arial" w:eastAsia="Arial" w:hAnsi="Arial"/>
                  <w:sz w:val="18"/>
                  <w:szCs w:val="18"/>
                  <w:color w:val="0000EE"/>
                  <w:w w:val="99"/>
                </w:rPr>
                <w:t>Consolidated Balance Sheets</w:t>
              </w:r>
            </w:hyperlink>
          </w:p>
        </w:tc>
        <w:tc>
          <w:tcPr>
            <w:tcW w:w="2240" w:type="dxa"/>
            <w:vAlign w:val="bottom"/>
            <w:tcBorders>
              <w:top w:val="single" w:sz="8" w:color="0000EE"/>
            </w:tcBorders>
            <w:gridSpan w:val="3"/>
          </w:tcPr>
          <w:p>
            <w:pPr>
              <w:spacing w:after="0"/>
              <w:rPr>
                <w:sz w:val="17"/>
                <w:szCs w:val="17"/>
                <w:color w:val="auto"/>
              </w:rPr>
            </w:pPr>
          </w:p>
        </w:tc>
        <w:tc>
          <w:tcPr>
            <w:tcW w:w="3820" w:type="dxa"/>
            <w:vAlign w:val="bottom"/>
            <w:gridSpan w:val="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8440" w:type="dxa"/>
            <w:vAlign w:val="bottom"/>
            <w:gridSpan w:val="8"/>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Consolidated Statements of Operations and Comprehensive Income (Loss</w:t>
              </w:r>
            </w:hyperlink>
            <w:r>
              <w:rPr>
                <w:rFonts w:ascii="Arial" w:cs="Arial" w:eastAsia="Arial" w:hAnsi="Arial"/>
                <w:sz w:val="18"/>
                <w:szCs w:val="18"/>
                <w:color w:val="000000"/>
              </w:rPr>
              <w:t>)</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20"/>
        </w:trPr>
        <w:tc>
          <w:tcPr>
            <w:tcW w:w="32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8440" w:type="dxa"/>
            <w:vAlign w:val="bottom"/>
            <w:gridSpan w:val="8"/>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Consolidated Statements of Convertible Preferred Stock and Stockholders’ Equity (Deficit)</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71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Consolidated Statements of Cash Flows</w:t>
              </w:r>
            </w:hyperlink>
          </w:p>
        </w:tc>
        <w:tc>
          <w:tcPr>
            <w:tcW w:w="126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20"/>
        </w:trPr>
        <w:tc>
          <w:tcPr>
            <w:tcW w:w="32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352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w:anchor="page99">
              <w:r>
                <w:rPr>
                  <w:rFonts w:ascii="Arial" w:cs="Arial" w:eastAsia="Arial" w:hAnsi="Arial"/>
                  <w:sz w:val="18"/>
                  <w:szCs w:val="18"/>
                  <w:color w:val="0000EE"/>
                  <w:w w:val="99"/>
                </w:rPr>
                <w:t>Notes to Consolidated Financial Statements</w:t>
              </w:r>
            </w:hyperlink>
          </w:p>
        </w:tc>
        <w:tc>
          <w:tcPr>
            <w:tcW w:w="4920" w:type="dxa"/>
            <w:vAlign w:val="bottom"/>
            <w:gridSpan w:val="4"/>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Harmony Biosciences Holdings, Inc.</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audited the accompanying consolidated balance sheets of Harmony Biosciences Holdings, Inc. and subsidiary (the "Company") as of December 31, 2021 and 2020, the related consolidated statements of operations and comprehensive income (loss), convertible preferred stock and stockholders’ equity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0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(2013) issued by the Committee of Sponsoring Organizations of the Treadway</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and our report dated February 28, 2022, expressed an unqualified opinion on the Company's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34"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 xml:space="preserve">As discussed in Note 3 to the financial statements, effective January 1, 2021, the Company adopted Financial Accounting Standards Board Accounting Standards Update 2016-02, </w:t>
      </w:r>
      <w:r>
        <w:rPr>
          <w:rFonts w:ascii="Arial" w:cs="Arial" w:eastAsia="Arial" w:hAnsi="Arial"/>
          <w:sz w:val="18"/>
          <w:szCs w:val="18"/>
          <w:i w:val="1"/>
          <w:iCs w:val="1"/>
          <w:color w:val="auto"/>
        </w:rPr>
        <w:t>Leases (Topic 842)</w:t>
      </w:r>
      <w:r>
        <w:rPr>
          <w:rFonts w:ascii="Arial" w:cs="Arial" w:eastAsia="Arial" w:hAnsi="Arial"/>
          <w:sz w:val="18"/>
          <w:szCs w:val="18"/>
          <w:color w:val="auto"/>
        </w:rPr>
        <w:t>, using the modified retrospective approach which does not require prior periods to be restated.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to Net Rebate Accrual for Medicaid – “Refer to Note 3-Product Sales, Net” to the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3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more fully disclosed in Note 3 to the financial statements, the Company reduces gross product sales from list price at the time revenue is recognized for expected charge-backs, discounts, rebates, and sales allowances, which are referred to as gross-to-net (“GTN”) adjustments. These reductions are attributed to various commercial arrangements, managed healthcare organizations, and government programs that mandate various reductions from list price. Charge-backs and cash discounts are reflected as a reduction to receivables and settled through the issuance of credits to the customer. All other rebates, discounts and adjustments, are reflected as a liability and settled through cash payments.</w:t>
      </w:r>
    </w:p>
    <w:p>
      <w:pPr>
        <w:spacing w:after="0" w:line="20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GTN liability related to the U.S. Medicaid government program (the “Medicaid rebate accrual”) involves the use of significant assumptions and judgments in the Company’s calculation. These significant assumptions and judgments include consideration of legal interpretations of applicable laws and regulations, historical claims experience, payer channel mix, current contract prices, unbilled claims, claims submission time lags, and inventory levels in the distribution channel.</w:t>
      </w:r>
    </w:p>
    <w:p>
      <w:pPr>
        <w:spacing w:after="0" w:line="191"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Given the complexity involved in determining the significant assumptions used in calculating the Medicaid rebate accrual, auditing these estimates involved especially subjective judgment.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Medicaid rebate accrual included the following, among others:</w:t>
      </w:r>
    </w:p>
    <w:p>
      <w:pPr>
        <w:spacing w:after="0" w:line="212" w:lineRule="exact"/>
        <w:rPr>
          <w:sz w:val="20"/>
          <w:szCs w:val="20"/>
          <w:color w:val="auto"/>
        </w:rPr>
      </w:pPr>
    </w:p>
    <w:p>
      <w:pPr>
        <w:ind w:left="680" w:right="140" w:hanging="321"/>
        <w:spacing w:after="0" w:line="246" w:lineRule="auto"/>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evaluated the appropriateness and consistency of the Company’s methods and assumptions used to calculate the Medicaid rebate accrual.</w:t>
      </w:r>
    </w:p>
    <w:p>
      <w:pPr>
        <w:spacing w:after="0" w:line="196" w:lineRule="exact"/>
        <w:rPr>
          <w:rFonts w:ascii="Arial" w:cs="Arial" w:eastAsia="Arial" w:hAnsi="Arial"/>
          <w:sz w:val="18"/>
          <w:szCs w:val="18"/>
          <w:color w:val="auto"/>
        </w:rPr>
      </w:pPr>
    </w:p>
    <w:p>
      <w:pPr>
        <w:jc w:val="both"/>
        <w:ind w:left="680" w:right="560" w:hanging="321"/>
        <w:spacing w:after="0" w:line="274" w:lineRule="auto"/>
        <w:tabs>
          <w:tab w:leader="none" w:pos="6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tested the effectiveness of internal controls over the review of the Company’s estimation model, including underlying assumptions and key inputs into the Company’s process to calculate the Medicaid rebate accrual.</w:t>
      </w:r>
    </w:p>
    <w:p>
      <w:pPr>
        <w:spacing w:after="0" w:line="174" w:lineRule="exact"/>
        <w:rPr>
          <w:rFonts w:ascii="Arial" w:cs="Arial" w:eastAsia="Arial" w:hAnsi="Arial"/>
          <w:sz w:val="17"/>
          <w:szCs w:val="17"/>
          <w:color w:val="auto"/>
        </w:rPr>
      </w:pPr>
    </w:p>
    <w:p>
      <w:pPr>
        <w:ind w:left="680" w:hanging="321"/>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tested the mathematical accuracy of the Medicaid rebate accrual.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tested significant assumptions and key inputs used to calculate the Medicaid rebate accrual.</w:t>
      </w:r>
    </w:p>
    <w:p>
      <w:pPr>
        <w:spacing w:after="0" w:line="225" w:lineRule="exact"/>
        <w:rPr>
          <w:rFonts w:ascii="Arial" w:cs="Arial" w:eastAsia="Arial" w:hAnsi="Arial"/>
          <w:sz w:val="18"/>
          <w:szCs w:val="18"/>
          <w:color w:val="auto"/>
        </w:rPr>
      </w:pPr>
    </w:p>
    <w:p>
      <w:pPr>
        <w:ind w:left="680" w:right="640" w:hanging="321"/>
        <w:spacing w:after="0" w:line="246" w:lineRule="auto"/>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evaluated the Company’s ability to estimate the Medicaid rebate accrual accurately by comparing actual amounts incurred for the Medicaid rebate accrual to historical estimates.</w:t>
      </w:r>
    </w:p>
    <w:p>
      <w:pPr>
        <w:spacing w:after="0" w:line="196" w:lineRule="exact"/>
        <w:rPr>
          <w:rFonts w:ascii="Arial" w:cs="Arial" w:eastAsia="Arial" w:hAnsi="Arial"/>
          <w:sz w:val="18"/>
          <w:szCs w:val="18"/>
          <w:color w:val="auto"/>
        </w:rPr>
      </w:pPr>
    </w:p>
    <w:p>
      <w:pPr>
        <w:ind w:left="680" w:right="480" w:hanging="321"/>
        <w:spacing w:after="0" w:line="246" w:lineRule="auto"/>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tested the overall reasonableness of the Medicaid rebate accrual recorded at period end by developing an expectation for comparison to actual recorded balances.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rPr>
          <w:sz w:val="20"/>
          <w:szCs w:val="20"/>
          <w:color w:val="auto"/>
        </w:rPr>
      </w:pPr>
      <w:r>
        <w:rPr>
          <w:rFonts w:ascii="Arial" w:cs="Arial" w:eastAsia="Arial" w:hAnsi="Arial"/>
          <w:sz w:val="18"/>
          <w:szCs w:val="18"/>
          <w:color w:val="auto"/>
        </w:rPr>
        <w:t>February 28, 2022</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line="253" w:lineRule="auto"/>
        <w:rPr>
          <w:sz w:val="20"/>
          <w:szCs w:val="20"/>
          <w:color w:val="auto"/>
        </w:rPr>
      </w:pPr>
      <w:r>
        <w:rPr>
          <w:rFonts w:ascii="Arial" w:cs="Arial" w:eastAsia="Arial" w:hAnsi="Arial"/>
          <w:sz w:val="18"/>
          <w:szCs w:val="18"/>
          <w:b w:val="1"/>
          <w:bCs w:val="1"/>
          <w:color w:val="auto"/>
        </w:rPr>
        <w:t>HARMONY BIOSCIENCES HOLDINGS, INC. AND SUBSIDIARY CONSOLIDATED BALANCE SHEETS (In thousands, except share and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74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6"/>
        </w:trPr>
        <w:tc>
          <w:tcPr>
            <w:tcW w:w="74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2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234,309</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228,631</w:t>
            </w:r>
          </w:p>
        </w:tc>
        <w:tc>
          <w:tcPr>
            <w:tcW w:w="0" w:type="dxa"/>
            <w:vAlign w:val="bottom"/>
          </w:tcPr>
          <w:p>
            <w:pPr>
              <w:spacing w:after="0"/>
              <w:rPr>
                <w:sz w:val="1"/>
                <w:szCs w:val="1"/>
                <w:color w:val="auto"/>
              </w:rPr>
            </w:pPr>
          </w:p>
        </w:tc>
      </w:tr>
      <w:tr>
        <w:trPr>
          <w:trHeight w:val="162"/>
        </w:trPr>
        <w:tc>
          <w:tcPr>
            <w:tcW w:w="7420" w:type="dxa"/>
            <w:vAlign w:val="bottom"/>
          </w:tcPr>
          <w:p>
            <w:pPr>
              <w:ind w:left="220"/>
              <w:spacing w:after="0"/>
              <w:rPr>
                <w:sz w:val="20"/>
                <w:szCs w:val="20"/>
                <w:color w:val="auto"/>
              </w:rPr>
            </w:pPr>
            <w:r>
              <w:rPr>
                <w:rFonts w:ascii="Arial" w:cs="Arial" w:eastAsia="Arial" w:hAnsi="Arial"/>
                <w:sz w:val="14"/>
                <w:szCs w:val="14"/>
                <w:color w:val="auto"/>
              </w:rPr>
              <w:t>Trade receivables, net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34,843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22,176</w:t>
            </w:r>
          </w:p>
        </w:tc>
        <w:tc>
          <w:tcPr>
            <w:tcW w:w="0" w:type="dxa"/>
            <w:vAlign w:val="bottom"/>
          </w:tcPr>
          <w:p>
            <w:pPr>
              <w:spacing w:after="0"/>
              <w:rPr>
                <w:sz w:val="1"/>
                <w:szCs w:val="1"/>
                <w:color w:val="auto"/>
              </w:rPr>
            </w:pPr>
          </w:p>
        </w:tc>
      </w:tr>
      <w:tr>
        <w:trPr>
          <w:trHeight w:val="162"/>
        </w:trPr>
        <w:tc>
          <w:tcPr>
            <w:tcW w:w="7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Inventory, net</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4,432</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3,823</w:t>
            </w:r>
          </w:p>
        </w:tc>
        <w:tc>
          <w:tcPr>
            <w:tcW w:w="0" w:type="dxa"/>
            <w:vAlign w:val="bottom"/>
          </w:tcPr>
          <w:p>
            <w:pPr>
              <w:spacing w:after="0"/>
              <w:rPr>
                <w:sz w:val="1"/>
                <w:szCs w:val="1"/>
                <w:color w:val="auto"/>
              </w:rPr>
            </w:pPr>
          </w:p>
        </w:tc>
      </w:tr>
      <w:tr>
        <w:trPr>
          <w:trHeight w:val="162"/>
        </w:trPr>
        <w:tc>
          <w:tcPr>
            <w:tcW w:w="7420" w:type="dxa"/>
            <w:vAlign w:val="bottom"/>
          </w:tcPr>
          <w:p>
            <w:pPr>
              <w:ind w:left="220"/>
              <w:spacing w:after="0"/>
              <w:rPr>
                <w:sz w:val="20"/>
                <w:szCs w:val="20"/>
                <w:color w:val="auto"/>
              </w:rPr>
            </w:pPr>
            <w:r>
              <w:rPr>
                <w:rFonts w:ascii="Arial" w:cs="Arial" w:eastAsia="Arial" w:hAnsi="Arial"/>
                <w:sz w:val="14"/>
                <w:szCs w:val="14"/>
                <w:color w:val="auto"/>
              </w:rPr>
              <w:t>Prepaid expenses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7,637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6,959</w:t>
            </w:r>
          </w:p>
        </w:tc>
        <w:tc>
          <w:tcPr>
            <w:tcW w:w="0" w:type="dxa"/>
            <w:vAlign w:val="bottom"/>
          </w:tcPr>
          <w:p>
            <w:pPr>
              <w:spacing w:after="0"/>
              <w:rPr>
                <w:sz w:val="1"/>
                <w:szCs w:val="1"/>
                <w:color w:val="auto"/>
              </w:rPr>
            </w:pPr>
          </w:p>
        </w:tc>
      </w:tr>
      <w:tr>
        <w:trPr>
          <w:trHeight w:val="162"/>
        </w:trPr>
        <w:tc>
          <w:tcPr>
            <w:tcW w:w="7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current assets</w:t>
            </w:r>
          </w:p>
        </w:tc>
        <w:tc>
          <w:tcPr>
            <w:tcW w:w="1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3,218</w:t>
            </w: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1,302</w:t>
            </w:r>
          </w:p>
        </w:tc>
        <w:tc>
          <w:tcPr>
            <w:tcW w:w="0" w:type="dxa"/>
            <w:vAlign w:val="bottom"/>
          </w:tcPr>
          <w:p>
            <w:pPr>
              <w:spacing w:after="0"/>
              <w:rPr>
                <w:sz w:val="1"/>
                <w:szCs w:val="1"/>
                <w:color w:val="auto"/>
              </w:rPr>
            </w:pPr>
          </w:p>
        </w:tc>
      </w:tr>
      <w:tr>
        <w:trPr>
          <w:trHeight w:val="156"/>
        </w:trPr>
        <w:tc>
          <w:tcPr>
            <w:tcW w:w="742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current assets</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284,439</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262,891</w:t>
            </w:r>
          </w:p>
        </w:tc>
        <w:tc>
          <w:tcPr>
            <w:tcW w:w="0" w:type="dxa"/>
            <w:vAlign w:val="bottom"/>
          </w:tcPr>
          <w:p>
            <w:pPr>
              <w:spacing w:after="0"/>
              <w:rPr>
                <w:sz w:val="1"/>
                <w:szCs w:val="1"/>
                <w:color w:val="auto"/>
              </w:rPr>
            </w:pPr>
          </w:p>
        </w:tc>
      </w:tr>
      <w:tr>
        <w:trPr>
          <w:trHeight w:val="155"/>
        </w:trPr>
        <w:tc>
          <w:tcPr>
            <w:tcW w:w="7420" w:type="dxa"/>
            <w:vAlign w:val="bottom"/>
            <w:shd w:val="clear" w:color="auto" w:fill="CCEEFF"/>
          </w:tcPr>
          <w:p>
            <w:pPr>
              <w:ind w:left="120"/>
              <w:spacing w:after="0" w:line="155" w:lineRule="exact"/>
              <w:rPr>
                <w:sz w:val="20"/>
                <w:szCs w:val="20"/>
                <w:color w:val="auto"/>
              </w:rPr>
            </w:pPr>
            <w:r>
              <w:rPr>
                <w:rFonts w:ascii="Arial" w:cs="Arial" w:eastAsia="Arial" w:hAnsi="Arial"/>
                <w:sz w:val="14"/>
                <w:szCs w:val="14"/>
                <w:color w:val="auto"/>
              </w:rPr>
              <w:t>NONCURRENT ASSETS:</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22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938</w:t>
            </w:r>
          </w:p>
        </w:tc>
        <w:tc>
          <w:tcPr>
            <w:tcW w:w="0" w:type="dxa"/>
            <w:vAlign w:val="bottom"/>
          </w:tcPr>
          <w:p>
            <w:pPr>
              <w:spacing w:after="0"/>
              <w:rPr>
                <w:sz w:val="1"/>
                <w:szCs w:val="1"/>
                <w:color w:val="auto"/>
              </w:rPr>
            </w:pPr>
          </w:p>
        </w:tc>
      </w:tr>
      <w:tr>
        <w:trPr>
          <w:trHeight w:val="162"/>
        </w:trPr>
        <w:tc>
          <w:tcPr>
            <w:tcW w:w="7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62"/>
        </w:trPr>
        <w:tc>
          <w:tcPr>
            <w:tcW w:w="7420" w:type="dxa"/>
            <w:vAlign w:val="bottom"/>
          </w:tcPr>
          <w:p>
            <w:pPr>
              <w:ind w:left="220"/>
              <w:spacing w:after="0"/>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143,919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162,343</w:t>
            </w:r>
          </w:p>
        </w:tc>
        <w:tc>
          <w:tcPr>
            <w:tcW w:w="0" w:type="dxa"/>
            <w:vAlign w:val="bottom"/>
          </w:tcPr>
          <w:p>
            <w:pPr>
              <w:spacing w:after="0"/>
              <w:rPr>
                <w:sz w:val="1"/>
                <w:szCs w:val="1"/>
                <w:color w:val="auto"/>
              </w:rPr>
            </w:pPr>
          </w:p>
        </w:tc>
      </w:tr>
      <w:tr>
        <w:trPr>
          <w:trHeight w:val="162"/>
        </w:trPr>
        <w:tc>
          <w:tcPr>
            <w:tcW w:w="7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assets</w:t>
            </w:r>
          </w:p>
        </w:tc>
        <w:tc>
          <w:tcPr>
            <w:tcW w:w="1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3,515</w:t>
            </w: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56"/>
        </w:trPr>
        <w:tc>
          <w:tcPr>
            <w:tcW w:w="742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noncurrent assets</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149,004</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164,183</w:t>
            </w:r>
          </w:p>
        </w:tc>
        <w:tc>
          <w:tcPr>
            <w:tcW w:w="0" w:type="dxa"/>
            <w:vAlign w:val="bottom"/>
          </w:tcPr>
          <w:p>
            <w:pPr>
              <w:spacing w:after="0"/>
              <w:rPr>
                <w:sz w:val="1"/>
                <w:szCs w:val="1"/>
                <w:color w:val="auto"/>
              </w:rPr>
            </w:pPr>
          </w:p>
        </w:tc>
      </w:tr>
      <w:tr>
        <w:trPr>
          <w:trHeight w:val="155"/>
        </w:trPr>
        <w:tc>
          <w:tcPr>
            <w:tcW w:w="74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ASSETS</w:t>
            </w:r>
          </w:p>
        </w:tc>
        <w:tc>
          <w:tcPr>
            <w:tcW w:w="400" w:type="dxa"/>
            <w:vAlign w:val="bottom"/>
            <w:gridSpan w:val="2"/>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433,443</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427,074</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LIABILITIES AND STOCKHOLDERS’ EQUITY</w:t>
            </w: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220"/>
              <w:spacing w:after="0"/>
              <w:rPr>
                <w:sz w:val="20"/>
                <w:szCs w:val="20"/>
                <w:color w:val="auto"/>
              </w:rPr>
            </w:pPr>
            <w:r>
              <w:rPr>
                <w:rFonts w:ascii="Arial" w:cs="Arial" w:eastAsia="Arial" w:hAnsi="Arial"/>
                <w:sz w:val="14"/>
                <w:szCs w:val="14"/>
                <w:color w:val="auto"/>
              </w:rPr>
              <w:t>Trade payables</w:t>
            </w:r>
          </w:p>
        </w:tc>
        <w:tc>
          <w:tcPr>
            <w:tcW w:w="4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1,001</w:t>
            </w:r>
          </w:p>
        </w:tc>
        <w:tc>
          <w:tcPr>
            <w:tcW w:w="22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2,556</w:t>
            </w:r>
          </w:p>
        </w:tc>
        <w:tc>
          <w:tcPr>
            <w:tcW w:w="0" w:type="dxa"/>
            <w:vAlign w:val="bottom"/>
          </w:tcPr>
          <w:p>
            <w:pPr>
              <w:spacing w:after="0"/>
              <w:rPr>
                <w:sz w:val="1"/>
                <w:szCs w:val="1"/>
                <w:color w:val="auto"/>
              </w:rPr>
            </w:pPr>
          </w:p>
        </w:tc>
      </w:tr>
      <w:tr>
        <w:trPr>
          <w:trHeight w:val="162"/>
        </w:trPr>
        <w:tc>
          <w:tcPr>
            <w:tcW w:w="7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compensation</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9,165</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8,942</w:t>
            </w:r>
          </w:p>
        </w:tc>
        <w:tc>
          <w:tcPr>
            <w:tcW w:w="0" w:type="dxa"/>
            <w:vAlign w:val="bottom"/>
          </w:tcPr>
          <w:p>
            <w:pPr>
              <w:spacing w:after="0"/>
              <w:rPr>
                <w:sz w:val="1"/>
                <w:szCs w:val="1"/>
                <w:color w:val="auto"/>
              </w:rPr>
            </w:pPr>
          </w:p>
        </w:tc>
      </w:tr>
      <w:tr>
        <w:trPr>
          <w:trHeight w:val="162"/>
        </w:trPr>
        <w:tc>
          <w:tcPr>
            <w:tcW w:w="7420" w:type="dxa"/>
            <w:vAlign w:val="bottom"/>
          </w:tcPr>
          <w:p>
            <w:pPr>
              <w:ind w:left="220"/>
              <w:spacing w:after="0"/>
              <w:rPr>
                <w:sz w:val="20"/>
                <w:szCs w:val="20"/>
                <w:color w:val="auto"/>
              </w:rPr>
            </w:pPr>
            <w:r>
              <w:rPr>
                <w:rFonts w:ascii="Arial" w:cs="Arial" w:eastAsia="Arial" w:hAnsi="Arial"/>
                <w:sz w:val="14"/>
                <w:szCs w:val="14"/>
                <w:color w:val="auto"/>
              </w:rPr>
              <w:t>Accrued expenses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40,249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122,727</w:t>
            </w:r>
          </w:p>
        </w:tc>
        <w:tc>
          <w:tcPr>
            <w:tcW w:w="0" w:type="dxa"/>
            <w:vAlign w:val="bottom"/>
          </w:tcPr>
          <w:p>
            <w:pPr>
              <w:spacing w:after="0"/>
              <w:rPr>
                <w:sz w:val="1"/>
                <w:szCs w:val="1"/>
                <w:color w:val="auto"/>
              </w:rPr>
            </w:pPr>
          </w:p>
        </w:tc>
      </w:tr>
      <w:tr>
        <w:trPr>
          <w:trHeight w:val="162"/>
        </w:trPr>
        <w:tc>
          <w:tcPr>
            <w:tcW w:w="7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portion of long term debt</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4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liabilities</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1,360</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56"/>
        </w:trPr>
        <w:tc>
          <w:tcPr>
            <w:tcW w:w="742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53,775</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134,539</w:t>
            </w:r>
          </w:p>
        </w:tc>
        <w:tc>
          <w:tcPr>
            <w:tcW w:w="0" w:type="dxa"/>
            <w:vAlign w:val="bottom"/>
          </w:tcPr>
          <w:p>
            <w:pPr>
              <w:spacing w:after="0"/>
              <w:rPr>
                <w:sz w:val="1"/>
                <w:szCs w:val="1"/>
                <w:color w:val="auto"/>
              </w:rPr>
            </w:pPr>
          </w:p>
        </w:tc>
      </w:tr>
      <w:tr>
        <w:trPr>
          <w:trHeight w:val="156"/>
        </w:trPr>
        <w:tc>
          <w:tcPr>
            <w:tcW w:w="7420" w:type="dxa"/>
            <w:vAlign w:val="bottom"/>
          </w:tcPr>
          <w:p>
            <w:pPr>
              <w:ind w:left="120"/>
              <w:spacing w:after="0" w:line="155" w:lineRule="exact"/>
              <w:rPr>
                <w:sz w:val="20"/>
                <w:szCs w:val="20"/>
                <w:color w:val="auto"/>
              </w:rPr>
            </w:pPr>
            <w:r>
              <w:rPr>
                <w:rFonts w:ascii="Arial" w:cs="Arial" w:eastAsia="Arial" w:hAnsi="Arial"/>
                <w:sz w:val="14"/>
                <w:szCs w:val="14"/>
                <w:color w:val="auto"/>
              </w:rPr>
              <w:t>NONCURRENT LIABILITIES:</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Long term debt, net</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189,984</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194,250</w:t>
            </w:r>
          </w:p>
        </w:tc>
        <w:tc>
          <w:tcPr>
            <w:tcW w:w="0" w:type="dxa"/>
            <w:vAlign w:val="bottom"/>
          </w:tcPr>
          <w:p>
            <w:pPr>
              <w:spacing w:after="0"/>
              <w:rPr>
                <w:sz w:val="1"/>
                <w:szCs w:val="1"/>
                <w:color w:val="auto"/>
              </w:rPr>
            </w:pPr>
          </w:p>
        </w:tc>
      </w:tr>
      <w:tr>
        <w:trPr>
          <w:trHeight w:val="162"/>
        </w:trPr>
        <w:tc>
          <w:tcPr>
            <w:tcW w:w="74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noncurrent liabilities</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3,177</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155"/>
        </w:trPr>
        <w:tc>
          <w:tcPr>
            <w:tcW w:w="742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noncurrent liabilities</w:t>
            </w:r>
          </w:p>
        </w:tc>
        <w:tc>
          <w:tcPr>
            <w:tcW w:w="1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193,161</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195,355</w:t>
            </w:r>
          </w:p>
        </w:tc>
        <w:tc>
          <w:tcPr>
            <w:tcW w:w="0" w:type="dxa"/>
            <w:vAlign w:val="bottom"/>
          </w:tcPr>
          <w:p>
            <w:pPr>
              <w:spacing w:after="0"/>
              <w:rPr>
                <w:sz w:val="1"/>
                <w:szCs w:val="1"/>
                <w:color w:val="auto"/>
              </w:rPr>
            </w:pPr>
          </w:p>
        </w:tc>
      </w:tr>
      <w:tr>
        <w:trPr>
          <w:trHeight w:val="155"/>
        </w:trPr>
        <w:tc>
          <w:tcPr>
            <w:tcW w:w="7420" w:type="dxa"/>
            <w:vAlign w:val="bottom"/>
            <w:tcBorders>
              <w:bottom w:val="single" w:sz="8" w:color="CCEEFF"/>
            </w:tcBorders>
          </w:tcPr>
          <w:p>
            <w:pPr>
              <w:ind w:left="340"/>
              <w:spacing w:after="0" w:line="155" w:lineRule="exact"/>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246,936</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329,894</w:t>
            </w:r>
          </w:p>
        </w:tc>
        <w:tc>
          <w:tcPr>
            <w:tcW w:w="0" w:type="dxa"/>
            <w:vAlign w:val="bottom"/>
          </w:tcPr>
          <w:p>
            <w:pPr>
              <w:spacing w:after="0"/>
              <w:rPr>
                <w:sz w:val="1"/>
                <w:szCs w:val="1"/>
                <w:color w:val="auto"/>
              </w:rPr>
            </w:pPr>
          </w:p>
        </w:tc>
      </w:tr>
      <w:tr>
        <w:trPr>
          <w:trHeight w:val="155"/>
        </w:trPr>
        <w:tc>
          <w:tcPr>
            <w:tcW w:w="7420" w:type="dxa"/>
            <w:vAlign w:val="bottom"/>
            <w:shd w:val="clear" w:color="auto" w:fill="CCEEFF"/>
          </w:tcPr>
          <w:p>
            <w:pPr>
              <w:ind w:left="120"/>
              <w:spacing w:after="0" w:line="155" w:lineRule="exact"/>
              <w:rPr>
                <w:sz w:val="20"/>
                <w:szCs w:val="20"/>
                <w:color w:val="auto"/>
              </w:rPr>
            </w:pPr>
            <w:r>
              <w:rPr>
                <w:rFonts w:ascii="Arial" w:cs="Arial" w:eastAsia="Arial" w:hAnsi="Arial"/>
                <w:sz w:val="14"/>
                <w:szCs w:val="14"/>
                <w:color w:val="auto"/>
              </w:rPr>
              <w:t>COMMITMENTS AND CONTINGENCIES (Note 9)</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120"/>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Preferred stock - $0.00001 par value; 10,000,000 shares and 00 shares authorized at December 31, 2021 and</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December 31, 2020, respectively; 00 shares issued and outstanding at December 31, 2021 and</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42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December 31, 2020, respectively</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7420" w:type="dxa"/>
            <w:vAlign w:val="bottom"/>
          </w:tcPr>
          <w:p>
            <w:pPr>
              <w:ind w:left="220"/>
              <w:spacing w:after="0"/>
              <w:rPr>
                <w:sz w:val="20"/>
                <w:szCs w:val="20"/>
                <w:color w:val="auto"/>
              </w:rPr>
            </w:pPr>
            <w:r>
              <w:rPr>
                <w:rFonts w:ascii="Arial" w:cs="Arial" w:eastAsia="Arial" w:hAnsi="Arial"/>
                <w:sz w:val="14"/>
                <w:szCs w:val="14"/>
                <w:color w:val="auto"/>
              </w:rPr>
              <w:t>Common stock—$0.00001 par value; 500,000,000 shares authorized at December 31, 2021 and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220"/>
              <w:spacing w:after="0"/>
              <w:rPr>
                <w:sz w:val="20"/>
                <w:szCs w:val="20"/>
                <w:color w:val="auto"/>
              </w:rPr>
            </w:pPr>
            <w:r>
              <w:rPr>
                <w:rFonts w:ascii="Arial" w:cs="Arial" w:eastAsia="Arial" w:hAnsi="Arial"/>
                <w:sz w:val="14"/>
                <w:szCs w:val="14"/>
                <w:color w:val="auto"/>
              </w:rPr>
              <w:t>December 31, 2020, respectively; 58,825,769 shares and 56,890,569 issued and outstanding at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420" w:type="dxa"/>
            <w:vAlign w:val="bottom"/>
          </w:tcPr>
          <w:p>
            <w:pPr>
              <w:ind w:left="220"/>
              <w:spacing w:after="0" w:line="157" w:lineRule="exact"/>
              <w:rPr>
                <w:sz w:val="20"/>
                <w:szCs w:val="20"/>
                <w:color w:val="auto"/>
              </w:rPr>
            </w:pPr>
            <w:r>
              <w:rPr>
                <w:rFonts w:ascii="Arial" w:cs="Arial" w:eastAsia="Arial" w:hAnsi="Arial"/>
                <w:sz w:val="14"/>
                <w:szCs w:val="14"/>
                <w:color w:val="auto"/>
              </w:rPr>
              <w:t>December 31, 2021 and December 31, 2020, respectively</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7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 in capital</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640,104</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585,374</w:t>
            </w:r>
          </w:p>
        </w:tc>
        <w:tc>
          <w:tcPr>
            <w:tcW w:w="0" w:type="dxa"/>
            <w:vAlign w:val="bottom"/>
          </w:tcPr>
          <w:p>
            <w:pPr>
              <w:spacing w:after="0"/>
              <w:rPr>
                <w:sz w:val="1"/>
                <w:szCs w:val="1"/>
                <w:color w:val="auto"/>
              </w:rPr>
            </w:pPr>
          </w:p>
        </w:tc>
      </w:tr>
      <w:tr>
        <w:trPr>
          <w:trHeight w:val="162"/>
        </w:trPr>
        <w:tc>
          <w:tcPr>
            <w:tcW w:w="74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Accumulated deficit</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(453,598)</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(488,195)</w:t>
            </w:r>
          </w:p>
        </w:tc>
        <w:tc>
          <w:tcPr>
            <w:tcW w:w="0" w:type="dxa"/>
            <w:vAlign w:val="bottom"/>
          </w:tcPr>
          <w:p>
            <w:pPr>
              <w:spacing w:after="0"/>
              <w:rPr>
                <w:sz w:val="1"/>
                <w:szCs w:val="1"/>
                <w:color w:val="auto"/>
              </w:rPr>
            </w:pPr>
          </w:p>
        </w:tc>
      </w:tr>
      <w:tr>
        <w:trPr>
          <w:trHeight w:val="155"/>
        </w:trPr>
        <w:tc>
          <w:tcPr>
            <w:tcW w:w="7420" w:type="dxa"/>
            <w:vAlign w:val="bottom"/>
            <w:shd w:val="clear" w:color="auto" w:fill="CCEEFF"/>
          </w:tcPr>
          <w:p>
            <w:pPr>
              <w:ind w:left="340"/>
              <w:spacing w:after="0" w:line="155" w:lineRule="exact"/>
              <w:rPr>
                <w:sz w:val="20"/>
                <w:szCs w:val="20"/>
                <w:color w:val="auto"/>
              </w:rPr>
            </w:pPr>
            <w:r>
              <w:rPr>
                <w:rFonts w:ascii="Arial" w:cs="Arial" w:eastAsia="Arial" w:hAnsi="Arial"/>
                <w:sz w:val="14"/>
                <w:szCs w:val="14"/>
                <w:color w:val="auto"/>
              </w:rPr>
              <w:t>TOTAL STOCKHOLDERS’ EQUITY</w:t>
            </w:r>
          </w:p>
        </w:tc>
        <w:tc>
          <w:tcPr>
            <w:tcW w:w="1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186,507</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97,180</w:t>
            </w:r>
          </w:p>
        </w:tc>
        <w:tc>
          <w:tcPr>
            <w:tcW w:w="0" w:type="dxa"/>
            <w:vAlign w:val="bottom"/>
          </w:tcPr>
          <w:p>
            <w:pPr>
              <w:spacing w:after="0"/>
              <w:rPr>
                <w:sz w:val="1"/>
                <w:szCs w:val="1"/>
                <w:color w:val="auto"/>
              </w:rPr>
            </w:pPr>
          </w:p>
        </w:tc>
      </w:tr>
      <w:tr>
        <w:trPr>
          <w:trHeight w:val="156"/>
        </w:trPr>
        <w:tc>
          <w:tcPr>
            <w:tcW w:w="7420" w:type="dxa"/>
            <w:vAlign w:val="bottom"/>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400" w:type="dxa"/>
            <w:vAlign w:val="bottom"/>
            <w:gridSpan w:val="2"/>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433,443</w:t>
            </w:r>
          </w:p>
        </w:tc>
        <w:tc>
          <w:tcPr>
            <w:tcW w:w="220" w:type="dxa"/>
            <w:vAlign w:val="bottom"/>
          </w:tcPr>
          <w:p>
            <w:pPr>
              <w:spacing w:after="0"/>
              <w:rPr>
                <w:sz w:val="13"/>
                <w:szCs w:val="13"/>
                <w:color w:val="auto"/>
              </w:rPr>
            </w:pPr>
          </w:p>
        </w:tc>
        <w:tc>
          <w:tcPr>
            <w:tcW w:w="22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427,074</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HARMONY BIOSCIENCES HOLDINGS, INC. AND SUBSIDIARY CONSOLIDATED STATEMENTS OF OPERATIONS AND COMPREHENSIVE INCOME (LOSS) (In thousands, except share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76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product revenues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305,440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159,742 $</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5,995</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sold</w:t>
            </w:r>
          </w:p>
        </w:tc>
        <w:tc>
          <w:tcPr>
            <w:tcW w:w="5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55,518</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71"/>
              <w:spacing w:after="0" w:line="202" w:lineRule="exact"/>
              <w:rPr>
                <w:sz w:val="20"/>
                <w:szCs w:val="20"/>
                <w:color w:val="auto"/>
              </w:rPr>
            </w:pPr>
            <w:r>
              <w:rPr>
                <w:rFonts w:ascii="Arial" w:cs="Arial" w:eastAsia="Arial" w:hAnsi="Arial"/>
                <w:sz w:val="18"/>
                <w:szCs w:val="18"/>
                <w:color w:val="auto"/>
              </w:rPr>
              <w:t>27,738</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196"/>
        </w:trPr>
        <w:tc>
          <w:tcPr>
            <w:tcW w:w="576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Gross profit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249,922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71"/>
              <w:spacing w:after="0" w:line="196" w:lineRule="exact"/>
              <w:rPr>
                <w:sz w:val="20"/>
                <w:szCs w:val="20"/>
                <w:color w:val="auto"/>
              </w:rPr>
            </w:pPr>
            <w:r>
              <w:rPr>
                <w:rFonts w:ascii="Arial" w:cs="Arial" w:eastAsia="Arial" w:hAnsi="Arial"/>
                <w:sz w:val="18"/>
                <w:szCs w:val="18"/>
                <w:color w:val="auto"/>
              </w:rPr>
              <w:t>132,004</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4,418</w:t>
            </w:r>
          </w:p>
        </w:tc>
        <w:tc>
          <w:tcPr>
            <w:tcW w:w="0" w:type="dxa"/>
            <w:vAlign w:val="bottom"/>
          </w:tcPr>
          <w:p>
            <w:pPr>
              <w:spacing w:after="0"/>
              <w:rPr>
                <w:sz w:val="1"/>
                <w:szCs w:val="1"/>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30,367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19,448</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69,595</w:t>
            </w:r>
          </w:p>
        </w:tc>
        <w:tc>
          <w:tcPr>
            <w:tcW w:w="0" w:type="dxa"/>
            <w:vAlign w:val="bottom"/>
          </w:tcPr>
          <w:p>
            <w:pPr>
              <w:spacing w:after="0"/>
              <w:rPr>
                <w:sz w:val="1"/>
                <w:szCs w:val="1"/>
                <w:color w:val="auto"/>
              </w:rPr>
            </w:pPr>
          </w:p>
        </w:tc>
      </w:tr>
      <w:tr>
        <w:trPr>
          <w:trHeight w:val="203"/>
        </w:trPr>
        <w:tc>
          <w:tcPr>
            <w:tcW w:w="5760" w:type="dxa"/>
            <w:vAlign w:val="bottom"/>
          </w:tcPr>
          <w:p>
            <w:pPr>
              <w:ind w:left="220"/>
              <w:spacing w:after="0" w:line="202" w:lineRule="exact"/>
              <w:rPr>
                <w:sz w:val="20"/>
                <w:szCs w:val="20"/>
                <w:color w:val="auto"/>
              </w:rPr>
            </w:pPr>
            <w:r>
              <w:rPr>
                <w:rFonts w:ascii="Arial" w:cs="Arial" w:eastAsia="Arial" w:hAnsi="Arial"/>
                <w:sz w:val="18"/>
                <w:szCs w:val="18"/>
                <w:color w:val="auto"/>
              </w:rPr>
              <w:t>Sales and marketing</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68,118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55,824</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44,318</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63,909</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39,746</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36,409</w:t>
            </w:r>
          </w:p>
        </w:tc>
        <w:tc>
          <w:tcPr>
            <w:tcW w:w="0" w:type="dxa"/>
            <w:vAlign w:val="bottom"/>
          </w:tcPr>
          <w:p>
            <w:pPr>
              <w:spacing w:after="0"/>
              <w:rPr>
                <w:sz w:val="1"/>
                <w:szCs w:val="1"/>
                <w:color w:val="auto"/>
              </w:rPr>
            </w:pPr>
          </w:p>
        </w:tc>
      </w:tr>
      <w:tr>
        <w:trPr>
          <w:trHeight w:val="196"/>
        </w:trPr>
        <w:tc>
          <w:tcPr>
            <w:tcW w:w="5760" w:type="dxa"/>
            <w:vAlign w:val="bottom"/>
          </w:tcPr>
          <w:p>
            <w:pPr>
              <w:ind w:left="440"/>
              <w:spacing w:after="0" w:line="196" w:lineRule="exact"/>
              <w:rPr>
                <w:sz w:val="20"/>
                <w:szCs w:val="20"/>
                <w:color w:val="auto"/>
              </w:rPr>
            </w:pPr>
            <w:r>
              <w:rPr>
                <w:rFonts w:ascii="Arial" w:cs="Arial" w:eastAsia="Arial" w:hAnsi="Arial"/>
                <w:sz w:val="18"/>
                <w:szCs w:val="18"/>
                <w:color w:val="auto"/>
              </w:rPr>
              <w:t>Total operating expenses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162,394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71"/>
              <w:spacing w:after="0" w:line="196" w:lineRule="exact"/>
              <w:rPr>
                <w:sz w:val="20"/>
                <w:szCs w:val="20"/>
                <w:color w:val="auto"/>
              </w:rPr>
            </w:pPr>
            <w:r>
              <w:rPr>
                <w:rFonts w:ascii="Arial" w:cs="Arial" w:eastAsia="Arial" w:hAnsi="Arial"/>
                <w:sz w:val="18"/>
                <w:szCs w:val="18"/>
                <w:color w:val="auto"/>
              </w:rPr>
              <w:t>115,018</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150,322</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87,528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16,986</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(145,904)</w:t>
            </w:r>
          </w:p>
        </w:tc>
        <w:tc>
          <w:tcPr>
            <w:tcW w:w="0" w:type="dxa"/>
            <w:vAlign w:val="bottom"/>
          </w:tcPr>
          <w:p>
            <w:pPr>
              <w:spacing w:after="0"/>
              <w:rPr>
                <w:sz w:val="1"/>
                <w:szCs w:val="1"/>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Loss on debt extinguishment</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(26,146)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(22,639)</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 net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(3,071)</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expense, net</w:t>
            </w:r>
          </w:p>
        </w:tc>
        <w:tc>
          <w:tcPr>
            <w:tcW w:w="5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(23,970)</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(28,220)</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(6,073)</w:t>
            </w:r>
          </w:p>
        </w:tc>
        <w:tc>
          <w:tcPr>
            <w:tcW w:w="0" w:type="dxa"/>
            <w:vAlign w:val="bottom"/>
          </w:tcPr>
          <w:p>
            <w:pPr>
              <w:spacing w:after="0"/>
              <w:rPr>
                <w:sz w:val="1"/>
                <w:szCs w:val="1"/>
                <w:color w:val="auto"/>
              </w:rPr>
            </w:pPr>
          </w:p>
        </w:tc>
      </w:tr>
      <w:tr>
        <w:trPr>
          <w:trHeight w:val="196"/>
        </w:trPr>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37,428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(36,944)</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(151,977)</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Income tax expense</w:t>
            </w:r>
          </w:p>
        </w:tc>
        <w:tc>
          <w:tcPr>
            <w:tcW w:w="5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(2,831)</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and comprehensive income (loss)</w:t>
            </w:r>
          </w:p>
        </w:tc>
        <w:tc>
          <w:tcPr>
            <w:tcW w:w="5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34,597</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(36,944)$</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(151,977)</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Accumulation of dividends on preferred stock</w:t>
            </w:r>
          </w:p>
        </w:tc>
        <w:tc>
          <w:tcPr>
            <w:tcW w:w="5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color w:val="auto"/>
              </w:rPr>
              <w:t>(26,904)</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(35,231)</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 available to common stockholders</w:t>
            </w:r>
          </w:p>
        </w:tc>
        <w:tc>
          <w:tcPr>
            <w:tcW w:w="5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34,597</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(63,848)$</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(187,208)</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0.60</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(2.48)$</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03"/>
        </w:trPr>
        <w:tc>
          <w:tcPr>
            <w:tcW w:w="5760" w:type="dxa"/>
            <w:vAlign w:val="bottom"/>
          </w:tcPr>
          <w:p>
            <w:pPr>
              <w:ind w:left="220"/>
              <w:spacing w:after="0" w:line="202" w:lineRule="exact"/>
              <w:rPr>
                <w:sz w:val="20"/>
                <w:szCs w:val="20"/>
                <w:color w:val="auto"/>
              </w:rPr>
            </w:pPr>
            <w:r>
              <w:rPr>
                <w:rFonts w:ascii="Arial" w:cs="Arial" w:eastAsia="Arial" w:hAnsi="Arial"/>
                <w:sz w:val="18"/>
                <w:szCs w:val="18"/>
                <w:color w:val="auto"/>
              </w:rPr>
              <w:t>Diluted</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0.58</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(2.48)$</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Weighted average number of shares of common stock - basic</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57,531,540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25,772,419</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7,777,441</w:t>
            </w:r>
          </w:p>
        </w:tc>
        <w:tc>
          <w:tcPr>
            <w:tcW w:w="0" w:type="dxa"/>
            <w:vAlign w:val="bottom"/>
          </w:tcPr>
          <w:p>
            <w:pPr>
              <w:spacing w:after="0"/>
              <w:rPr>
                <w:sz w:val="1"/>
                <w:szCs w:val="1"/>
                <w:color w:val="auto"/>
              </w:rPr>
            </w:pPr>
          </w:p>
        </w:tc>
      </w:tr>
      <w:tr>
        <w:trPr>
          <w:trHeight w:val="217"/>
        </w:trPr>
        <w:tc>
          <w:tcPr>
            <w:tcW w:w="5760" w:type="dxa"/>
            <w:vAlign w:val="bottom"/>
          </w:tcPr>
          <w:p>
            <w:pPr>
              <w:ind w:left="220"/>
              <w:spacing w:after="0"/>
              <w:rPr>
                <w:sz w:val="20"/>
                <w:szCs w:val="20"/>
                <w:color w:val="auto"/>
              </w:rPr>
            </w:pPr>
            <w:r>
              <w:rPr>
                <w:rFonts w:ascii="Arial" w:cs="Arial" w:eastAsia="Arial" w:hAnsi="Arial"/>
                <w:sz w:val="18"/>
                <w:szCs w:val="18"/>
                <w:color w:val="auto"/>
              </w:rPr>
              <w:t>Weighted average number of shares of common stock - diluted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59,205,213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25,772,419</w:t>
            </w:r>
          </w:p>
        </w:tc>
        <w:tc>
          <w:tcPr>
            <w:tcW w:w="900" w:type="dxa"/>
            <w:vAlign w:val="bottom"/>
          </w:tcPr>
          <w:p>
            <w:pPr>
              <w:jc w:val="right"/>
              <w:spacing w:after="0"/>
              <w:rPr>
                <w:sz w:val="20"/>
                <w:szCs w:val="20"/>
                <w:color w:val="auto"/>
              </w:rPr>
            </w:pPr>
            <w:r>
              <w:rPr>
                <w:rFonts w:ascii="Arial" w:cs="Arial" w:eastAsia="Arial" w:hAnsi="Arial"/>
                <w:sz w:val="18"/>
                <w:szCs w:val="18"/>
                <w:color w:val="auto"/>
              </w:rPr>
              <w:t>7,777,441</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6" w:name="page97"/>
    <w:bookmarkEnd w:id="96"/>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HARMONY BIOSCIENCES HOLDINGS, INC. AND SUBSIDIARY CONSOLIDATED STATEMENTS OF CONVERTIBLE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w:t>
      </w:r>
    </w:p>
    <w:p>
      <w:pPr>
        <w:jc w:val="center"/>
        <w:spacing w:after="0"/>
        <w:rPr>
          <w:sz w:val="20"/>
          <w:szCs w:val="20"/>
          <w:color w:val="auto"/>
        </w:rPr>
      </w:pPr>
      <w:r>
        <w:rPr>
          <w:rFonts w:ascii="Arial" w:cs="Arial" w:eastAsia="Arial" w:hAnsi="Arial"/>
          <w:sz w:val="18"/>
          <w:szCs w:val="18"/>
          <w:b w:val="1"/>
          <w:bCs w:val="1"/>
          <w:color w:val="auto"/>
        </w:rPr>
        <w:t>STOCK AND STOCKHOLDERS’ EQUITY (DEFICIT) (In thousands, except share and per share data)</w:t>
      </w:r>
    </w:p>
    <w:p>
      <w:pPr>
        <w:spacing w:after="0" w:line="213" w:lineRule="exact"/>
        <w:rPr>
          <w:sz w:val="20"/>
          <w:szCs w:val="20"/>
          <w:color w:val="auto"/>
        </w:rPr>
      </w:pPr>
    </w:p>
    <w:tbl>
      <w:tblPr>
        <w:tblLayout w:type="fixed"/>
        <w:tblInd w:w="1"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212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6"/>
                <w:szCs w:val="16"/>
                <w:b w:val="1"/>
                <w:bCs w:val="1"/>
                <w:color w:val="auto"/>
              </w:rPr>
              <w:t>Convertible Preferred</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Total</w:t>
            </w:r>
          </w:p>
        </w:tc>
      </w:tr>
      <w:tr>
        <w:trPr>
          <w:trHeight w:val="189"/>
        </w:trPr>
        <w:tc>
          <w:tcPr>
            <w:tcW w:w="2880" w:type="dxa"/>
            <w:vAlign w:val="bottom"/>
          </w:tcPr>
          <w:p>
            <w:pPr>
              <w:spacing w:after="0"/>
              <w:rPr>
                <w:sz w:val="16"/>
                <w:szCs w:val="16"/>
                <w:color w:val="auto"/>
              </w:rPr>
            </w:pPr>
          </w:p>
        </w:tc>
        <w:tc>
          <w:tcPr>
            <w:tcW w:w="1300" w:type="dxa"/>
            <w:vAlign w:val="bottom"/>
            <w:gridSpan w:val="3"/>
          </w:tcPr>
          <w:p>
            <w:pPr>
              <w:jc w:val="center"/>
              <w:ind w:left="619"/>
              <w:spacing w:after="0"/>
              <w:rPr>
                <w:sz w:val="20"/>
                <w:szCs w:val="20"/>
                <w:color w:val="auto"/>
              </w:rPr>
            </w:pPr>
            <w:r>
              <w:rPr>
                <w:rFonts w:ascii="Arial" w:cs="Arial" w:eastAsia="Arial" w:hAnsi="Arial"/>
                <w:sz w:val="16"/>
                <w:szCs w:val="16"/>
                <w:b w:val="1"/>
                <w:bCs w:val="1"/>
                <w:color w:val="auto"/>
              </w:rPr>
              <w:t>Stock</w:t>
            </w: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Arial" w:cs="Arial" w:eastAsia="Arial" w:hAnsi="Arial"/>
                <w:sz w:val="16"/>
                <w:szCs w:val="16"/>
                <w:b w:val="1"/>
                <w:bCs w:val="1"/>
                <w:color w:val="auto"/>
                <w:w w:val="99"/>
              </w:rPr>
              <w:t>Additional</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w w:val="97"/>
              </w:rPr>
              <w:t>stockholders’</w:t>
            </w:r>
          </w:p>
        </w:tc>
      </w:tr>
      <w:tr>
        <w:trPr>
          <w:trHeight w:val="207"/>
        </w:trPr>
        <w:tc>
          <w:tcPr>
            <w:tcW w:w="2880" w:type="dxa"/>
            <w:vAlign w:val="bottom"/>
          </w:tcPr>
          <w:p>
            <w:pPr>
              <w:spacing w:after="0"/>
              <w:rPr>
                <w:sz w:val="18"/>
                <w:szCs w:val="18"/>
                <w:color w:val="auto"/>
              </w:rPr>
            </w:pPr>
          </w:p>
        </w:tc>
        <w:tc>
          <w:tcPr>
            <w:tcW w:w="212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6"/>
                <w:szCs w:val="16"/>
                <w:b w:val="1"/>
                <w:bCs w:val="1"/>
                <w:color w:val="auto"/>
              </w:rPr>
              <w:t>Series A, B, &amp; C</w:t>
            </w:r>
          </w:p>
        </w:tc>
        <w:tc>
          <w:tcPr>
            <w:tcW w:w="100" w:type="dxa"/>
            <w:vAlign w:val="bottom"/>
          </w:tcPr>
          <w:p>
            <w:pPr>
              <w:spacing w:after="0"/>
              <w:rPr>
                <w:sz w:val="18"/>
                <w:szCs w:val="18"/>
                <w:color w:val="auto"/>
              </w:rPr>
            </w:pPr>
          </w:p>
        </w:tc>
        <w:tc>
          <w:tcPr>
            <w:tcW w:w="1440" w:type="dxa"/>
            <w:vAlign w:val="bottom"/>
            <w:gridSpan w:val="4"/>
          </w:tcPr>
          <w:p>
            <w:pPr>
              <w:ind w:left="240"/>
              <w:spacing w:after="0"/>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b w:val="1"/>
                <w:bCs w:val="1"/>
                <w:color w:val="auto"/>
              </w:rPr>
              <w:t>paid-in</w:t>
            </w:r>
          </w:p>
        </w:tc>
        <w:tc>
          <w:tcPr>
            <w:tcW w:w="1400" w:type="dxa"/>
            <w:vAlign w:val="bottom"/>
            <w:gridSpan w:val="4"/>
          </w:tcPr>
          <w:p>
            <w:pPr>
              <w:ind w:left="200"/>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8"/>
                <w:szCs w:val="18"/>
                <w:color w:val="auto"/>
              </w:rPr>
            </w:pPr>
          </w:p>
        </w:tc>
        <w:tc>
          <w:tcPr>
            <w:tcW w:w="940" w:type="dxa"/>
            <w:vAlign w:val="bottom"/>
          </w:tcPr>
          <w:p>
            <w:pPr>
              <w:jc w:val="center"/>
              <w:ind w:right="19"/>
              <w:spacing w:after="0"/>
              <w:rPr>
                <w:sz w:val="20"/>
                <w:szCs w:val="20"/>
                <w:color w:val="auto"/>
              </w:rPr>
            </w:pPr>
            <w:r>
              <w:rPr>
                <w:rFonts w:ascii="Arial" w:cs="Arial" w:eastAsia="Arial" w:hAnsi="Arial"/>
                <w:sz w:val="16"/>
                <w:szCs w:val="16"/>
                <w:b w:val="1"/>
                <w:bCs w:val="1"/>
                <w:color w:val="auto"/>
              </w:rPr>
              <w:t>equity</w:t>
            </w:r>
          </w:p>
        </w:tc>
      </w:tr>
      <w:tr>
        <w:trPr>
          <w:trHeight w:val="183"/>
        </w:trPr>
        <w:tc>
          <w:tcPr>
            <w:tcW w:w="288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159"/>
              <w:spacing w:after="0" w:line="183" w:lineRule="exact"/>
              <w:rPr>
                <w:sz w:val="20"/>
                <w:szCs w:val="20"/>
                <w:color w:val="auto"/>
              </w:rPr>
            </w:pPr>
            <w:r>
              <w:rPr>
                <w:rFonts w:ascii="Arial" w:cs="Arial" w:eastAsia="Arial" w:hAnsi="Arial"/>
                <w:sz w:val="16"/>
                <w:szCs w:val="16"/>
                <w:b w:val="1"/>
                <w:bCs w:val="1"/>
                <w:color w:val="auto"/>
              </w:rPr>
              <w:t>Shares</w:t>
            </w:r>
          </w:p>
        </w:tc>
        <w:tc>
          <w:tcPr>
            <w:tcW w:w="200" w:type="dxa"/>
            <w:vAlign w:val="bottom"/>
            <w:tcBorders>
              <w:top w:val="single" w:sz="8" w:color="auto"/>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99"/>
              </w:rPr>
              <w:t>Amount</w:t>
            </w:r>
          </w:p>
        </w:tc>
        <w:tc>
          <w:tcPr>
            <w:tcW w:w="12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Shares (1)</w:t>
            </w:r>
          </w:p>
        </w:tc>
        <w:tc>
          <w:tcPr>
            <w:tcW w:w="200" w:type="dxa"/>
            <w:vAlign w:val="bottom"/>
            <w:tcBorders>
              <w:top w:val="single" w:sz="8" w:color="auto"/>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gridSpan w:val="3"/>
          </w:tcPr>
          <w:p>
            <w:pPr>
              <w:spacing w:after="0" w:line="183" w:lineRule="exact"/>
              <w:rPr>
                <w:sz w:val="20"/>
                <w:szCs w:val="20"/>
                <w:color w:val="auto"/>
              </w:rPr>
            </w:pPr>
            <w:r>
              <w:rPr>
                <w:rFonts w:ascii="Arial" w:cs="Arial" w:eastAsia="Arial" w:hAnsi="Arial"/>
                <w:sz w:val="16"/>
                <w:szCs w:val="16"/>
                <w:b w:val="1"/>
                <w:bCs w:val="1"/>
                <w:color w:val="auto"/>
                <w:w w:val="99"/>
              </w:rPr>
              <w:t>Amount</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capital</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b w:val="1"/>
                <w:bCs w:val="1"/>
                <w:color w:val="auto"/>
              </w:rPr>
              <w:t>deficit</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9"/>
              <w:spacing w:after="0" w:line="183" w:lineRule="exact"/>
              <w:rPr>
                <w:sz w:val="20"/>
                <w:szCs w:val="20"/>
                <w:color w:val="auto"/>
              </w:rPr>
            </w:pPr>
            <w:r>
              <w:rPr>
                <w:rFonts w:ascii="Arial" w:cs="Arial" w:eastAsia="Arial" w:hAnsi="Arial"/>
                <w:sz w:val="16"/>
                <w:szCs w:val="16"/>
                <w:b w:val="1"/>
                <w:bCs w:val="1"/>
                <w:color w:val="auto"/>
              </w:rPr>
              <w:t>(deficit)</w:t>
            </w:r>
          </w:p>
        </w:tc>
      </w:tr>
      <w:tr>
        <w:trPr>
          <w:trHeight w:val="183"/>
        </w:trPr>
        <w:tc>
          <w:tcPr>
            <w:tcW w:w="28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as of December 31, 2018</w:t>
            </w: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293,000,000</w:t>
            </w:r>
          </w:p>
        </w:tc>
        <w:tc>
          <w:tcPr>
            <w:tcW w:w="2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324,201</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7,777,100</w:t>
            </w:r>
          </w:p>
        </w:tc>
        <w:tc>
          <w:tcPr>
            <w:tcW w:w="30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w:t>
            </w:r>
          </w:p>
        </w:tc>
        <w:tc>
          <w:tcPr>
            <w:tcW w:w="28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(242,673)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(242,673)</w:t>
            </w:r>
          </w:p>
        </w:tc>
      </w:tr>
      <w:tr>
        <w:trPr>
          <w:trHeight w:val="189"/>
        </w:trPr>
        <w:tc>
          <w:tcPr>
            <w:tcW w:w="2880" w:type="dxa"/>
            <w:vAlign w:val="bottom"/>
          </w:tcPr>
          <w:p>
            <w:pPr>
              <w:ind w:left="220"/>
              <w:spacing w:after="0"/>
              <w:rPr>
                <w:sz w:val="20"/>
                <w:szCs w:val="20"/>
                <w:color w:val="auto"/>
              </w:rPr>
            </w:pPr>
            <w:r>
              <w:rPr>
                <w:rFonts w:ascii="Arial" w:cs="Arial" w:eastAsia="Arial" w:hAnsi="Arial"/>
                <w:sz w:val="16"/>
                <w:szCs w:val="16"/>
                <w:color w:val="auto"/>
              </w:rPr>
              <w:t>Net loss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(151,977)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(151,977)</w:t>
            </w:r>
          </w:p>
        </w:tc>
      </w:tr>
      <w:tr>
        <w:trPr>
          <w:trHeight w:val="191"/>
        </w:trPr>
        <w:tc>
          <w:tcPr>
            <w:tcW w:w="2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of Series C convertible</w:t>
            </w: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9"/>
        </w:trPr>
        <w:tc>
          <w:tcPr>
            <w:tcW w:w="2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net of issuance</w:t>
            </w: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7"/>
        </w:trPr>
        <w:tc>
          <w:tcPr>
            <w:tcW w:w="2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25,510,205</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48,868</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2880" w:type="dxa"/>
            <w:vAlign w:val="bottom"/>
          </w:tcPr>
          <w:p>
            <w:pPr>
              <w:ind w:left="220"/>
              <w:spacing w:after="0"/>
              <w:rPr>
                <w:sz w:val="20"/>
                <w:szCs w:val="20"/>
                <w:color w:val="auto"/>
              </w:rPr>
            </w:pPr>
            <w:r>
              <w:rPr>
                <w:rFonts w:ascii="Arial" w:cs="Arial" w:eastAsia="Arial" w:hAnsi="Arial"/>
                <w:sz w:val="16"/>
                <w:szCs w:val="16"/>
                <w:color w:val="auto"/>
              </w:rPr>
              <w:t>Preferred stock dividend, Series A</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32,160</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(9,994)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(22,166)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(32,160)</w:t>
            </w:r>
          </w:p>
        </w:tc>
      </w:tr>
      <w:tr>
        <w:trPr>
          <w:trHeight w:val="191"/>
        </w:trPr>
        <w:tc>
          <w:tcPr>
            <w:tcW w:w="2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accretion, Series</w:t>
            </w: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7"/>
        </w:trPr>
        <w:tc>
          <w:tcPr>
            <w:tcW w:w="2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w:t>
            </w:r>
          </w:p>
        </w:tc>
      </w:tr>
      <w:tr>
        <w:trPr>
          <w:trHeight w:val="189"/>
        </w:trPr>
        <w:tc>
          <w:tcPr>
            <w:tcW w:w="2880" w:type="dxa"/>
            <w:vAlign w:val="bottom"/>
          </w:tcPr>
          <w:p>
            <w:pPr>
              <w:ind w:left="220"/>
              <w:spacing w:after="0"/>
              <w:rPr>
                <w:sz w:val="20"/>
                <w:szCs w:val="20"/>
                <w:color w:val="auto"/>
              </w:rPr>
            </w:pPr>
            <w:r>
              <w:rPr>
                <w:rFonts w:ascii="Arial" w:cs="Arial" w:eastAsia="Arial" w:hAnsi="Arial"/>
                <w:sz w:val="16"/>
                <w:szCs w:val="16"/>
                <w:color w:val="auto"/>
              </w:rPr>
              <w:t>Preferred stock dividend, Series B</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1,098</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(1,098)</w:t>
            </w:r>
          </w:p>
        </w:tc>
      </w:tr>
      <w:tr>
        <w:trPr>
          <w:trHeight w:val="191"/>
        </w:trPr>
        <w:tc>
          <w:tcPr>
            <w:tcW w:w="2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accretion, Series</w:t>
            </w: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7"/>
        </w:trPr>
        <w:tc>
          <w:tcPr>
            <w:tcW w:w="2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189"/>
        </w:trPr>
        <w:tc>
          <w:tcPr>
            <w:tcW w:w="2880" w:type="dxa"/>
            <w:vAlign w:val="bottom"/>
          </w:tcPr>
          <w:p>
            <w:pPr>
              <w:ind w:left="220"/>
              <w:spacing w:after="0"/>
              <w:rPr>
                <w:sz w:val="20"/>
                <w:szCs w:val="20"/>
                <w:color w:val="auto"/>
              </w:rPr>
            </w:pPr>
            <w:r>
              <w:rPr>
                <w:rFonts w:ascii="Arial" w:cs="Arial" w:eastAsia="Arial" w:hAnsi="Arial"/>
                <w:sz w:val="16"/>
                <w:szCs w:val="16"/>
                <w:color w:val="auto"/>
              </w:rPr>
              <w:t>Preferred stock dividend, Series C</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1,973</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(1,973)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(1,973)</w:t>
            </w:r>
          </w:p>
        </w:tc>
      </w:tr>
      <w:tr>
        <w:trPr>
          <w:trHeight w:val="191"/>
        </w:trPr>
        <w:tc>
          <w:tcPr>
            <w:tcW w:w="2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accretion, Series</w:t>
            </w: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7"/>
        </w:trPr>
        <w:tc>
          <w:tcPr>
            <w:tcW w:w="2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r>
      <w:tr>
        <w:trPr>
          <w:trHeight w:val="189"/>
        </w:trPr>
        <w:tc>
          <w:tcPr>
            <w:tcW w:w="2880" w:type="dxa"/>
            <w:vAlign w:val="bottom"/>
          </w:tcPr>
          <w:p>
            <w:pPr>
              <w:ind w:left="220"/>
              <w:spacing w:after="0"/>
              <w:rPr>
                <w:sz w:val="20"/>
                <w:szCs w:val="20"/>
                <w:color w:val="auto"/>
              </w:rPr>
            </w:pPr>
            <w:r>
              <w:rPr>
                <w:rFonts w:ascii="Arial" w:cs="Arial" w:eastAsia="Arial" w:hAnsi="Arial"/>
                <w:sz w:val="16"/>
                <w:szCs w:val="16"/>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10,370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189"/>
        </w:trPr>
        <w:tc>
          <w:tcPr>
            <w:tcW w:w="2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9,909</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9,909</w:t>
            </w:r>
          </w:p>
        </w:tc>
      </w:tr>
      <w:tr>
        <w:trPr>
          <w:trHeight w:val="183"/>
        </w:trPr>
        <w:tc>
          <w:tcPr>
            <w:tcW w:w="2880" w:type="dxa"/>
            <w:vAlign w:val="bottom"/>
          </w:tcPr>
          <w:p>
            <w:pPr>
              <w:spacing w:after="0" w:line="183" w:lineRule="exact"/>
              <w:rPr>
                <w:sz w:val="20"/>
                <w:szCs w:val="20"/>
                <w:color w:val="auto"/>
              </w:rPr>
            </w:pPr>
            <w:r>
              <w:rPr>
                <w:rFonts w:ascii="Arial" w:cs="Arial" w:eastAsia="Arial" w:hAnsi="Arial"/>
                <w:sz w:val="16"/>
                <w:szCs w:val="16"/>
                <w:color w:val="auto"/>
              </w:rPr>
              <w:t>Balance as of December 31, 2019</w:t>
            </w:r>
          </w:p>
        </w:tc>
        <w:tc>
          <w:tcPr>
            <w:tcW w:w="10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318,510,205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411,275</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7,787,470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(422,862)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(422,862)</w:t>
            </w:r>
          </w:p>
        </w:tc>
      </w:tr>
      <w:tr>
        <w:trPr>
          <w:trHeight w:val="189"/>
        </w:trPr>
        <w:tc>
          <w:tcPr>
            <w:tcW w:w="2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(36,944)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(36,944)</w:t>
            </w:r>
          </w:p>
        </w:tc>
      </w:tr>
      <w:tr>
        <w:trPr>
          <w:trHeight w:val="189"/>
        </w:trPr>
        <w:tc>
          <w:tcPr>
            <w:tcW w:w="2880" w:type="dxa"/>
            <w:vAlign w:val="bottom"/>
          </w:tcPr>
          <w:p>
            <w:pPr>
              <w:ind w:left="220"/>
              <w:spacing w:after="0"/>
              <w:rPr>
                <w:sz w:val="20"/>
                <w:szCs w:val="20"/>
                <w:color w:val="auto"/>
              </w:rPr>
            </w:pPr>
            <w:r>
              <w:rPr>
                <w:rFonts w:ascii="Arial" w:cs="Arial" w:eastAsia="Arial" w:hAnsi="Arial"/>
                <w:sz w:val="16"/>
                <w:szCs w:val="16"/>
                <w:color w:val="auto"/>
              </w:rPr>
              <w:t>Preferred stock dividend, Series A</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22,780</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(1,048)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(21,732)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(22,780)</w:t>
            </w:r>
          </w:p>
        </w:tc>
      </w:tr>
      <w:tr>
        <w:trPr>
          <w:trHeight w:val="191"/>
        </w:trPr>
        <w:tc>
          <w:tcPr>
            <w:tcW w:w="2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accretion, Series</w:t>
            </w: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7"/>
        </w:trPr>
        <w:tc>
          <w:tcPr>
            <w:tcW w:w="2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5,562</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(5,562)</w:t>
            </w:r>
          </w:p>
        </w:tc>
      </w:tr>
      <w:tr>
        <w:trPr>
          <w:trHeight w:val="189"/>
        </w:trPr>
        <w:tc>
          <w:tcPr>
            <w:tcW w:w="2880" w:type="dxa"/>
            <w:vAlign w:val="bottom"/>
          </w:tcPr>
          <w:p>
            <w:pPr>
              <w:ind w:left="220"/>
              <w:spacing w:after="0"/>
              <w:rPr>
                <w:sz w:val="20"/>
                <w:szCs w:val="20"/>
                <w:color w:val="auto"/>
              </w:rPr>
            </w:pPr>
            <w:r>
              <w:rPr>
                <w:rFonts w:ascii="Arial" w:cs="Arial" w:eastAsia="Arial" w:hAnsi="Arial"/>
                <w:sz w:val="16"/>
                <w:szCs w:val="16"/>
                <w:color w:val="auto"/>
              </w:rPr>
              <w:t>Preferred stock dividend, Series B</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777</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(777)</w:t>
            </w:r>
          </w:p>
        </w:tc>
      </w:tr>
      <w:tr>
        <w:trPr>
          <w:trHeight w:val="191"/>
        </w:trPr>
        <w:tc>
          <w:tcPr>
            <w:tcW w:w="2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accretion, Series</w:t>
            </w: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7"/>
        </w:trPr>
        <w:tc>
          <w:tcPr>
            <w:tcW w:w="2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189"/>
        </w:trPr>
        <w:tc>
          <w:tcPr>
            <w:tcW w:w="2880" w:type="dxa"/>
            <w:vAlign w:val="bottom"/>
          </w:tcPr>
          <w:p>
            <w:pPr>
              <w:ind w:left="220"/>
              <w:spacing w:after="0"/>
              <w:rPr>
                <w:sz w:val="20"/>
                <w:szCs w:val="20"/>
                <w:color w:val="auto"/>
              </w:rPr>
            </w:pPr>
            <w:r>
              <w:rPr>
                <w:rFonts w:ascii="Arial" w:cs="Arial" w:eastAsia="Arial" w:hAnsi="Arial"/>
                <w:sz w:val="16"/>
                <w:szCs w:val="16"/>
                <w:color w:val="auto"/>
              </w:rPr>
              <w:t>Preferred stock dividend, Series C</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3,347</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(3,347)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(3,347)</w:t>
            </w:r>
          </w:p>
        </w:tc>
      </w:tr>
      <w:tr>
        <w:trPr>
          <w:trHeight w:val="191"/>
        </w:trPr>
        <w:tc>
          <w:tcPr>
            <w:tcW w:w="2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accretion, Series</w:t>
            </w: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7"/>
        </w:trPr>
        <w:tc>
          <w:tcPr>
            <w:tcW w:w="2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w:t>
            </w:r>
          </w:p>
        </w:tc>
      </w:tr>
      <w:tr>
        <w:trPr>
          <w:trHeight w:val="191"/>
        </w:trPr>
        <w:tc>
          <w:tcPr>
            <w:tcW w:w="2880" w:type="dxa"/>
            <w:vAlign w:val="bottom"/>
          </w:tcPr>
          <w:p>
            <w:pPr>
              <w:ind w:left="220"/>
              <w:spacing w:after="0"/>
              <w:rPr>
                <w:sz w:val="20"/>
                <w:szCs w:val="20"/>
                <w:color w:val="auto"/>
              </w:rPr>
            </w:pPr>
            <w:r>
              <w:rPr>
                <w:rFonts w:ascii="Arial" w:cs="Arial" w:eastAsia="Arial" w:hAnsi="Arial"/>
                <w:sz w:val="16"/>
                <w:szCs w:val="16"/>
                <w:color w:val="auto"/>
              </w:rPr>
              <w:t>Issuance of stock upon initial</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2880" w:type="dxa"/>
            <w:vAlign w:val="bottom"/>
          </w:tcPr>
          <w:p>
            <w:pPr>
              <w:ind w:left="220"/>
              <w:spacing w:after="0"/>
              <w:rPr>
                <w:sz w:val="20"/>
                <w:szCs w:val="20"/>
                <w:color w:val="auto"/>
              </w:rPr>
            </w:pPr>
            <w:r>
              <w:rPr>
                <w:rFonts w:ascii="Arial" w:cs="Arial" w:eastAsia="Arial" w:hAnsi="Arial"/>
                <w:sz w:val="16"/>
                <w:szCs w:val="16"/>
                <w:color w:val="auto"/>
              </w:rPr>
              <w:t>public offering, net of issuance</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7"/>
        </w:trPr>
        <w:tc>
          <w:tcPr>
            <w:tcW w:w="2880" w:type="dxa"/>
            <w:vAlign w:val="bottom"/>
          </w:tcPr>
          <w:p>
            <w:pPr>
              <w:ind w:left="220"/>
              <w:spacing w:after="0"/>
              <w:rPr>
                <w:sz w:val="20"/>
                <w:szCs w:val="20"/>
                <w:color w:val="auto"/>
              </w:rPr>
            </w:pPr>
            <w:r>
              <w:rPr>
                <w:rFonts w:ascii="Arial" w:cs="Arial" w:eastAsia="Arial" w:hAnsi="Arial"/>
                <w:sz w:val="16"/>
                <w:szCs w:val="16"/>
                <w:color w:val="auto"/>
              </w:rPr>
              <w:t>costs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6,151,162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135,435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135,435</w:t>
            </w:r>
          </w:p>
        </w:tc>
      </w:tr>
      <w:tr>
        <w:trPr>
          <w:trHeight w:val="191"/>
        </w:trPr>
        <w:tc>
          <w:tcPr>
            <w:tcW w:w="2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Conversion of Series A, B, C</w:t>
            </w: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7"/>
        </w:trPr>
        <w:tc>
          <w:tcPr>
            <w:tcW w:w="2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convertible stock to common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(318,510,205)</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(444,715)</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42,926,630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444,715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444,716</w:t>
            </w:r>
          </w:p>
        </w:tc>
      </w:tr>
      <w:tr>
        <w:trPr>
          <w:trHeight w:val="191"/>
        </w:trPr>
        <w:tc>
          <w:tcPr>
            <w:tcW w:w="2880" w:type="dxa"/>
            <w:vAlign w:val="bottom"/>
          </w:tcPr>
          <w:p>
            <w:pPr>
              <w:ind w:left="220"/>
              <w:spacing w:after="0"/>
              <w:rPr>
                <w:sz w:val="20"/>
                <w:szCs w:val="20"/>
                <w:color w:val="auto"/>
              </w:rPr>
            </w:pPr>
            <w:r>
              <w:rPr>
                <w:rFonts w:ascii="Arial" w:cs="Arial" w:eastAsia="Arial" w:hAnsi="Arial"/>
                <w:sz w:val="16"/>
                <w:szCs w:val="16"/>
                <w:color w:val="auto"/>
              </w:rPr>
              <w:t>Reclassification of warrant liability</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7"/>
        </w:trPr>
        <w:tc>
          <w:tcPr>
            <w:tcW w:w="2880" w:type="dxa"/>
            <w:vAlign w:val="bottom"/>
          </w:tcPr>
          <w:p>
            <w:pPr>
              <w:ind w:left="220"/>
              <w:spacing w:after="0"/>
              <w:rPr>
                <w:sz w:val="20"/>
                <w:szCs w:val="20"/>
                <w:color w:val="auto"/>
              </w:rPr>
            </w:pPr>
            <w:r>
              <w:rPr>
                <w:rFonts w:ascii="Arial" w:cs="Arial" w:eastAsia="Arial" w:hAnsi="Arial"/>
                <w:sz w:val="16"/>
                <w:szCs w:val="16"/>
                <w:color w:val="auto"/>
              </w:rPr>
              <w:t>to equity</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5,468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5,468</w:t>
            </w:r>
          </w:p>
        </w:tc>
      </w:tr>
      <w:tr>
        <w:trPr>
          <w:trHeight w:val="189"/>
        </w:trPr>
        <w:tc>
          <w:tcPr>
            <w:tcW w:w="2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 of stock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37,947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r>
      <w:tr>
        <w:trPr>
          <w:trHeight w:val="189"/>
        </w:trPr>
        <w:tc>
          <w:tcPr>
            <w:tcW w:w="288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4,693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4,693</w:t>
            </w:r>
          </w:p>
        </w:tc>
      </w:tr>
      <w:tr>
        <w:trPr>
          <w:trHeight w:val="191"/>
        </w:trPr>
        <w:tc>
          <w:tcPr>
            <w:tcW w:w="2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 and cancellation of</w:t>
            </w: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7"/>
        </w:trPr>
        <w:tc>
          <w:tcPr>
            <w:tcW w:w="2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191"/>
        </w:trPr>
        <w:tc>
          <w:tcPr>
            <w:tcW w:w="2880" w:type="dxa"/>
            <w:vAlign w:val="bottom"/>
          </w:tcPr>
          <w:p>
            <w:pPr>
              <w:ind w:left="220"/>
              <w:spacing w:after="0"/>
              <w:rPr>
                <w:sz w:val="20"/>
                <w:szCs w:val="20"/>
                <w:color w:val="auto"/>
              </w:rPr>
            </w:pPr>
            <w:r>
              <w:rPr>
                <w:rFonts w:ascii="Arial" w:cs="Arial" w:eastAsia="Arial" w:hAnsi="Arial"/>
                <w:sz w:val="16"/>
                <w:szCs w:val="16"/>
                <w:color w:val="auto"/>
              </w:rPr>
              <w:t>Repurchase and cancellation of</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7"/>
        </w:trPr>
        <w:tc>
          <w:tcPr>
            <w:tcW w:w="28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common units withheld for taxes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183"/>
        </w:trPr>
        <w:tc>
          <w:tcPr>
            <w:tcW w:w="28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as of December 31, 2020</w:t>
            </w: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gridSpan w:val="2"/>
            <w:shd w:val="clear" w:color="auto" w:fill="CCEEFF"/>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56,890,569</w:t>
            </w:r>
          </w:p>
        </w:tc>
        <w:tc>
          <w:tcPr>
            <w:tcW w:w="30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w:t>
            </w:r>
          </w:p>
        </w:tc>
        <w:tc>
          <w:tcPr>
            <w:tcW w:w="28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585,374</w:t>
            </w:r>
          </w:p>
        </w:tc>
        <w:tc>
          <w:tcPr>
            <w:tcW w:w="30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(488,195)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97,180</w:t>
            </w:r>
          </w:p>
        </w:tc>
      </w:tr>
      <w:tr>
        <w:trPr>
          <w:trHeight w:val="189"/>
        </w:trPr>
        <w:tc>
          <w:tcPr>
            <w:tcW w:w="288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34,597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34,597</w:t>
            </w:r>
          </w:p>
        </w:tc>
      </w:tr>
      <w:tr>
        <w:trPr>
          <w:trHeight w:val="189"/>
        </w:trPr>
        <w:tc>
          <w:tcPr>
            <w:tcW w:w="2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of common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1,270,462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29,700</w:t>
            </w:r>
          </w:p>
        </w:tc>
      </w:tr>
      <w:tr>
        <w:trPr>
          <w:trHeight w:val="189"/>
        </w:trPr>
        <w:tc>
          <w:tcPr>
            <w:tcW w:w="2880" w:type="dxa"/>
            <w:vAlign w:val="bottom"/>
          </w:tcPr>
          <w:p>
            <w:pPr>
              <w:ind w:left="220"/>
              <w:spacing w:after="0"/>
              <w:rPr>
                <w:sz w:val="20"/>
                <w:szCs w:val="20"/>
                <w:color w:val="auto"/>
              </w:rPr>
            </w:pPr>
            <w:r>
              <w:rPr>
                <w:rFonts w:ascii="Arial" w:cs="Arial" w:eastAsia="Arial" w:hAnsi="Arial"/>
                <w:sz w:val="16"/>
                <w:szCs w:val="16"/>
                <w:color w:val="auto"/>
              </w:rPr>
              <w:t>Exercise of options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664,738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9,371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9,371</w:t>
            </w:r>
          </w:p>
        </w:tc>
      </w:tr>
      <w:tr>
        <w:trPr>
          <w:trHeight w:val="189"/>
        </w:trPr>
        <w:tc>
          <w:tcPr>
            <w:tcW w:w="2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15,659</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15,659</w:t>
            </w:r>
          </w:p>
        </w:tc>
      </w:tr>
      <w:tr>
        <w:trPr>
          <w:trHeight w:val="183"/>
        </w:trPr>
        <w:tc>
          <w:tcPr>
            <w:tcW w:w="2880" w:type="dxa"/>
            <w:vAlign w:val="bottom"/>
          </w:tcPr>
          <w:p>
            <w:pPr>
              <w:spacing w:after="0" w:line="183" w:lineRule="exact"/>
              <w:rPr>
                <w:sz w:val="20"/>
                <w:szCs w:val="20"/>
                <w:color w:val="auto"/>
              </w:rPr>
            </w:pPr>
            <w:r>
              <w:rPr>
                <w:rFonts w:ascii="Arial" w:cs="Arial" w:eastAsia="Arial" w:hAnsi="Arial"/>
                <w:sz w:val="16"/>
                <w:szCs w:val="16"/>
                <w:color w:val="auto"/>
              </w:rPr>
              <w:t>Balance as of December 31, 2021</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gridSpan w:val="2"/>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w w:val="99"/>
              </w:rPr>
              <w:t>58,825,769</w:t>
            </w:r>
          </w:p>
        </w:tc>
        <w:tc>
          <w:tcPr>
            <w:tcW w:w="300" w:type="dxa"/>
            <w:vAlign w:val="bottom"/>
            <w:gridSpan w:val="2"/>
          </w:tcPr>
          <w:p>
            <w:pPr>
              <w:ind w:left="200"/>
              <w:spacing w:after="0" w:line="183" w:lineRule="exact"/>
              <w:rPr>
                <w:sz w:val="20"/>
                <w:szCs w:val="20"/>
                <w:color w:val="auto"/>
              </w:rPr>
            </w:pPr>
            <w:r>
              <w:rPr>
                <w:rFonts w:ascii="Arial" w:cs="Arial" w:eastAsia="Arial" w:hAnsi="Arial"/>
                <w:sz w:val="16"/>
                <w:szCs w:val="16"/>
                <w:color w:val="auto"/>
                <w:w w:val="89"/>
              </w:rPr>
              <w:t>$</w:t>
            </w:r>
          </w:p>
        </w:tc>
        <w:tc>
          <w:tcPr>
            <w:tcW w:w="280" w:type="dxa"/>
            <w:vAlign w:val="bottom"/>
          </w:tcPr>
          <w:p>
            <w:pPr>
              <w:spacing w:after="0"/>
              <w:rPr>
                <w:sz w:val="15"/>
                <w:szCs w:val="15"/>
                <w:color w:val="auto"/>
              </w:rPr>
            </w:pPr>
          </w:p>
        </w:tc>
        <w:tc>
          <w:tcPr>
            <w:tcW w:w="240" w:type="dxa"/>
            <w:vAlign w:val="bottom"/>
          </w:tcPr>
          <w:p>
            <w:pPr>
              <w:jc w:val="right"/>
              <w:spacing w:after="0" w:line="183" w:lineRule="exact"/>
              <w:rPr>
                <w:sz w:val="20"/>
                <w:szCs w:val="20"/>
                <w:color w:val="auto"/>
              </w:rPr>
            </w:pPr>
            <w:r>
              <w:rPr>
                <w:rFonts w:ascii="Arial" w:cs="Arial" w:eastAsia="Arial" w:hAnsi="Arial"/>
                <w:sz w:val="16"/>
                <w:szCs w:val="16"/>
                <w:color w:val="auto"/>
              </w:rPr>
              <w:t>1</w:t>
            </w:r>
          </w:p>
        </w:tc>
        <w:tc>
          <w:tcPr>
            <w:tcW w:w="280" w:type="dxa"/>
            <w:vAlign w:val="bottom"/>
            <w:gridSpan w:val="2"/>
          </w:tcPr>
          <w:p>
            <w:pPr>
              <w:ind w:left="180"/>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640,104</w:t>
            </w:r>
          </w:p>
        </w:tc>
        <w:tc>
          <w:tcPr>
            <w:tcW w:w="300" w:type="dxa"/>
            <w:vAlign w:val="bottom"/>
            <w:gridSpan w:val="2"/>
          </w:tcPr>
          <w:p>
            <w:pPr>
              <w:ind w:left="200"/>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(453,598)</w:t>
            </w:r>
          </w:p>
        </w:tc>
        <w:tc>
          <w:tcPr>
            <w:tcW w:w="200" w:type="dxa"/>
            <w:vAlign w:val="bottom"/>
          </w:tcPr>
          <w:p>
            <w:pPr>
              <w:spacing w:after="0"/>
              <w:rPr>
                <w:sz w:val="15"/>
                <w:szCs w:val="15"/>
                <w:color w:val="auto"/>
              </w:rPr>
            </w:pPr>
          </w:p>
        </w:tc>
        <w:tc>
          <w:tcPr>
            <w:tcW w:w="100" w:type="dxa"/>
            <w:vAlign w:val="bottom"/>
          </w:tcPr>
          <w:p>
            <w:pPr>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186,507</w:t>
            </w:r>
          </w:p>
        </w:tc>
      </w:tr>
      <w:tr>
        <w:trPr>
          <w:trHeight w:val="20"/>
        </w:trPr>
        <w:tc>
          <w:tcPr>
            <w:tcW w:w="28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16198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21" w:hanging="321"/>
        <w:spacing w:after="0"/>
        <w:tabs>
          <w:tab w:leader="none" w:pos="321"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Common stock of Harmony Biosciences Holdings, Inc.</w:t>
      </w:r>
    </w:p>
    <w:p>
      <w:pPr>
        <w:spacing w:after="0" w:line="166" w:lineRule="exact"/>
        <w:rPr>
          <w:sz w:val="20"/>
          <w:szCs w:val="20"/>
          <w:color w:val="auto"/>
        </w:rPr>
      </w:pPr>
    </w:p>
    <w:p>
      <w:pPr>
        <w:ind w:left="2041"/>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340360</wp:posOffset>
            </wp:positionV>
            <wp:extent cx="648081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1"/>
          </w:cols>
          <w:pgMar w:left="839" w:top="665" w:right="8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5"/>
                <w:szCs w:val="15"/>
                <w:color w:val="auto"/>
              </w:rPr>
            </w:pPr>
          </w:p>
        </w:tc>
      </w:tr>
      <w:tr>
        <w:trPr>
          <w:trHeight w:val="156"/>
        </w:trPr>
        <w:tc>
          <w:tcPr>
            <w:tcW w:w="61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2019</w:t>
            </w:r>
          </w:p>
        </w:tc>
      </w:tr>
      <w:tr>
        <w:trPr>
          <w:trHeight w:val="155"/>
        </w:trPr>
        <w:tc>
          <w:tcPr>
            <w:tcW w:w="61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CASH FLOWS FROM OPERATING ACTIVITIES</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62"/>
        </w:trPr>
        <w:tc>
          <w:tcPr>
            <w:tcW w:w="6140" w:type="dxa"/>
            <w:vAlign w:val="bottom"/>
          </w:tcPr>
          <w:p>
            <w:pPr>
              <w:spacing w:after="0"/>
              <w:rPr>
                <w:sz w:val="20"/>
                <w:szCs w:val="20"/>
                <w:color w:val="auto"/>
              </w:rPr>
            </w:pPr>
            <w:r>
              <w:rPr>
                <w:rFonts w:ascii="Arial" w:cs="Arial" w:eastAsia="Arial" w:hAnsi="Arial"/>
                <w:sz w:val="14"/>
                <w:szCs w:val="14"/>
                <w:color w:val="auto"/>
              </w:rPr>
              <w:t>Net income (loss)</w:t>
            </w: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34,597</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(36,944)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(151,977)</w:t>
            </w:r>
          </w:p>
        </w:tc>
      </w:tr>
      <w:tr>
        <w:trPr>
          <w:trHeight w:val="162"/>
        </w:trPr>
        <w:tc>
          <w:tcPr>
            <w:tcW w:w="614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Adjustments to reconcile net loss to net cash used in operating activities:</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2"/>
        </w:trPr>
        <w:tc>
          <w:tcPr>
            <w:tcW w:w="614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395</w:t>
            </w:r>
          </w:p>
        </w:tc>
      </w:tr>
      <w:tr>
        <w:trPr>
          <w:trHeight w:val="162"/>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 amortization</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18,424</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2,815</w:t>
            </w:r>
          </w:p>
        </w:tc>
      </w:tr>
      <w:tr>
        <w:trPr>
          <w:trHeight w:val="162"/>
        </w:trPr>
        <w:tc>
          <w:tcPr>
            <w:tcW w:w="6140" w:type="dxa"/>
            <w:vAlign w:val="bottom"/>
          </w:tcPr>
          <w:p>
            <w:pPr>
              <w:ind w:left="220"/>
              <w:spacing w:after="0"/>
              <w:rPr>
                <w:sz w:val="20"/>
                <w:szCs w:val="20"/>
                <w:color w:val="auto"/>
              </w:rPr>
            </w:pPr>
            <w:r>
              <w:rPr>
                <w:rFonts w:ascii="Arial" w:cs="Arial" w:eastAsia="Arial" w:hAnsi="Arial"/>
                <w:sz w:val="14"/>
                <w:szCs w:val="14"/>
                <w:color w:val="auto"/>
              </w:rPr>
              <w:t>Milestones associated with acquired in-process research &amp; development (IPR&amp;D)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52,000</w:t>
            </w:r>
          </w:p>
        </w:tc>
      </w:tr>
      <w:tr>
        <w:trPr>
          <w:trHeight w:val="162"/>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and employee stock purchase compensation expense</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15,659</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9,909</w:t>
            </w:r>
          </w:p>
        </w:tc>
      </w:tr>
      <w:tr>
        <w:trPr>
          <w:trHeight w:val="162"/>
        </w:trPr>
        <w:tc>
          <w:tcPr>
            <w:tcW w:w="6140" w:type="dxa"/>
            <w:vAlign w:val="bottom"/>
          </w:tcPr>
          <w:p>
            <w:pPr>
              <w:ind w:left="220"/>
              <w:spacing w:after="0"/>
              <w:rPr>
                <w:sz w:val="20"/>
                <w:szCs w:val="20"/>
                <w:color w:val="auto"/>
              </w:rPr>
            </w:pPr>
            <w:r>
              <w:rPr>
                <w:rFonts w:ascii="Arial" w:cs="Arial" w:eastAsia="Arial" w:hAnsi="Arial"/>
                <w:sz w:val="14"/>
                <w:szCs w:val="14"/>
                <w:color w:val="auto"/>
              </w:rPr>
              <w:t>Stock appreciation rights market adjustment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Warrant expense</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140" w:type="dxa"/>
            <w:vAlign w:val="bottom"/>
          </w:tcPr>
          <w:p>
            <w:pPr>
              <w:ind w:left="220"/>
              <w:spacing w:after="0"/>
              <w:rPr>
                <w:sz w:val="20"/>
                <w:szCs w:val="20"/>
                <w:color w:val="auto"/>
              </w:rPr>
            </w:pPr>
            <w:r>
              <w:rPr>
                <w:rFonts w:ascii="Arial" w:cs="Arial" w:eastAsia="Arial" w:hAnsi="Arial"/>
                <w:sz w:val="14"/>
                <w:szCs w:val="14"/>
                <w:color w:val="auto"/>
              </w:rPr>
              <w:t>Noncash paid-in-kind interest expense</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2,538</w:t>
            </w:r>
          </w:p>
        </w:tc>
      </w:tr>
      <w:tr>
        <w:trPr>
          <w:trHeight w:val="162"/>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issuance costs amortization</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2,238</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r>
      <w:tr>
        <w:trPr>
          <w:trHeight w:val="162"/>
        </w:trPr>
        <w:tc>
          <w:tcPr>
            <w:tcW w:w="6140" w:type="dxa"/>
            <w:vAlign w:val="bottom"/>
          </w:tcPr>
          <w:p>
            <w:pPr>
              <w:ind w:left="220"/>
              <w:spacing w:after="0"/>
              <w:rPr>
                <w:sz w:val="20"/>
                <w:szCs w:val="20"/>
                <w:color w:val="auto"/>
              </w:rPr>
            </w:pPr>
            <w:r>
              <w:rPr>
                <w:rFonts w:ascii="Arial" w:cs="Arial" w:eastAsia="Arial" w:hAnsi="Arial"/>
                <w:sz w:val="14"/>
                <w:szCs w:val="14"/>
                <w:color w:val="auto"/>
              </w:rPr>
              <w:t>Loss on debt extinguishment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26,146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22,639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140" w:type="dxa"/>
            <w:vAlign w:val="bottom"/>
            <w:shd w:val="clear" w:color="auto" w:fill="CCEEFF"/>
          </w:tcPr>
          <w:p>
            <w:pPr>
              <w:spacing w:after="0"/>
              <w:rPr>
                <w:sz w:val="20"/>
                <w:szCs w:val="20"/>
                <w:color w:val="auto"/>
              </w:rPr>
            </w:pPr>
            <w:r>
              <w:rPr>
                <w:rFonts w:ascii="Arial" w:cs="Arial" w:eastAsia="Arial" w:hAnsi="Arial"/>
                <w:sz w:val="14"/>
                <w:szCs w:val="14"/>
                <w:color w:val="auto"/>
              </w:rPr>
              <w:t>Change in operating assets and liabilities:</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2"/>
        </w:trPr>
        <w:tc>
          <w:tcPr>
            <w:tcW w:w="6140" w:type="dxa"/>
            <w:vAlign w:val="bottom"/>
          </w:tcPr>
          <w:p>
            <w:pPr>
              <w:ind w:left="220"/>
              <w:spacing w:after="0"/>
              <w:rPr>
                <w:sz w:val="20"/>
                <w:szCs w:val="20"/>
                <w:color w:val="auto"/>
              </w:rPr>
            </w:pPr>
            <w:r>
              <w:rPr>
                <w:rFonts w:ascii="Arial" w:cs="Arial" w:eastAsia="Arial" w:hAnsi="Arial"/>
                <w:sz w:val="14"/>
                <w:szCs w:val="14"/>
                <w:color w:val="auto"/>
              </w:rPr>
              <w:t>Trade receivables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(12,667)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(17,922)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(4,255)</w:t>
            </w:r>
          </w:p>
        </w:tc>
      </w:tr>
      <w:tr>
        <w:trPr>
          <w:trHeight w:val="162"/>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Inventory</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w:t>
            </w:r>
          </w:p>
        </w:tc>
      </w:tr>
      <w:tr>
        <w:trPr>
          <w:trHeight w:val="162"/>
        </w:trPr>
        <w:tc>
          <w:tcPr>
            <w:tcW w:w="6140" w:type="dxa"/>
            <w:vAlign w:val="bottom"/>
          </w:tcPr>
          <w:p>
            <w:pPr>
              <w:ind w:left="220"/>
              <w:spacing w:after="0"/>
              <w:rPr>
                <w:sz w:val="20"/>
                <w:szCs w:val="20"/>
                <w:color w:val="auto"/>
              </w:rPr>
            </w:pPr>
            <w:r>
              <w:rPr>
                <w:rFonts w:ascii="Arial" w:cs="Arial" w:eastAsia="Arial" w:hAnsi="Arial"/>
                <w:sz w:val="14"/>
                <w:szCs w:val="14"/>
                <w:color w:val="auto"/>
              </w:rPr>
              <w:t>Prepaid expenses and other assets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(1,591)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(6,563)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1,467</w:t>
            </w:r>
          </w:p>
        </w:tc>
      </w:tr>
      <w:tr>
        <w:trPr>
          <w:trHeight w:val="162"/>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assets</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r>
      <w:tr>
        <w:trPr>
          <w:trHeight w:val="162"/>
        </w:trPr>
        <w:tc>
          <w:tcPr>
            <w:tcW w:w="6140" w:type="dxa"/>
            <w:vAlign w:val="bottom"/>
          </w:tcPr>
          <w:p>
            <w:pPr>
              <w:ind w:left="220"/>
              <w:spacing w:after="0"/>
              <w:rPr>
                <w:sz w:val="20"/>
                <w:szCs w:val="20"/>
                <w:color w:val="auto"/>
              </w:rPr>
            </w:pPr>
            <w:r>
              <w:rPr>
                <w:rFonts w:ascii="Arial" w:cs="Arial" w:eastAsia="Arial" w:hAnsi="Arial"/>
                <w:sz w:val="14"/>
                <w:szCs w:val="14"/>
                <w:color w:val="auto"/>
              </w:rPr>
              <w:t>Trade payables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4,898</w:t>
            </w:r>
          </w:p>
        </w:tc>
      </w:tr>
      <w:tr>
        <w:trPr>
          <w:trHeight w:val="162"/>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17,263</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18,450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7,763</w:t>
            </w:r>
          </w:p>
        </w:tc>
      </w:tr>
      <w:tr>
        <w:trPr>
          <w:trHeight w:val="162"/>
        </w:trPr>
        <w:tc>
          <w:tcPr>
            <w:tcW w:w="61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non-current liabilities</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r>
      <w:tr>
        <w:trPr>
          <w:trHeight w:val="155"/>
        </w:trPr>
        <w:tc>
          <w:tcPr>
            <w:tcW w:w="61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2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98,557</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(2,985)</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(75,436)</w:t>
            </w:r>
          </w:p>
        </w:tc>
      </w:tr>
      <w:tr>
        <w:trPr>
          <w:trHeight w:val="156"/>
        </w:trPr>
        <w:tc>
          <w:tcPr>
            <w:tcW w:w="6140" w:type="dxa"/>
            <w:vAlign w:val="bottom"/>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2"/>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property and equipment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162"/>
        </w:trPr>
        <w:tc>
          <w:tcPr>
            <w:tcW w:w="61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Milestone payments</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(127,000)</w:t>
            </w:r>
          </w:p>
        </w:tc>
      </w:tr>
      <w:tr>
        <w:trPr>
          <w:trHeight w:val="155"/>
        </w:trPr>
        <w:tc>
          <w:tcPr>
            <w:tcW w:w="61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2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(100,298)</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(2,002)</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(127,149)</w:t>
            </w:r>
          </w:p>
        </w:tc>
      </w:tr>
      <w:tr>
        <w:trPr>
          <w:trHeight w:val="155"/>
        </w:trPr>
        <w:tc>
          <w:tcPr>
            <w:tcW w:w="6140" w:type="dxa"/>
            <w:vAlign w:val="bottom"/>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2"/>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issuance of common stock upon initial public offering</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147,628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140" w:type="dxa"/>
            <w:vAlign w:val="bottom"/>
          </w:tcPr>
          <w:p>
            <w:pPr>
              <w:ind w:left="220"/>
              <w:spacing w:after="0"/>
              <w:rPr>
                <w:sz w:val="20"/>
                <w:szCs w:val="20"/>
                <w:color w:val="auto"/>
              </w:rPr>
            </w:pPr>
            <w:r>
              <w:rPr>
                <w:rFonts w:ascii="Arial" w:cs="Arial" w:eastAsia="Arial" w:hAnsi="Arial"/>
                <w:sz w:val="14"/>
                <w:szCs w:val="14"/>
                <w:color w:val="auto"/>
              </w:rPr>
              <w:t>Initial public offering issuance costs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(12,193)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issuance of common stock</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140" w:type="dxa"/>
            <w:vAlign w:val="bottom"/>
          </w:tcPr>
          <w:p>
            <w:pPr>
              <w:ind w:left="220"/>
              <w:spacing w:after="0"/>
              <w:rPr>
                <w:sz w:val="20"/>
                <w:szCs w:val="20"/>
                <w:color w:val="auto"/>
              </w:rPr>
            </w:pPr>
            <w:r>
              <w:rPr>
                <w:rFonts w:ascii="Arial" w:cs="Arial" w:eastAsia="Arial" w:hAnsi="Arial"/>
                <w:sz w:val="14"/>
                <w:szCs w:val="14"/>
                <w:color w:val="auto"/>
              </w:rPr>
              <w:t>Common stock issuance costs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issuance of preferred stock</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r>
      <w:tr>
        <w:trPr>
          <w:trHeight w:val="162"/>
        </w:trPr>
        <w:tc>
          <w:tcPr>
            <w:tcW w:w="6140" w:type="dxa"/>
            <w:vAlign w:val="bottom"/>
          </w:tcPr>
          <w:p>
            <w:pPr>
              <w:ind w:left="220"/>
              <w:spacing w:after="0"/>
              <w:rPr>
                <w:sz w:val="20"/>
                <w:szCs w:val="20"/>
                <w:color w:val="auto"/>
              </w:rPr>
            </w:pPr>
            <w:r>
              <w:rPr>
                <w:rFonts w:ascii="Arial" w:cs="Arial" w:eastAsia="Arial" w:hAnsi="Arial"/>
                <w:sz w:val="14"/>
                <w:szCs w:val="14"/>
                <w:color w:val="auto"/>
              </w:rPr>
              <w:t>Preferred stock issuance costs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(1,132)</w:t>
            </w:r>
          </w:p>
        </w:tc>
      </w:tr>
      <w:tr>
        <w:trPr>
          <w:trHeight w:val="162"/>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long term debt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r>
      <w:tr>
        <w:trPr>
          <w:trHeight w:val="162"/>
        </w:trPr>
        <w:tc>
          <w:tcPr>
            <w:tcW w:w="6140" w:type="dxa"/>
            <w:vAlign w:val="bottom"/>
          </w:tcPr>
          <w:p>
            <w:pPr>
              <w:ind w:left="220"/>
              <w:spacing w:after="0"/>
              <w:rPr>
                <w:sz w:val="20"/>
                <w:szCs w:val="20"/>
                <w:color w:val="auto"/>
              </w:rPr>
            </w:pPr>
            <w:r>
              <w:rPr>
                <w:rFonts w:ascii="Arial" w:cs="Arial" w:eastAsia="Arial" w:hAnsi="Arial"/>
                <w:sz w:val="14"/>
                <w:szCs w:val="14"/>
                <w:color w:val="auto"/>
              </w:rPr>
              <w:t>Debt issuance costs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(9,152)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(5,184)</w:t>
            </w:r>
          </w:p>
        </w:tc>
      </w:tr>
      <w:tr>
        <w:trPr>
          <w:trHeight w:val="162"/>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Extinguishment of debt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(102,538)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140" w:type="dxa"/>
            <w:vAlign w:val="bottom"/>
          </w:tcPr>
          <w:p>
            <w:pPr>
              <w:ind w:left="220"/>
              <w:spacing w:after="0"/>
              <w:rPr>
                <w:sz w:val="20"/>
                <w:szCs w:val="20"/>
                <w:color w:val="auto"/>
              </w:rPr>
            </w:pPr>
            <w:r>
              <w:rPr>
                <w:rFonts w:ascii="Arial" w:cs="Arial" w:eastAsia="Arial" w:hAnsi="Arial"/>
                <w:sz w:val="14"/>
                <w:szCs w:val="14"/>
                <w:color w:val="auto"/>
              </w:rPr>
              <w:t>Extinguishment of debt exit fees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(22,000)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(18,047)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Principal repayment of long term debt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2"/>
        </w:trPr>
        <w:tc>
          <w:tcPr>
            <w:tcW w:w="6140" w:type="dxa"/>
            <w:vAlign w:val="bottom"/>
          </w:tcPr>
          <w:p>
            <w:pPr>
              <w:ind w:left="220"/>
              <w:spacing w:after="0"/>
              <w:rPr>
                <w:sz w:val="20"/>
                <w:szCs w:val="20"/>
                <w:color w:val="auto"/>
              </w:rPr>
            </w:pPr>
            <w:r>
              <w:rPr>
                <w:rFonts w:ascii="Arial" w:cs="Arial" w:eastAsia="Arial" w:hAnsi="Arial"/>
                <w:sz w:val="14"/>
                <w:szCs w:val="14"/>
                <w:color w:val="auto"/>
              </w:rPr>
              <w:t>Proceeds from exercised options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9,371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162"/>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of common stock</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1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Tax payments for employees shares withheld</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55"/>
        </w:trPr>
        <w:tc>
          <w:tcPr>
            <w:tcW w:w="61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2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7,419</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209,161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143,769</w:t>
            </w:r>
          </w:p>
        </w:tc>
      </w:tr>
      <w:tr>
        <w:trPr>
          <w:trHeight w:val="156"/>
        </w:trPr>
        <w:tc>
          <w:tcPr>
            <w:tcW w:w="614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NET INCREASE (DECREASE) IN CASH, CASH EQUIVALENTS, AND RESTRICTED CASH</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5,678</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204,174</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(58,816)</w:t>
            </w:r>
          </w:p>
        </w:tc>
      </w:tr>
      <w:tr>
        <w:trPr>
          <w:trHeight w:val="155"/>
        </w:trPr>
        <w:tc>
          <w:tcPr>
            <w:tcW w:w="61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CASH, CASH EQUIVALENTS, AND RESTRICTED CASH—Beginning of period</w:t>
            </w:r>
          </w:p>
        </w:tc>
        <w:tc>
          <w:tcPr>
            <w:tcW w:w="2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229,381</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25,207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84,023</w:t>
            </w:r>
          </w:p>
        </w:tc>
      </w:tr>
      <w:tr>
        <w:trPr>
          <w:trHeight w:val="155"/>
        </w:trPr>
        <w:tc>
          <w:tcPr>
            <w:tcW w:w="6140" w:type="dxa"/>
            <w:vAlign w:val="bottom"/>
          </w:tcPr>
          <w:p>
            <w:pPr>
              <w:spacing w:after="0" w:line="155" w:lineRule="exact"/>
              <w:rPr>
                <w:sz w:val="20"/>
                <w:szCs w:val="20"/>
                <w:color w:val="auto"/>
              </w:rPr>
            </w:pPr>
            <w:r>
              <w:rPr>
                <w:rFonts w:ascii="Arial" w:cs="Arial" w:eastAsia="Arial" w:hAnsi="Arial"/>
                <w:sz w:val="14"/>
                <w:szCs w:val="14"/>
                <w:color w:val="auto"/>
              </w:rPr>
              <w:t>CASH, CASH EQUIVALENTS, AND RESTRICTED CASH—End of period</w:t>
            </w:r>
          </w:p>
        </w:tc>
        <w:tc>
          <w:tcPr>
            <w:tcW w:w="4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235,059</w:t>
            </w:r>
          </w:p>
        </w:tc>
        <w:tc>
          <w:tcPr>
            <w:tcW w:w="4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229,381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25,207</w:t>
            </w:r>
          </w:p>
        </w:tc>
      </w:tr>
      <w:tr>
        <w:trPr>
          <w:trHeight w:val="155"/>
        </w:trPr>
        <w:tc>
          <w:tcPr>
            <w:tcW w:w="61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Supplemental Disclosure of Cash Flow Information:</w:t>
            </w:r>
          </w:p>
        </w:tc>
        <w:tc>
          <w:tcPr>
            <w:tcW w:w="2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r>
      <w:tr>
        <w:trPr>
          <w:trHeight w:val="162"/>
        </w:trPr>
        <w:tc>
          <w:tcPr>
            <w:tcW w:w="6140" w:type="dxa"/>
            <w:vAlign w:val="bottom"/>
          </w:tcPr>
          <w:p>
            <w:pPr>
              <w:ind w:left="220"/>
              <w:spacing w:after="0"/>
              <w:rPr>
                <w:sz w:val="20"/>
                <w:szCs w:val="20"/>
                <w:color w:val="auto"/>
              </w:rPr>
            </w:pPr>
            <w:r>
              <w:rPr>
                <w:rFonts w:ascii="Arial" w:cs="Arial" w:eastAsia="Arial" w:hAnsi="Arial"/>
                <w:sz w:val="14"/>
                <w:szCs w:val="14"/>
                <w:color w:val="auto"/>
              </w:rPr>
              <w:t>Cash paid during the year for interest</w:t>
            </w: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19,830</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26,203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4,230</w:t>
            </w:r>
          </w:p>
        </w:tc>
      </w:tr>
      <w:tr>
        <w:trPr>
          <w:trHeight w:val="162"/>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during the year for taxes</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2,875</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140" w:type="dxa"/>
            <w:vAlign w:val="bottom"/>
          </w:tcPr>
          <w:p>
            <w:pPr>
              <w:spacing w:after="0"/>
              <w:rPr>
                <w:sz w:val="20"/>
                <w:szCs w:val="20"/>
                <w:color w:val="auto"/>
              </w:rPr>
            </w:pPr>
            <w:r>
              <w:rPr>
                <w:rFonts w:ascii="Arial" w:cs="Arial" w:eastAsia="Arial" w:hAnsi="Arial"/>
                <w:sz w:val="14"/>
                <w:szCs w:val="14"/>
                <w:color w:val="auto"/>
              </w:rPr>
              <w:t>Supplemental Disclosures of Noncash Investing and Financing Activities: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Series A Preferred Stock accrued return</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22,780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32,160</w:t>
            </w:r>
          </w:p>
        </w:tc>
      </w:tr>
      <w:tr>
        <w:trPr>
          <w:trHeight w:val="162"/>
        </w:trPr>
        <w:tc>
          <w:tcPr>
            <w:tcW w:w="6140" w:type="dxa"/>
            <w:vAlign w:val="bottom"/>
          </w:tcPr>
          <w:p>
            <w:pPr>
              <w:ind w:left="220"/>
              <w:spacing w:after="0"/>
              <w:rPr>
                <w:sz w:val="20"/>
                <w:szCs w:val="20"/>
                <w:color w:val="auto"/>
              </w:rPr>
            </w:pPr>
            <w:r>
              <w:rPr>
                <w:rFonts w:ascii="Arial" w:cs="Arial" w:eastAsia="Arial" w:hAnsi="Arial"/>
                <w:sz w:val="14"/>
                <w:szCs w:val="14"/>
                <w:color w:val="auto"/>
              </w:rPr>
              <w:t>Series A accretion of issuance costs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5,562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2,742</w:t>
            </w:r>
          </w:p>
        </w:tc>
      </w:tr>
      <w:tr>
        <w:trPr>
          <w:trHeight w:val="162"/>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Series B Preferred Stock accrued return</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w:t>
            </w:r>
          </w:p>
        </w:tc>
      </w:tr>
      <w:tr>
        <w:trPr>
          <w:trHeight w:val="162"/>
        </w:trPr>
        <w:tc>
          <w:tcPr>
            <w:tcW w:w="6140" w:type="dxa"/>
            <w:vAlign w:val="bottom"/>
          </w:tcPr>
          <w:p>
            <w:pPr>
              <w:ind w:left="220"/>
              <w:spacing w:after="0"/>
              <w:rPr>
                <w:sz w:val="20"/>
                <w:szCs w:val="20"/>
                <w:color w:val="auto"/>
              </w:rPr>
            </w:pPr>
            <w:r>
              <w:rPr>
                <w:rFonts w:ascii="Arial" w:cs="Arial" w:eastAsia="Arial" w:hAnsi="Arial"/>
                <w:sz w:val="14"/>
                <w:szCs w:val="14"/>
                <w:color w:val="auto"/>
              </w:rPr>
              <w:t>Series B accretion of issuance costs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62"/>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Series C Preferred Stock accrued return</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1,973</w:t>
            </w:r>
          </w:p>
        </w:tc>
      </w:tr>
      <w:tr>
        <w:trPr>
          <w:trHeight w:val="162"/>
        </w:trPr>
        <w:tc>
          <w:tcPr>
            <w:tcW w:w="6140" w:type="dxa"/>
            <w:vAlign w:val="bottom"/>
          </w:tcPr>
          <w:p>
            <w:pPr>
              <w:ind w:left="220"/>
              <w:spacing w:after="0"/>
              <w:rPr>
                <w:sz w:val="20"/>
                <w:szCs w:val="20"/>
                <w:color w:val="auto"/>
              </w:rPr>
            </w:pPr>
            <w:r>
              <w:rPr>
                <w:rFonts w:ascii="Arial" w:cs="Arial" w:eastAsia="Arial" w:hAnsi="Arial"/>
                <w:sz w:val="14"/>
                <w:szCs w:val="14"/>
                <w:color w:val="auto"/>
              </w:rPr>
              <w:t>Series C accretion of issuance costs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921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211</w:t>
            </w:r>
          </w:p>
        </w:tc>
      </w:tr>
      <w:tr>
        <w:trPr>
          <w:trHeight w:val="162"/>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Warrant financing</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7"/>
        </w:trPr>
        <w:tc>
          <w:tcPr>
            <w:tcW w:w="6140" w:type="dxa"/>
            <w:vAlign w:val="bottom"/>
          </w:tcPr>
          <w:p>
            <w:pPr>
              <w:ind w:left="220"/>
              <w:spacing w:after="0"/>
              <w:rPr>
                <w:sz w:val="20"/>
                <w:szCs w:val="20"/>
                <w:color w:val="auto"/>
              </w:rPr>
            </w:pPr>
            <w:r>
              <w:rPr>
                <w:rFonts w:ascii="Arial" w:cs="Arial" w:eastAsia="Arial" w:hAnsi="Arial"/>
                <w:sz w:val="14"/>
                <w:szCs w:val="14"/>
                <w:color w:val="auto"/>
              </w:rPr>
              <w:t>Warrant liability reclassified to equity</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5,468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69"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line="275" w:lineRule="auto"/>
        <w:rPr>
          <w:sz w:val="20"/>
          <w:szCs w:val="20"/>
          <w:color w:val="auto"/>
        </w:rPr>
      </w:pPr>
      <w:r>
        <w:rPr>
          <w:rFonts w:ascii="Arial" w:cs="Arial" w:eastAsia="Arial" w:hAnsi="Arial"/>
          <w:sz w:val="17"/>
          <w:szCs w:val="17"/>
          <w:b w:val="1"/>
          <w:bCs w:val="1"/>
          <w:color w:val="auto"/>
        </w:rPr>
        <w:t>HARMONY BIOSCIENCES HOLDINGS, INC. AND SUBSIDIARY NOTES TO CONSOLIDATED FINANCIAL STATEMENTS (In thousands, except share and per share data)</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b w:val="1"/>
          <w:bCs w:val="1"/>
          <w:color w:val="auto"/>
        </w:rPr>
        <w:t>. ORGANIZATION AND DESCRIPTION OF BUSINESS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Company</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Harmony Biosciences Holdings, Inc. (the “Company”) was founded in July 2017 as Harmony Biosciences II, LLC, a Delaware limited liability company, and the Company converted to a Delaware corporation named Harmony Biosciences II, Inc. in September 2017. In February 2020, the Company changed its name to Harmony Biosciences Holdings, Inc. The Company is a holding company and has no operations. The Company’s operations are conducted in its wholly owned subsidiary, Harmony Biosciences, LLC (“Harmony”), which was formed in May 2017. The Company is a commercial-stage pharmaceutical company focused on developing and commercializing innovative therapies for patients living with rare neurological disorders who have unmet medical needs. The Company is headquartered in Plymouth Meeting, Pennsylvania.</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Initial Public Offering</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August 2020, the Company completed its initial public offering (“IPO”) of common stock, in which it sold 6,151,162 shares, including 802,325 shares pursuant to the underwriters’ over-allotment option. The shares were sold at an IPO price of $ 24.00 per share for net proceeds of approximately $135,435, after deducting underwriting discounts and commissions and offering expenses of approximately $12,193 payable by the Company. Upon the closing of the IPO, all outstanding shares of the Company’s convertible preferred stock were automatically converted into shares of common stock and the accrued dividend payable to holders of the convertible preferred stock was paid out in shares of common stock, resulting in a total of 42,926,630 shares of common stock being issued to former holders of the Company’s convertible preferred stock. Warrants exercisable for convertible preferred stock were automatically converted into warrants exercisable for a total of 410,239 shares of common stock.</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Reverse Stock Split</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August 2020, the Company implemented a 1-for-8.215 reverse stock split of the Company’s common stock. All share and per share data shown in the accompanying financial statements and related notes have been retroactively revised to reflect the reverse stock split.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and preferred dividend were proportionately reduced. All references in the accompanying consolidated financial statements and related notes to the number of shares of common stock, convertible preferred stock, warrants and options to purchase common stock and per share data reflect the effect of the reverse stock split.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LIQUIDITY AND CAPITAL RESOURCES</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consolidated financial statements have been prepared as though the Company will continue as a going concern, which contemplates the realization of assets and satisfaction of liabilities in the normal course of business. Prior to the year ended December 31, 2021, the Company had incurred operating losses and negative cash flows from operations resulting in an accumulated deficit of $453,598 and $488,195, as of December 31, 2021 and 2020, respectively. As of December 31, 2021, the Company had cash and cash equivalents of $234,309.</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Company believes that its existing cash and cash equivalents on hands as December 31, 2021, as well as additional cash generated from operating and financing activities will enable the Company to meet its operational liquidity needs and fund its planned investing activities for the next twelve months from the date of issuance of these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left="660" w:right="5140" w:hanging="652"/>
        <w:spacing w:after="0" w:line="498" w:lineRule="auto"/>
        <w:tabs>
          <w:tab w:leader="none" w:pos="21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firstLine="648"/>
        <w:spacing w:after="0" w:line="238"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of America (“GAAP”) and include all adjustments necessary for the fair presentation of the Company’s financial position for the periods presented. All intercompany accounts and transactions have been eliminated in consolidation.</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Significant Risks and Uncertainties</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competition from products manufactured and sold or being developed by other companies; the price of, and demand for, the Company’s products, if approved; the Company’s ability to negotiate favorable licensing or other manufacturing and marketing agreements for its product candidates; and the Company’s ability to raise capital.</w:t>
      </w:r>
    </w:p>
    <w:p>
      <w:pPr>
        <w:spacing w:after="0" w:line="20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Company currently has one commercially approved product, WAKIX, and there can be no assurance that the Company’s research and development and clinical trials will result in any successfully commercialized products in addition to WAKIX.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83"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Use of Estimates</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disclosures in the Consolidated Financial Statements, including the notes thereto, and elsewhere in this report. Uncertainties related to the magnitude and duration of COVID-19, the extent to which it will impact our estimated future financial results, worldwide macroeconomic conditions including interest rates, employment rates, consumer spending and health insurance coverage, the speed of the anticipated recovery and governmental and business reactions to the pandemic have increased the complexity of developing these estimates, including the carrying amounts of long-lived assets, and the intangible asset. Actual results may differ significantly from our estimates, including as a result of COVID-19.</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Operating Segments</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Company holds all its tangible assets, conducts its operations, and generates its revenues in the U.S. Operating segments are defined as components of an entity for which separate financial information is available and that is regularly reviewed by the Chief Operating Decision Makers in deciding how to allocate resources to an individual segment and in assessing performance. The Company has determined it operates in a single operating segment and has one reportable segment.</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 xml:space="preserve">The Company’s consolidated financial statements include cash, cash equivalents, accounts payable, and accrued liabilities, all of which are short term in nature and, accordingly, approximate fair value. Additionally, prior to the IPO, the Company’s consolidated financial statements included a warrant liability that was carried at fair value and was re-measured at each balance sheet date until it would be exercised or expired. In connection with the IPO, the Warrants were re-evaluated under the Financial Accounting Standards Board (“FASB”) Accounting Standards Codification (“ASC”) 480, </w:t>
      </w:r>
      <w:r>
        <w:rPr>
          <w:rFonts w:ascii="Arial" w:cs="Arial" w:eastAsia="Arial" w:hAnsi="Arial"/>
          <w:sz w:val="18"/>
          <w:szCs w:val="18"/>
          <w:i w:val="1"/>
          <w:iCs w:val="1"/>
          <w:color w:val="auto"/>
        </w:rPr>
        <w:t xml:space="preserve">Distinguishing Liabilities from Equity, </w:t>
      </w:r>
      <w:r>
        <w:rPr>
          <w:rFonts w:ascii="Arial" w:cs="Arial" w:eastAsia="Arial" w:hAnsi="Arial"/>
          <w:sz w:val="18"/>
          <w:szCs w:val="18"/>
          <w:color w:val="auto"/>
        </w:rPr>
        <w:t>and reclassified to equity. See Note 14 for a further discussion of the warrants.</w:t>
      </w:r>
    </w:p>
    <w:p>
      <w:pPr>
        <w:spacing w:after="0" w:line="20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It is the Company’s policy, in general, to measure non-financial assets and liabilities at fair value on a nonrecurring basis. The instruments are not measured at fair value on an ongoing basis but are subject to fair value adjustments in certain circumstances (such as evidence of impairment), which, if material, are disclosed in the accompanying footnotes.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 xml:space="preserve">The Company measures certain assets and liabilities at fair value in accordance with ASC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 and Disclosures</w:t>
      </w:r>
      <w:r>
        <w:rPr>
          <w:rFonts w:ascii="Arial" w:cs="Arial" w:eastAsia="Arial" w:hAnsi="Arial"/>
          <w:sz w:val="18"/>
          <w:szCs w:val="18"/>
          <w:color w:val="auto"/>
        </w:rPr>
        <w:t>. ASC 820 defines fair value as the price that would be received to sell an asset or paid to</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a liability (the exit price) in an orderly transaction between market participants at the measurement date. The guidance in ASC 820 outlines a valuation framework and creates a fair value hierarchy that serves to increase the consistency and comparability of fair value measurements and the related disclosures. In determining fair value, the Company maximizes the use of quoted prices and observable inputs. Observable inputs are inputs that market participants would use in pricing the asset or liability based on market data obtained from independent sources. The fair value hierarchy is broken down into three levels based on the source of inputs as follows:</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212" w:lineRule="exact"/>
        <w:rPr>
          <w:sz w:val="20"/>
          <w:szCs w:val="20"/>
          <w:color w:val="auto"/>
        </w:rPr>
      </w:pPr>
    </w:p>
    <w:p>
      <w:pPr>
        <w:ind w:left="700" w:right="760"/>
        <w:spacing w:after="0" w:line="246" w:lineRule="auto"/>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3—Valuations based on unobservable inputs and models that are supported by little or no market activity.</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Cash and cash equivalents consist of cash and, if applicable, highly liquid investments with an original maturity of three months or less when purchased, including investments in Money Market Funds. The following table provides a reconciliation of cash, cash equivalents, and restricted cash reported within the balance sheet that equal the amount reflected in the statements of cash flows.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As of</w:t>
            </w:r>
          </w:p>
        </w:tc>
        <w:tc>
          <w:tcPr>
            <w:tcW w:w="1080" w:type="dxa"/>
            <w:vAlign w:val="bottom"/>
            <w:tcBorders>
              <w:bottom w:val="single" w:sz="8" w:color="auto"/>
            </w:tcBorders>
          </w:tcPr>
          <w:p>
            <w:pPr>
              <w:spacing w:after="0"/>
              <w:rPr>
                <w:sz w:val="15"/>
                <w:szCs w:val="15"/>
                <w:color w:val="auto"/>
              </w:rPr>
            </w:pPr>
          </w:p>
        </w:tc>
      </w:tr>
      <w:tr>
        <w:trPr>
          <w:trHeight w:val="142"/>
        </w:trPr>
        <w:tc>
          <w:tcPr>
            <w:tcW w:w="7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57"/>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75"/>
        </w:trPr>
        <w:tc>
          <w:tcPr>
            <w:tcW w:w="71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r>
      <w:tr>
        <w:trPr>
          <w:trHeight w:val="196"/>
        </w:trPr>
        <w:tc>
          <w:tcPr>
            <w:tcW w:w="7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234,309</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228,631</w:t>
            </w:r>
          </w:p>
        </w:tc>
      </w:tr>
      <w:tr>
        <w:trPr>
          <w:trHeight w:val="203"/>
        </w:trPr>
        <w:tc>
          <w:tcPr>
            <w:tcW w:w="71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750</w:t>
            </w: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750</w:t>
            </w:r>
          </w:p>
        </w:tc>
      </w:tr>
      <w:tr>
        <w:trPr>
          <w:trHeight w:val="196"/>
        </w:trPr>
        <w:tc>
          <w:tcPr>
            <w:tcW w:w="71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cash, cash equivalents, and restricted cash shown in the statements of cash flows</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235,059</w:t>
            </w:r>
          </w:p>
        </w:tc>
        <w:tc>
          <w:tcPr>
            <w:tcW w:w="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229,381</w:t>
            </w:r>
          </w:p>
        </w:tc>
      </w:tr>
      <w:tr>
        <w:trPr>
          <w:trHeight w:val="20"/>
        </w:trPr>
        <w:tc>
          <w:tcPr>
            <w:tcW w:w="7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Amounts included in restricted cash represent those amounts required to be held as a security deposit in the form of letters of credit for the Company’s credit card program and the fleet program.</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Concentrations of Risk</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Substantially all of the Company’s cash and money market funds are held with a single financial institution. Due to its size, the Company believes this financial institution represents minimal credit risk. Deposits in this institution may exceed the amount of insurance provided on such deposits by the Federal Deposit Insurance Corporation for U.S. institutions. The Company has not experienced any losses on its deposits of cash and cash equivalents. Management believes that the Company is not exposed to significant credit risk due to the financial position of the depository institutions in which those deposits are held.</w:t>
      </w:r>
    </w:p>
    <w:p>
      <w:pPr>
        <w:spacing w:after="0" w:line="20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Company is also subject to credit risk from its trade receivables related to its product sales. The Company monitors its exposure within accounts receivable and records a reserve against uncollectible accounts receivable as necessary. The Company extends credit to specialty pharmaceutical distribution companies within the United States. Customer creditworthiness is monitored and collateral is not required. Historically, the Company has not experienced credit losses on its accounts receivable. As of December 31, 2021, three customers accounted for 100% of gross accounts receivable, Accredo Health Group, Inc. (“Accredo”), which accounted for 40% of gross accounts receivable; PANTHERx Specialty Pharmacy LLC (“Pantherx”), which accounted for 31% of gross accounts receivable; Caremark LLC (“CVS Caremark”), which accounted for 29% of gross accounts receivable. As of December 31, 2020, three customers accounted for 100% of gross accounts receivable; CVS Caremark, which accounted for 44% of gross accounts receivable, Pantherx, which accounted for 23% of gross accounts receivable and Accredo, which accounted for 33% of gross accounts receivable.</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For the year ended December 31, 2021, three customers accounted for 100% of gross product revenues; CVS Caremark accounted for 36% of gross product revenues; Pantherx accounted for 35% of gross product revenues; and Accredo accounted for 29% of gross product revenues. For the year ended December 31, 2020, three customers accounted for 100% of gross product revenues, CVS Caremark accounted for 40% of gross product revenues; Pantherx accounted for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33% of gross products revenues; and Accredo accounted for 27% of gross product revenues. For the year ended December 31, 2019, two customers accounted for 88% of gross product revenues; CVS Caremark accounted for 59% of gross product revenues and Pantherx accounted for 29% of gross product revenues.</w:t>
      </w:r>
    </w:p>
    <w:p>
      <w:pPr>
        <w:spacing w:after="0" w:line="203"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The Company depends on a single source supplier for its product, product candidates and their active pharmaceutical ingredient.</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Inventory</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Inventory is valued at the lower of cost or net realizable value. Cost is determined using the specific identification method for all inventory. Our policy is to write down inventory that has become obsolete, that has a cost basis in excess of its expected net realizable value and/or that we have quantities in excess of expected future demand. The estimate of excess quantities is subjective and primarily dependent on our estimates of future demand. If our estimate of future demand changes, we consider the impact on the reserve for excess inventory and adjust the reserve as required. Inventory reserves are recorded as a component of cost of product sales in our consolidated statement of operations.</w:t>
      </w:r>
    </w:p>
    <w:p>
      <w:pPr>
        <w:spacing w:after="0" w:line="2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may capitalize inventory costs associated with our products prior to regulatory approval when future commercialization is probable.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Property and Equipment</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assets, generally between three and ten years. Leasehold improvements are depreciated using the straight-line method over the shorter of the estimated useful life of the asset or the term of the lease. The Company’s leasehold improvements primarily relate to its corporate headquarters in Plymouth Meeting, PA, and are generally being depreciated through the end of the lease term in May 2024. When assets are retired or otherwise disposed of, the cost and accumulated depreciation are removed from the balance sheet and any resulting gain or loss is reflected in the statement of operations and comprehensive loss in the period realized.</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Intangible Asset</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Intangible assets with finite useful lives consist primarily of purchased developed technology and are amortized on a straight-line basis over their estimated useful lives. The estimated useful lives associated with finite-lived intangible assets are consistent with the estimated lives of the associated products and may be modified when circumstances warrant. Such assets are reviewed for impairment when events or circumstances indicate that the carrying value of an asset may not be recoverable. An impairment loss would be recognized when estimated undiscounted future cash flows expected to result from the use of an asset and its eventual disposition are less than its carrying amount. The amount of any impairment is measured as the difference between the carrying amount and the fair value of the impaired asset.</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Revenue Recognition</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account for contracts with our customers in accordance with ASC 606, Revenue from Contracts with Customers (ASC 606), or ASC 606.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we will collect the consideration we are entitled to in exchange for the goods or services it transfers to the customer. The amount of variable consideration which is included in the transaction price may be constrained and is included in the net sales price only to the extent that it is probable that a significant reversal in the amount of the cumulative revenue recognized under contracts will not occur in a future period. Our analyses contemplate the application of the constraint in accordance with ASC 606. Actual amounts of consideration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ultimately received may differ from our estimates. If actual results in the future vary from our estimates, we will adjust these estimates, which would affect net product revenue and earnings in the period such variances become known.</w:t>
      </w:r>
    </w:p>
    <w:p>
      <w:pPr>
        <w:spacing w:after="0" w:line="19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have determined that the delivery of our product to our customer constitutes a single performance obligation as there are no other promises to deliver goods or services in contracts with our customers. Shipping and handling activities are considered to be fulfilment activities and are not considered to be a separate performance obligation. The payment terms with our customers do not exceed one year and therefore, no amount of consideration has been allocated as a financing component. Taxes collected related to product sales are remitted to governmental authorities and are excluded from revenue.</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Product Sales, Net</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recognize revenue on sales of WAKIX when the customer obtains control of the product, which occurs at a point in time, typically upon delivery. Product revenues are recorded at the product’s list price, net of applicable reserves for variable consideration that are offered within contracts between us and our customers, payors, and other indirect customers relating to the sale of WAKIX. Components of variable consideration include government and commercial contracts, product returns, commercial co-payment assistance program transactions, and distribution service fees. These deductions, as detailed below, are based on the amounts earned, or to be claimed on the related sales, and are classified as a current liability or reduction of receivables.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Sold</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Cost of product sold includes manufacturing and distribution costs, the cost of drug substance, FDA program fees, royalties due to third parties on net product sales, freight, shipping, handling, storage costs, and salaries of employees involved with production. The Company began capitalizing inventory upon FDA approval of WAKIX. A portion of the inventory sold during the year ended December 31, 2020 was produced prior to FDA approval and, therefore, $1,323 was expensed as research and development expense during the year ended December 31, 2019.</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3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Research and development costs are expensed as incurred. Liabilities due to third parties in connection with research and development collaborations prior to regulatory approval are expensed as incurred.</w:t>
      </w:r>
    </w:p>
    <w:p>
      <w:pPr>
        <w:spacing w:after="0" w:line="19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Upfront payments and pre-FDA approval milestone payments made for licensing of technology are expensed as research and development in the period in which they are incurred. Advance payments for goods and services to be received in the future for use in research and development activities are recorded as prepaid expenses. The prepaid amounts are expensed as the related goods are delivered or the services are performed.</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Advertising Expenses</w:t>
      </w:r>
    </w:p>
    <w:p>
      <w:pPr>
        <w:spacing w:after="0" w:line="234"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We expensed the costs of advertising, including promotional expenses, as incurred. Advertising expenses were $19,558, $13,301 and $7,072 for the years ended December 31, 2021, 2020 and 2019, respectively.</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Stock-Based Compensation</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Company recognizes compensation expense relating to stock-based payment transactions in operating results using a fair value measurement method, in accordance with FASB ASC 718, Compensation-Stock Compensation. ASC 718 requires all stock-based payments to employees to be recognized in operating results as compensation expense based on fair value over the requisite service period of the awards. The vesting periods have a time-based provision consisting of three to five years and expire no more than 10 years after the date of grant. Upon a change of control, certain unvested awards will immediately vest. The Company determines the fair value of stock-based awards using the Black-Scholes option-pricing model, which uses both historical and current market data to estimate fair value. The method incorporates various assumptions, such as the risk-free interest rate, expected volatility, expected dividend yield, and expected life of the options.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On January 1, 2019, the Company early adopted and accounts for stock-based payments granted to nonemployees in accordance with ASU 2018-07, Compensation – Stock Compensation (ASC 718): Improvements to Nonemployee Share – Based Payment Accounting. The Company determines the fair value of the stock-based payment as the fair value of the equity instruments issued. It is measured on the grant date.</w:t>
      </w:r>
    </w:p>
    <w:p>
      <w:pPr>
        <w:spacing w:after="0" w:line="205"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18"/>
          <w:szCs w:val="18"/>
          <w:color w:val="auto"/>
        </w:rPr>
        <w:t>The Company also had nonemployee stock awards subject to a performance condition that are recognized based on probable outcome. On November 15, 2019 the Company modified the award to remove the performance condition resulting in $8,400 of noncash expense that is included in the Company’s consolidated results of operations for the year ended December 31, 2019 (see Note 13 for further details).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Basic and Diluted Net Income (Loss) per Share</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Basic net income (loss) per share is determined using the weighted average number of shares of common stock outstanding during each period. Diluted net income per share includes the effect, if any, from the potential exercise or conversion of securities, such as convertible preferred stock and stock options, which would result in the issuance of incremental shares of common stock. The computation of diluted net loss per shares does not include the conversion of securities that would have an anti-dilutive effect. The basic and diluted computations of net loss per share for the Company are the same because the effects of the Company’s convertible securities would be anti-dilutive (see Note 15 for further detail).</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0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Deferred tax assets may be reduced by a valuation allowance if, based on all available evidence, it is more likely than not that some portion or all of the deferred income tax assets will not be realized. Management judgment is required in determining the period in which a reversal of a valuation allowance should occur. The Company is required to consider all available evidence, both positive and negative, such as historical levels of income and future forecasts of taxable income among other items, in determining whether a full or partial release of its valuation allowance is required. The Company’s accounting for deferred tax consequences represents the best estimate of those future events. The Company presents deferred income taxes on the Consolidated Balance Sheet on a jurisdictional basis as either a net noncurrent asset or liability.</w:t>
      </w:r>
    </w:p>
    <w:p>
      <w:pPr>
        <w:spacing w:after="0" w:line="20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sustainable, based solely on its technical merits and consideration of the relevant taxing authority’s widely understood administrative practices and precedents. Recognized income tax positions are measured at the largest amount that is greater than 50% likely of being realized. Changes in recognition or measurement are reflected in the period in which a change in judgment occurs. At December 31, 2021 and 2020, the Company did not have any unrecognized uncertain tax positions. The Company’s policy is to include any interest and penalties as a component of income tax expense.</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Agreement Related to Intellectual Property</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August 2021, The Company entered into an asset purchase agreement with ConSynance Therapeutics, Inc. to acquire HBS-102 (formerly referred to as “CSTI-100”), a potential first-in-class molecule with a novel mechanism of action. Under the terms of the agreement, the Company acquired full development and commercialization rights globally, with the exception of Greater China, for $3,500. The Company accounted for the transaction as an asset acquisition as substantially all of the fair value of the assets acquired was concentrated in a single identified asset. The payment was recorded in research and development within the consolidated statement of operations and comprehensive income (loss) for the year ended December 31, 2021. Additionally, there are payments due upon the achievement of certain milestones including $1,750 for preclinical milestones, $19,000 for development milestones, $44,000 for regulatory milestones and $110,000 for sales milestones.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Emerging Growth Company Status</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For the years ended December 31, 2020 and 2019, the Company was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had previously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20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Company is no longer an emerging growth company as of December 31, 2021, and is no longer able to take advantage of the reduced disclosure requirements applicable to emerging growth companies. As a result, the Company has adopted several recently issued accounting pronouncements on December 31, 2021 and to reflect the adoption as of January 1, 2021 in our annual results for the period ended December 31, 2021 (see below).</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b w:val="1"/>
          <w:bCs w:val="1"/>
          <w:color w:val="auto"/>
        </w:rPr>
        <w:t xml:space="preserve">ASU 2016-02 Leases (Topic 842). </w:t>
      </w:r>
      <w:r>
        <w:rPr>
          <w:rFonts w:ascii="Arial" w:cs="Arial" w:eastAsia="Arial" w:hAnsi="Arial"/>
          <w:sz w:val="18"/>
          <w:szCs w:val="18"/>
          <w:color w:val="auto"/>
        </w:rPr>
        <w:t>In February 2016, the FASB issued amended guidance to increase transparency</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comparability among organizations by recognizing lease assets and lease liabilities in the balance sheet and disclosing key information about leasing arrangements. The new guidance clarifies the criteria for distinguishing between a finance lease and operating lease, as well as classification between the two types of leases, which is substantially unchanged from the previous lease guidance. Further, the new guidance requires a lessee to recognize in the statement of financial position a liability to make lease payments (the lease liability) and a right-of-use asset, initially measured at the present value of the lease payments. For finance leases, a lessee should recognize interest on the lease liability separately from amortization of the right-of-use asset. For operating leases, a lessee should recognize a single lease cost, calculated so that the cost of the lease is allocated over the lease term on a generally straight-line basis.</w:t>
      </w:r>
    </w:p>
    <w:p>
      <w:pPr>
        <w:spacing w:after="0" w:line="20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As the Company is no longer an emerging growth company as of December 31, 2021, the Company adopted this standard on a modified retrospective basis on December 31, 2021 and reflected the adoption as of January 1, 2021 in our annual results for the period ended December 31, 2021. The Company elected the package of practical expedients permitted under the transition guidance, which allows it to carry forward its historical lease classification, its determination regarding whether a contract contains a lease and any initial indirect costs that had existed prior to the adoption of this new standard. The Company also elected not to recognize lease assets and lease liabilities for leases with a term of 12 months or less. The Company recognized $1,958 of operating lease right-of-use assets, $991 in short-term operating lease liabilities and $1,417 of long-term operating lease liabilities on the consolidated balance sheet upon adoption of the new standard. The operating lease liabilities were determined based on the present value of the remaining minimum rental payments and the operating lease right-of-use asset was determined based on the value of the lease liabilities, adjusted for deferred rent and tenant allowance balances of $450, which were previously included in accrued liabilities and other long-term liabilities.</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b w:val="1"/>
          <w:bCs w:val="1"/>
          <w:color w:val="auto"/>
        </w:rPr>
        <w:t xml:space="preserve">ASU 2016-13 Financial Instruments – Credit Losses (Topic 326). </w:t>
      </w: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ASU No. 2016-13 introduces an approach, based on expected losses, to estimate credit losses on certain types of financial instruments and modifies the impairment model for available-for-sale debt securities. As the Company is no longer an emerging growth company as of December 31, 2021, the Company adopted this standard on a modified retrospective basis on December 31, 2021 and reflected the adoption as of January 1, 2021 in our annual results for the period ended December 31, 2021, which did not have a significant impact to its consolidated financial statements.</w:t>
      </w:r>
    </w:p>
    <w:p>
      <w:pPr>
        <w:spacing w:after="0" w:line="18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b w:val="1"/>
          <w:bCs w:val="1"/>
          <w:color w:val="auto"/>
        </w:rPr>
        <w:t>ASU 2019-12, Income Taxes (Topic 740</w:t>
      </w:r>
      <w:r>
        <w:rPr>
          <w:rFonts w:ascii="Arial" w:cs="Arial" w:eastAsia="Arial" w:hAnsi="Arial"/>
          <w:sz w:val="18"/>
          <w:szCs w:val="18"/>
          <w:color w:val="auto"/>
        </w:rPr>
        <w:t>). In December 2019, the FASB issued ASU No. 2019-12,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Income Taxes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(Topic 740): Simplifying the Accounting for Income Taxes</w:t>
      </w:r>
      <w:r>
        <w:rPr>
          <w:rFonts w:ascii="Arial" w:cs="Arial" w:eastAsia="Arial" w:hAnsi="Arial"/>
          <w:sz w:val="18"/>
          <w:szCs w:val="18"/>
          <w:color w:val="auto"/>
        </w:rPr>
        <w:t>, which simplifies the accounting for income taxes by removing</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exceptions to the general principles in the existing guidance for income taxes and making other minor improvements. As the Company is no longer an emerging growth company as of December 31, 2021, the Company adopted this standard on December 31, 2021 and reflected the adoption as of January 1, 2021 in our annual results for the period ended December 31, 2021, which did not have a significant impact to its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both"/>
        <w:ind w:firstLine="648"/>
        <w:spacing w:after="0"/>
        <w:rPr>
          <w:sz w:val="20"/>
          <w:szCs w:val="20"/>
          <w:color w:val="auto"/>
        </w:rPr>
      </w:pPr>
      <w:r>
        <w:rPr>
          <w:rFonts w:ascii="Arial" w:cs="Arial" w:eastAsia="Arial" w:hAnsi="Arial"/>
          <w:sz w:val="18"/>
          <w:szCs w:val="18"/>
          <w:b w:val="1"/>
          <w:bCs w:val="1"/>
          <w:color w:val="auto"/>
        </w:rPr>
        <w:t>ASU 2020-04, Reference Rate Reform (Topic 848)</w:t>
      </w:r>
      <w:r>
        <w:rPr>
          <w:rFonts w:ascii="Arial" w:cs="Arial" w:eastAsia="Arial" w:hAnsi="Arial"/>
          <w:sz w:val="18"/>
          <w:szCs w:val="18"/>
          <w:color w:val="auto"/>
        </w:rPr>
        <w:t>. In March 2020, the FASB issued ASU No. 2020-04,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Reference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Rate Reform (Topic 848)</w:t>
      </w:r>
      <w:r>
        <w:rPr>
          <w:rFonts w:ascii="Arial" w:cs="Arial" w:eastAsia="Arial" w:hAnsi="Arial"/>
          <w:sz w:val="18"/>
          <w:szCs w:val="18"/>
          <w:color w:val="auto"/>
        </w:rPr>
        <w:t>, which provides guidance related to reference rate reform. The pronouncement provides temporary</w:t>
      </w:r>
      <w:r>
        <w:rPr>
          <w:rFonts w:ascii="Arial" w:cs="Arial" w:eastAsia="Arial" w:hAnsi="Arial"/>
          <w:sz w:val="18"/>
          <w:szCs w:val="18"/>
          <w:i w:val="1"/>
          <w:iCs w:val="1"/>
          <w:color w:val="auto"/>
        </w:rPr>
        <w:t xml:space="preserve"> </w:t>
      </w:r>
      <w:r>
        <w:rPr>
          <w:rFonts w:ascii="Arial" w:cs="Arial" w:eastAsia="Arial" w:hAnsi="Arial"/>
          <w:sz w:val="18"/>
          <w:szCs w:val="18"/>
          <w:color w:val="auto"/>
        </w:rPr>
        <w:t>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guidance was effective upon issuance and generally can be applied to applicable contract modifications through December 31, 2022. The Company is currently evaluating the impact of the transition from LIBOR to alternative reference rates but does not expect a significant impact to its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net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4"/>
                <w:szCs w:val="14"/>
                <w:b w:val="1"/>
                <w:bCs w:val="1"/>
                <w:color w:val="auto"/>
              </w:rPr>
              <w:t>As of</w:t>
            </w:r>
          </w:p>
        </w:tc>
        <w:tc>
          <w:tcPr>
            <w:tcW w:w="880" w:type="dxa"/>
            <w:vAlign w:val="bottom"/>
            <w:tcBorders>
              <w:bottom w:val="single" w:sz="8" w:color="auto"/>
            </w:tcBorders>
          </w:tcPr>
          <w:p>
            <w:pPr>
              <w:spacing w:after="0"/>
              <w:rPr>
                <w:sz w:val="15"/>
                <w:szCs w:val="15"/>
                <w:color w:val="auto"/>
              </w:rPr>
            </w:pPr>
          </w:p>
        </w:tc>
      </w:tr>
      <w:tr>
        <w:trPr>
          <w:trHeight w:val="142"/>
        </w:trPr>
        <w:tc>
          <w:tcPr>
            <w:tcW w:w="49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340" w:type="dxa"/>
            <w:vAlign w:val="bottom"/>
            <w:gridSpan w:val="3"/>
          </w:tcPr>
          <w:p>
            <w:pPr>
              <w:ind w:left="80"/>
              <w:spacing w:after="0" w:line="143"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1100" w:type="dxa"/>
            <w:vAlign w:val="bottom"/>
            <w:gridSpan w:val="2"/>
          </w:tcPr>
          <w:p>
            <w:pPr>
              <w:jc w:val="right"/>
              <w:ind w:right="33"/>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75"/>
        </w:trPr>
        <w:tc>
          <w:tcPr>
            <w:tcW w:w="4900" w:type="dxa"/>
            <w:vAlign w:val="bottom"/>
            <w:tcBorders>
              <w:bottom w:val="single" w:sz="8" w:color="CCEEFF"/>
            </w:tcBorders>
          </w:tcPr>
          <w:p>
            <w:pPr>
              <w:spacing w:after="0"/>
              <w:rPr>
                <w:sz w:val="15"/>
                <w:szCs w:val="15"/>
                <w:color w:val="auto"/>
              </w:rPr>
            </w:pPr>
          </w:p>
        </w:tc>
        <w:tc>
          <w:tcPr>
            <w:tcW w:w="25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r>
      <w:tr>
        <w:trPr>
          <w:trHeight w:val="196"/>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Raw materials</w:t>
            </w:r>
          </w:p>
        </w:tc>
        <w:tc>
          <w:tcPr>
            <w:tcW w:w="25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396</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1,787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2,660</w:t>
            </w: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25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2,108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941</w:t>
            </w:r>
          </w:p>
        </w:tc>
      </w:tr>
      <w:tr>
        <w:trPr>
          <w:trHeight w:val="196"/>
        </w:trPr>
        <w:tc>
          <w:tcPr>
            <w:tcW w:w="4900" w:type="dxa"/>
            <w:vAlign w:val="bottom"/>
          </w:tcPr>
          <w:p>
            <w:pPr>
              <w:spacing w:after="0" w:line="196" w:lineRule="exact"/>
              <w:rPr>
                <w:sz w:val="20"/>
                <w:szCs w:val="20"/>
                <w:color w:val="auto"/>
              </w:rPr>
            </w:pPr>
            <w:r>
              <w:rPr>
                <w:rFonts w:ascii="Arial" w:cs="Arial" w:eastAsia="Arial" w:hAnsi="Arial"/>
                <w:sz w:val="18"/>
                <w:szCs w:val="18"/>
                <w:color w:val="auto"/>
              </w:rPr>
              <w:t>Inventory, gross</w:t>
            </w:r>
          </w:p>
        </w:tc>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4,881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3,997</w:t>
            </w: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Reserve for excess inventory</w:t>
            </w:r>
          </w:p>
        </w:tc>
        <w:tc>
          <w:tcPr>
            <w:tcW w:w="25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(174)</w:t>
            </w:r>
          </w:p>
        </w:tc>
      </w:tr>
      <w:tr>
        <w:trPr>
          <w:trHeight w:val="196"/>
        </w:trPr>
        <w:tc>
          <w:tcPr>
            <w:tcW w:w="4900" w:type="dxa"/>
            <w:vAlign w:val="bottom"/>
          </w:tcPr>
          <w:p>
            <w:pPr>
              <w:spacing w:after="0" w:line="196" w:lineRule="exact"/>
              <w:rPr>
                <w:sz w:val="20"/>
                <w:szCs w:val="20"/>
                <w:color w:val="auto"/>
              </w:rPr>
            </w:pPr>
            <w:r>
              <w:rPr>
                <w:rFonts w:ascii="Arial" w:cs="Arial" w:eastAsia="Arial" w:hAnsi="Arial"/>
                <w:sz w:val="18"/>
                <w:szCs w:val="18"/>
                <w:color w:val="auto"/>
              </w:rPr>
              <w:t>Total inventory, net</w:t>
            </w:r>
          </w:p>
        </w:tc>
        <w:tc>
          <w:tcPr>
            <w:tcW w:w="2560" w:type="dxa"/>
            <w:vAlign w:val="bottom"/>
          </w:tcPr>
          <w:p>
            <w:pPr>
              <w:spacing w:after="0"/>
              <w:rPr>
                <w:sz w:val="17"/>
                <w:szCs w:val="17"/>
                <w:color w:val="auto"/>
              </w:rPr>
            </w:pPr>
          </w:p>
        </w:tc>
        <w:tc>
          <w:tcPr>
            <w:tcW w:w="260" w:type="dxa"/>
            <w:vAlign w:val="bottom"/>
            <w:tcBorders>
              <w:bottom w:val="single" w:sz="8" w:color="auto"/>
            </w:tcBorders>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4,432</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3,823</w:t>
            </w:r>
          </w:p>
        </w:tc>
      </w:tr>
      <w:tr>
        <w:trPr>
          <w:trHeight w:val="20"/>
        </w:trPr>
        <w:tc>
          <w:tcPr>
            <w:tcW w:w="4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August 2019, the Company received FDA approval of WAKIX</w:t>
      </w:r>
      <w:r>
        <w:rPr>
          <w:rFonts w:ascii="Arial" w:cs="Arial" w:eastAsia="Arial" w:hAnsi="Arial"/>
          <w:sz w:val="12"/>
          <w:szCs w:val="12"/>
          <w:color w:val="auto"/>
        </w:rPr>
        <w:t>®</w:t>
      </w:r>
      <w:r>
        <w:rPr>
          <w:rFonts w:ascii="Arial" w:cs="Arial" w:eastAsia="Arial" w:hAnsi="Arial"/>
          <w:sz w:val="18"/>
          <w:szCs w:val="18"/>
          <w:color w:val="auto"/>
        </w:rPr>
        <w:t xml:space="preserve"> (pitolisant) for the treatment of excessive daytime sleepiness (“EDS”) in adult patients with narcolepsy. This event triggered a milestone payment of $75,000 under the provisions of the License Agreement which the Company capitalized as an intangible asset. The Company determined a useful life of 10 years for this intangible asset, and, as of December 31, 2021 the remaining useful life was 7.8 years.</w:t>
      </w:r>
    </w:p>
    <w:p>
      <w:pPr>
        <w:spacing w:after="0" w:line="20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October 2020, the Company received FDA upon approval for the NDA for WAKIX</w:t>
      </w:r>
      <w:r>
        <w:rPr>
          <w:rFonts w:ascii="Arial" w:cs="Arial" w:eastAsia="Arial" w:hAnsi="Arial"/>
          <w:sz w:val="13"/>
          <w:szCs w:val="13"/>
          <w:color w:val="auto"/>
        </w:rPr>
        <w:t>®</w:t>
      </w:r>
      <w:r>
        <w:rPr>
          <w:rFonts w:ascii="Arial" w:cs="Arial" w:eastAsia="Arial" w:hAnsi="Arial"/>
          <w:sz w:val="18"/>
          <w:szCs w:val="18"/>
          <w:color w:val="auto"/>
        </w:rPr>
        <w:t xml:space="preserve"> for the treatment of cataplexy in adult patients with narcolepsy. This event triggered a milestone payment of $100,000 under the provisions of the License Agreement which the Company capitalized as an intangible asset and paid in January of 2021. The Company determined a useful life of 9 years for this intangible asset, and, as of December 31, 2021 the remaining useful life was 7.8 years. Amortization expense was $ 18,424, $9,843 and $2,815 for the years ended December 31, 2021, 2020 and 2019, respectively, and is recorded in general and administrative expenses in the consolidated statements of operations and comprehensive income (loss).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expects the future annual amortization expense for the unamortized intangible assets to be as</w:t>
      </w:r>
    </w:p>
    <w:p>
      <w:pPr>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8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5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2022</w:t>
            </w:r>
          </w:p>
        </w:tc>
        <w:tc>
          <w:tcPr>
            <w:tcW w:w="5380" w:type="dxa"/>
            <w:vAlign w:val="bottom"/>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18,570</w:t>
            </w:r>
          </w:p>
        </w:tc>
        <w:tc>
          <w:tcPr>
            <w:tcW w:w="0" w:type="dxa"/>
            <w:vAlign w:val="bottom"/>
          </w:tcPr>
          <w:p>
            <w:pPr>
              <w:spacing w:after="0"/>
              <w:rPr>
                <w:sz w:val="1"/>
                <w:szCs w:val="1"/>
                <w:color w:val="auto"/>
              </w:rPr>
            </w:pPr>
          </w:p>
        </w:tc>
      </w:tr>
      <w:tr>
        <w:trPr>
          <w:trHeight w:val="203"/>
        </w:trPr>
        <w:tc>
          <w:tcPr>
            <w:tcW w:w="3580" w:type="dxa"/>
            <w:vAlign w:val="bottom"/>
          </w:tcPr>
          <w:p>
            <w:pPr>
              <w:ind w:left="120"/>
              <w:spacing w:after="0" w:line="202" w:lineRule="exact"/>
              <w:rPr>
                <w:sz w:val="20"/>
                <w:szCs w:val="20"/>
                <w:color w:val="auto"/>
              </w:rPr>
            </w:pPr>
            <w:r>
              <w:rPr>
                <w:rFonts w:ascii="Arial" w:cs="Arial" w:eastAsia="Arial" w:hAnsi="Arial"/>
                <w:sz w:val="18"/>
                <w:szCs w:val="18"/>
                <w:color w:val="auto"/>
              </w:rPr>
              <w:t>2023</w:t>
            </w:r>
          </w:p>
        </w:tc>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18,570</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2024</w:t>
            </w:r>
          </w:p>
        </w:tc>
        <w:tc>
          <w:tcPr>
            <w:tcW w:w="5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18,570</w:t>
            </w:r>
          </w:p>
        </w:tc>
        <w:tc>
          <w:tcPr>
            <w:tcW w:w="0" w:type="dxa"/>
            <w:vAlign w:val="bottom"/>
          </w:tcPr>
          <w:p>
            <w:pPr>
              <w:spacing w:after="0"/>
              <w:rPr>
                <w:sz w:val="1"/>
                <w:szCs w:val="1"/>
                <w:color w:val="auto"/>
              </w:rPr>
            </w:pPr>
          </w:p>
        </w:tc>
      </w:tr>
      <w:tr>
        <w:trPr>
          <w:trHeight w:val="203"/>
        </w:trPr>
        <w:tc>
          <w:tcPr>
            <w:tcW w:w="3580" w:type="dxa"/>
            <w:vAlign w:val="bottom"/>
          </w:tcPr>
          <w:p>
            <w:pPr>
              <w:ind w:left="120"/>
              <w:spacing w:after="0" w:line="202" w:lineRule="exact"/>
              <w:rPr>
                <w:sz w:val="20"/>
                <w:szCs w:val="20"/>
                <w:color w:val="auto"/>
              </w:rPr>
            </w:pPr>
            <w:r>
              <w:rPr>
                <w:rFonts w:ascii="Arial" w:cs="Arial" w:eastAsia="Arial" w:hAnsi="Arial"/>
                <w:sz w:val="18"/>
                <w:szCs w:val="18"/>
                <w:color w:val="auto"/>
              </w:rPr>
              <w:t>2025</w:t>
            </w:r>
          </w:p>
        </w:tc>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18,570</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2026</w:t>
            </w:r>
          </w:p>
        </w:tc>
        <w:tc>
          <w:tcPr>
            <w:tcW w:w="5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18,570</w:t>
            </w:r>
          </w:p>
        </w:tc>
        <w:tc>
          <w:tcPr>
            <w:tcW w:w="0" w:type="dxa"/>
            <w:vAlign w:val="bottom"/>
          </w:tcPr>
          <w:p>
            <w:pPr>
              <w:spacing w:after="0"/>
              <w:rPr>
                <w:sz w:val="1"/>
                <w:szCs w:val="1"/>
                <w:color w:val="auto"/>
              </w:rPr>
            </w:pPr>
          </w:p>
        </w:tc>
      </w:tr>
      <w:tr>
        <w:trPr>
          <w:trHeight w:val="203"/>
        </w:trPr>
        <w:tc>
          <w:tcPr>
            <w:tcW w:w="35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Thereafter</w:t>
            </w:r>
          </w:p>
        </w:tc>
        <w:tc>
          <w:tcPr>
            <w:tcW w:w="50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51,069</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50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143,919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5040" w:type="dxa"/>
            <w:vAlign w:val="bottom"/>
            <w:vMerge w:val="restart"/>
          </w:tcPr>
          <w:p>
            <w:pPr>
              <w:jc w:val="right"/>
              <w:ind w:right="3410"/>
              <w:spacing w:after="0"/>
              <w:rPr>
                <w:sz w:val="20"/>
                <w:szCs w:val="20"/>
                <w:color w:val="auto"/>
              </w:rPr>
            </w:pPr>
            <w:r>
              <w:rPr>
                <w:rFonts w:ascii="Arial" w:cs="Arial" w:eastAsia="Arial" w:hAnsi="Arial"/>
                <w:sz w:val="18"/>
                <w:szCs w:val="18"/>
                <w:color w:val="auto"/>
              </w:rPr>
              <w:t>106</w:t>
            </w: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58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gross carrying amount and net book value of the intangible asset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As of</w:t>
            </w:r>
          </w:p>
        </w:tc>
        <w:tc>
          <w:tcPr>
            <w:tcW w:w="860" w:type="dxa"/>
            <w:vAlign w:val="bottom"/>
            <w:tcBorders>
              <w:bottom w:val="single" w:sz="8" w:color="auto"/>
            </w:tcBorders>
          </w:tcPr>
          <w:p>
            <w:pPr>
              <w:spacing w:after="0"/>
              <w:rPr>
                <w:sz w:val="15"/>
                <w:szCs w:val="15"/>
                <w:color w:val="auto"/>
              </w:rPr>
            </w:pPr>
          </w:p>
        </w:tc>
      </w:tr>
      <w:tr>
        <w:trPr>
          <w:trHeight w:val="142"/>
        </w:trPr>
        <w:tc>
          <w:tcPr>
            <w:tcW w:w="48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100" w:type="dxa"/>
            <w:vAlign w:val="bottom"/>
            <w:gridSpan w:val="2"/>
          </w:tcPr>
          <w:p>
            <w:pPr>
              <w:jc w:val="right"/>
              <w:ind w:right="17"/>
              <w:spacing w:after="0" w:line="143"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1100" w:type="dxa"/>
            <w:vAlign w:val="bottom"/>
            <w:gridSpan w:val="2"/>
          </w:tcPr>
          <w:p>
            <w:pPr>
              <w:jc w:val="right"/>
              <w:ind w:right="15"/>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75"/>
        </w:trPr>
        <w:tc>
          <w:tcPr>
            <w:tcW w:w="4800" w:type="dxa"/>
            <w:vAlign w:val="bottom"/>
            <w:tcBorders>
              <w:bottom w:val="single" w:sz="8" w:color="CCEEFF"/>
            </w:tcBorders>
          </w:tcPr>
          <w:p>
            <w:pPr>
              <w:spacing w:after="0"/>
              <w:rPr>
                <w:sz w:val="15"/>
                <w:szCs w:val="15"/>
                <w:color w:val="auto"/>
              </w:rPr>
            </w:pPr>
          </w:p>
        </w:tc>
        <w:tc>
          <w:tcPr>
            <w:tcW w:w="27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r>
      <w:tr>
        <w:trPr>
          <w:trHeight w:val="196"/>
        </w:trPr>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Carrying Amount</w:t>
            </w:r>
          </w:p>
        </w:tc>
        <w:tc>
          <w:tcPr>
            <w:tcW w:w="27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175,000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175,000</w:t>
            </w:r>
          </w:p>
        </w:tc>
      </w:tr>
      <w:tr>
        <w:trPr>
          <w:trHeight w:val="203"/>
        </w:trPr>
        <w:tc>
          <w:tcPr>
            <w:tcW w:w="48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Accumulated Amortization</w:t>
            </w:r>
          </w:p>
        </w:tc>
        <w:tc>
          <w:tcPr>
            <w:tcW w:w="27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(31,081)</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(12,657)</w:t>
            </w:r>
          </w:p>
        </w:tc>
      </w:tr>
      <w:tr>
        <w:trPr>
          <w:trHeight w:val="196"/>
        </w:trPr>
        <w:tc>
          <w:tcPr>
            <w:tcW w:w="48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Book Value</w:t>
            </w:r>
          </w:p>
        </w:tc>
        <w:tc>
          <w:tcPr>
            <w:tcW w:w="27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143,919</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162,343</w:t>
            </w:r>
          </w:p>
        </w:tc>
      </w:tr>
      <w:tr>
        <w:trPr>
          <w:trHeight w:val="20"/>
        </w:trPr>
        <w:tc>
          <w:tcPr>
            <w:tcW w:w="48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w:t>
      </w:r>
      <w:r>
        <w:rPr>
          <w:rFonts w:ascii="Arial" w:cs="Arial" w:eastAsia="Arial" w:hAnsi="Arial"/>
          <w:sz w:val="18"/>
          <w:szCs w:val="18"/>
          <w:b w:val="1"/>
          <w:bCs w:val="1"/>
          <w:color w:val="auto"/>
        </w:rPr>
        <w:t>. LICENSE AGREEMENT</w:t>
      </w:r>
    </w:p>
    <w:p>
      <w:pPr>
        <w:spacing w:after="0" w:line="23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In July , 2017, Harmony entered into the License Agreement (“the License Agreement”) with Bioprojet Société Civile de Recherche (“Bioprojet”) whereby Harmony acquired the exclusive right to commercialize the pharmaceutical compound pitolisant for the treatment, and/or prevention, of narcolepsy, obstructive sleep apnea, idiopathic hypersomnia, and Parkinson’s disease as well as any other indications unanimously agreed by the parties in the United States and its territories. A milestone payment of $50,000 was due upon acceptance by the FDA of pitolisant’s NDA, which was achieved on February 12, 2019 and was expensed within research and development for the year ended December 31, 2019. A milestone payment of $77,000, which included a $2,000 fee that is described below, became due upon FDA approval of WAKIX (pitolisant) for treatment of EDS in adult patients with narcolepsy in August 2019. In addition, a milestone payment of $102,000, which included a $2,000 fee became due upon the FDA approval of the NDA for WAKIX for the treatment of cataplexy in adult patients with narcolepsy. The $2,000 payment was paid in October 2020 and a $100,000 milestone payment was paid in January 2021. An additional $40,000 milestone payment is due to Bioprojet upon WAKIX attaining $500,000 in aggregate net sales in the United States (see Note 20 for further information on milestone payment). The License Agreement also requires a fixed trademark royalty and a tiered royalty payment, all based on net sales, which are payable to Bioprojet on a quarterly basis. During the years ended December 31, 2021, 2020 and 2019, the Company incurred $50,957, $25,580 and 938, respectively, for sales-based, trademark and tiered royalties recognized as cost of product sold. As of December 31, 2021 and 2020, the Company had accrued $16,396 and $9,006, respectively, for sales-based, trademark and tiered royalties. The Company had $0 and $100,000 accrued for milestone payments to Bioprojet as of December 31, 2021 and 2020,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 of the following:</w:t>
      </w:r>
    </w:p>
    <w:p>
      <w:pPr>
        <w:spacing w:after="0" w:line="213"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As of</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48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32"/>
              <w:spacing w:after="0" w:line="143" w:lineRule="exact"/>
              <w:rPr>
                <w:sz w:val="20"/>
                <w:szCs w:val="20"/>
                <w:color w:val="auto"/>
              </w:rPr>
            </w:pPr>
            <w:r>
              <w:rPr>
                <w:rFonts w:ascii="Arial" w:cs="Arial" w:eastAsia="Arial" w:hAnsi="Arial"/>
                <w:sz w:val="14"/>
                <w:szCs w:val="14"/>
                <w:b w:val="1"/>
                <w:bCs w:val="1"/>
                <w:color w:val="auto"/>
              </w:rPr>
              <w:t>December 31,</w:t>
            </w: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5"/>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75"/>
        </w:trPr>
        <w:tc>
          <w:tcPr>
            <w:tcW w:w="7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320" w:type="dxa"/>
            <w:vAlign w:val="bottom"/>
            <w:gridSpan w:val="2"/>
          </w:tcPr>
          <w:p>
            <w:pPr>
              <w:jc w:val="right"/>
              <w:ind w:right="315"/>
              <w:spacing w:after="0"/>
              <w:rPr>
                <w:sz w:val="20"/>
                <w:szCs w:val="20"/>
                <w:color w:val="auto"/>
              </w:rPr>
            </w:pPr>
            <w:r>
              <w:rPr>
                <w:rFonts w:ascii="Arial" w:cs="Arial" w:eastAsia="Arial" w:hAnsi="Arial"/>
                <w:sz w:val="14"/>
                <w:szCs w:val="14"/>
                <w:b w:val="1"/>
                <w:bCs w:val="1"/>
                <w:color w:val="auto"/>
              </w:rPr>
              <w:t>2020</w:t>
            </w:r>
          </w:p>
        </w:tc>
      </w:tr>
      <w:tr>
        <w:trPr>
          <w:trHeight w:val="196"/>
        </w:trPr>
        <w:tc>
          <w:tcPr>
            <w:tcW w:w="7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Royalties due to third parties</w:t>
            </w: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16,396</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9,006</w:t>
            </w:r>
          </w:p>
        </w:tc>
      </w:tr>
      <w:tr>
        <w:trPr>
          <w:trHeight w:val="203"/>
        </w:trPr>
        <w:tc>
          <w:tcPr>
            <w:tcW w:w="7740" w:type="dxa"/>
            <w:vAlign w:val="bottom"/>
            <w:gridSpan w:val="2"/>
          </w:tcPr>
          <w:p>
            <w:pPr>
              <w:spacing w:after="0" w:line="202" w:lineRule="exact"/>
              <w:rPr>
                <w:sz w:val="20"/>
                <w:szCs w:val="20"/>
                <w:color w:val="auto"/>
              </w:rPr>
            </w:pPr>
            <w:r>
              <w:rPr>
                <w:rFonts w:ascii="Arial" w:cs="Arial" w:eastAsia="Arial" w:hAnsi="Arial"/>
                <w:sz w:val="18"/>
                <w:szCs w:val="18"/>
                <w:color w:val="auto"/>
              </w:rPr>
              <w:t>Rebates and other sales deductions</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17,141</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7,803</w:t>
            </w:r>
          </w:p>
        </w:tc>
      </w:tr>
      <w:tr>
        <w:trPr>
          <w:trHeight w:val="203"/>
        </w:trPr>
        <w:tc>
          <w:tcPr>
            <w:tcW w:w="7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2,125</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740" w:type="dxa"/>
            <w:vAlign w:val="bottom"/>
            <w:gridSpan w:val="2"/>
          </w:tcPr>
          <w:p>
            <w:pPr>
              <w:spacing w:after="0" w:line="202" w:lineRule="exact"/>
              <w:rPr>
                <w:sz w:val="20"/>
                <w:szCs w:val="20"/>
                <w:color w:val="auto"/>
              </w:rPr>
            </w:pPr>
            <w:r>
              <w:rPr>
                <w:rFonts w:ascii="Arial" w:cs="Arial" w:eastAsia="Arial" w:hAnsi="Arial"/>
                <w:sz w:val="18"/>
                <w:szCs w:val="18"/>
                <w:color w:val="auto"/>
              </w:rPr>
              <w:t>Selling and marketing</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1,983</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1,905</w:t>
            </w:r>
          </w:p>
        </w:tc>
      </w:tr>
      <w:tr>
        <w:trPr>
          <w:trHeight w:val="202"/>
        </w:trPr>
        <w:tc>
          <w:tcPr>
            <w:tcW w:w="7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658</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2,186</w:t>
            </w:r>
          </w:p>
        </w:tc>
      </w:tr>
      <w:tr>
        <w:trPr>
          <w:trHeight w:val="203"/>
        </w:trPr>
        <w:tc>
          <w:tcPr>
            <w:tcW w:w="7740" w:type="dxa"/>
            <w:vAlign w:val="bottom"/>
            <w:gridSpan w:val="2"/>
          </w:tcPr>
          <w:p>
            <w:pPr>
              <w:spacing w:after="0" w:line="202" w:lineRule="exact"/>
              <w:rPr>
                <w:sz w:val="20"/>
                <w:szCs w:val="20"/>
                <w:color w:val="auto"/>
              </w:rPr>
            </w:pPr>
            <w:r>
              <w:rPr>
                <w:rFonts w:ascii="Arial" w:cs="Arial" w:eastAsia="Arial" w:hAnsi="Arial"/>
                <w:sz w:val="18"/>
                <w:szCs w:val="18"/>
                <w:color w:val="auto"/>
              </w:rPr>
              <w:t>Professional fees, consulting, and other services</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1,645</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1,081</w:t>
            </w:r>
          </w:p>
        </w:tc>
      </w:tr>
      <w:tr>
        <w:trPr>
          <w:trHeight w:val="203"/>
        </w:trPr>
        <w:tc>
          <w:tcPr>
            <w:tcW w:w="7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expenses</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301</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746</w:t>
            </w:r>
          </w:p>
        </w:tc>
      </w:tr>
      <w:tr>
        <w:trPr>
          <w:trHeight w:val="203"/>
        </w:trPr>
        <w:tc>
          <w:tcPr>
            <w:tcW w:w="7740" w:type="dxa"/>
            <w:vAlign w:val="bottom"/>
            <w:gridSpan w:val="2"/>
          </w:tcPr>
          <w:p>
            <w:pPr>
              <w:spacing w:after="0" w:line="202" w:lineRule="exact"/>
              <w:rPr>
                <w:sz w:val="20"/>
                <w:szCs w:val="20"/>
                <w:color w:val="auto"/>
              </w:rPr>
            </w:pPr>
            <w:r>
              <w:rPr>
                <w:rFonts w:ascii="Arial" w:cs="Arial" w:eastAsia="Arial" w:hAnsi="Arial"/>
                <w:sz w:val="18"/>
                <w:szCs w:val="18"/>
                <w:color w:val="auto"/>
              </w:rPr>
              <w:t>Milestone payment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100,000</w:t>
            </w:r>
          </w:p>
        </w:tc>
      </w:tr>
      <w:tr>
        <w:trPr>
          <w:trHeight w:val="196"/>
        </w:trPr>
        <w:tc>
          <w:tcPr>
            <w:tcW w:w="74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40,249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122,727</w:t>
            </w: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Credit Agreements</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Blackstone Credit Agreement</w:t>
      </w:r>
    </w:p>
    <w:p>
      <w:pPr>
        <w:spacing w:after="0" w:line="23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 August 2021, the Company entered into the Blackstone Credit Agreement that provides for (i) a senior secured term loan facility in an aggregate original principal amount of $200,000 (the “Initial Term Loan”) and (ii) a senior secured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delayed draw term loan facility in an aggregate principal amount up to $100,000 (the “DDTL” and, together with the Initial Term Loan, the “Loans”). The DDTL will be available to draw down through August 9, 2022.</w:t>
      </w:r>
    </w:p>
    <w:p>
      <w:pPr>
        <w:spacing w:after="0" w:line="197" w:lineRule="exact"/>
        <w:rPr>
          <w:sz w:val="20"/>
          <w:szCs w:val="20"/>
          <w:color w:val="auto"/>
        </w:rPr>
      </w:pPr>
    </w:p>
    <w:p>
      <w:pPr>
        <w:jc w:val="both"/>
        <w:ind w:firstLine="711"/>
        <w:spacing w:after="0" w:line="238" w:lineRule="auto"/>
        <w:rPr>
          <w:sz w:val="20"/>
          <w:szCs w:val="20"/>
          <w:color w:val="auto"/>
        </w:rPr>
      </w:pPr>
      <w:r>
        <w:rPr>
          <w:rFonts w:ascii="Arial" w:cs="Arial" w:eastAsia="Arial" w:hAnsi="Arial"/>
          <w:sz w:val="18"/>
          <w:szCs w:val="18"/>
          <w:color w:val="auto"/>
        </w:rPr>
        <w:t>The repayment schedule for the Initial Term Loan consists of quarterly $500 principal payments commencing on December 31, 2021 and increasing to quarterly $5,000 principal payments beginning on March 31, 2024, with a $145,500 payment due on the maturity date of August 9, 2026 (“Maturity Date”). Interest is payable quarterly, which commenced on November 9, 2021 and continuing through the Maturity Date. The Initial Loan bears interest at a per annum rate equal to LIBOR, subject to a 1.00% floor, plus 6.50%.</w:t>
      </w:r>
    </w:p>
    <w:p>
      <w:pPr>
        <w:spacing w:after="0" w:line="202" w:lineRule="exact"/>
        <w:rPr>
          <w:sz w:val="20"/>
          <w:szCs w:val="20"/>
          <w:color w:val="auto"/>
        </w:rPr>
      </w:pPr>
    </w:p>
    <w:p>
      <w:pPr>
        <w:jc w:val="both"/>
        <w:ind w:firstLine="711"/>
        <w:spacing w:after="0" w:line="238" w:lineRule="auto"/>
        <w:rPr>
          <w:sz w:val="20"/>
          <w:szCs w:val="20"/>
          <w:color w:val="auto"/>
        </w:rPr>
      </w:pPr>
      <w:r>
        <w:rPr>
          <w:rFonts w:ascii="Arial" w:cs="Arial" w:eastAsia="Arial" w:hAnsi="Arial"/>
          <w:sz w:val="18"/>
          <w:szCs w:val="18"/>
          <w:color w:val="auto"/>
        </w:rPr>
        <w:t>The net cash received related to the Initial Term Loan as a result of the transaction, less debt issuance costs of $8,151, was $191,849. The debt issuance costs related to the Initial Term Loan will be amortized as additional interest expense over the five-year loan term of the Blackstone Credit Agreement. In addition, the Company paid $1,000 in debt issuance costs relating the DDTL, which are recorded in other current assets within the consolidated balance sheet. The fair value of the Initial Term Loan as of December 31, 2021 was $185,389.</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OrbiMed Credit Agreement</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January 2020, the Company entered into a credit agreement with OrbiMed for an aggregate amount of $ 200,000 (the “OrbiMed Loan”), with a maturity date of January 2026. Borrowings under the OrbiMed Loan are collateralized by all of the Company’s assets, excluding the intellectual property licensed through the License Agreement. The OrbiMed Loan bears an interest rate equal to the sum of (i) the greater of (a) 1-month LIBOR or (b) 2.00% per annum, plus (ii) 11.00% per annum, paid in cash monthly in arrears on the last day of each month starting in January 2020. At the time of prepayment or repayment of all or any portion of the principal of the OrbiMed Loan, the Company is required to pay an exit fee of 7.0% of the principal amount of the OrbiMed Loan prepaid, repaid, or required to be prepaid or repaid. The Company recorded the exit fee as a liability and debt discount at the origination of the term loan.</w:t>
      </w:r>
    </w:p>
    <w:p>
      <w:pPr>
        <w:spacing w:after="0" w:line="20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connection with the OrbiMed Loan, the Company extinguished its $200,000 multi-draw loan agreement with CRG Servicing LLC (the “CRG Loan”), which required a payoff amount of $120,893 consisting of principal repayment, interest, and exit fees. In connection with extinguishment of the CRG Loan, the Company recognized a loss on extinguishment of $22,639 within the Company’s consolidated statements of operations for the nine months ended September 30, 2020.</w:t>
      </w:r>
    </w:p>
    <w:p>
      <w:pPr>
        <w:spacing w:after="0" w:line="2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connection with the Blackstone Credit Agreement, the Company extinguished the OrbiMed Loan, which required a payoff amount of $222,666 consisting of principal repayment, interest, exit fees and a prepayment premium. The Company recognized a loss on extinguishment of $26,146 relating to the OrbiMed Loan within the Company’s consolidated statements of operation for the year ended December 31, 2021.</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net consists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73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Liability component - principal</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199,500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Exit fee</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02"/>
        </w:trPr>
        <w:tc>
          <w:tcPr>
            <w:tcW w:w="7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Unamortized debt discount associated with the exit fee, debt financing costs and discount</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with warrant financing (see note 14)</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(7,516)</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(19,750)</w:t>
            </w:r>
          </w:p>
        </w:tc>
        <w:tc>
          <w:tcPr>
            <w:tcW w:w="0" w:type="dxa"/>
            <w:vAlign w:val="bottom"/>
          </w:tcPr>
          <w:p>
            <w:pPr>
              <w:spacing w:after="0"/>
              <w:rPr>
                <w:sz w:val="1"/>
                <w:szCs w:val="1"/>
                <w:color w:val="auto"/>
              </w:rPr>
            </w:pPr>
          </w:p>
        </w:tc>
      </w:tr>
      <w:tr>
        <w:trPr>
          <w:trHeight w:val="196"/>
        </w:trPr>
        <w:tc>
          <w:tcPr>
            <w:tcW w:w="7360" w:type="dxa"/>
            <w:vAlign w:val="bottom"/>
          </w:tcPr>
          <w:p>
            <w:pPr>
              <w:spacing w:after="0" w:line="196" w:lineRule="exact"/>
              <w:rPr>
                <w:sz w:val="20"/>
                <w:szCs w:val="20"/>
                <w:color w:val="auto"/>
              </w:rPr>
            </w:pPr>
            <w:r>
              <w:rPr>
                <w:rFonts w:ascii="Arial" w:cs="Arial" w:eastAsia="Arial" w:hAnsi="Arial"/>
                <w:sz w:val="18"/>
                <w:szCs w:val="18"/>
                <w:color w:val="auto"/>
              </w:rPr>
              <w:t>Liability component - net carrying value</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191,984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194,250</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current portion</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360" w:type="dxa"/>
            <w:vAlign w:val="bottom"/>
          </w:tcPr>
          <w:p>
            <w:pPr>
              <w:spacing w:after="0" w:line="196" w:lineRule="exact"/>
              <w:rPr>
                <w:sz w:val="20"/>
                <w:szCs w:val="20"/>
                <w:color w:val="auto"/>
              </w:rPr>
            </w:pPr>
            <w:r>
              <w:rPr>
                <w:rFonts w:ascii="Arial" w:cs="Arial" w:eastAsia="Arial" w:hAnsi="Arial"/>
                <w:sz w:val="18"/>
                <w:szCs w:val="18"/>
                <w:color w:val="auto"/>
              </w:rPr>
              <w:t>Long term debt, net</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189,984</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194,250</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482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7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7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Future minimum payments relating to long term debt, net as of December 31, 2021 for the periods indicated below consists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0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2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16"/>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2022</w:t>
            </w:r>
          </w:p>
        </w:tc>
        <w:tc>
          <w:tcPr>
            <w:tcW w:w="34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4800" w:type="dxa"/>
            <w:vAlign w:val="bottom"/>
          </w:tcPr>
          <w:p>
            <w:pPr>
              <w:ind w:left="120"/>
              <w:spacing w:after="0"/>
              <w:rPr>
                <w:sz w:val="20"/>
                <w:szCs w:val="20"/>
                <w:color w:val="auto"/>
              </w:rPr>
            </w:pPr>
            <w:r>
              <w:rPr>
                <w:rFonts w:ascii="Arial" w:cs="Arial" w:eastAsia="Arial" w:hAnsi="Arial"/>
                <w:sz w:val="18"/>
                <w:szCs w:val="18"/>
                <w:color w:val="auto"/>
              </w:rPr>
              <w:t>2023</w:t>
            </w:r>
          </w:p>
        </w:tc>
        <w:tc>
          <w:tcPr>
            <w:tcW w:w="2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2024</w:t>
            </w:r>
          </w:p>
        </w:tc>
        <w:tc>
          <w:tcPr>
            <w:tcW w:w="2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4800" w:type="dxa"/>
            <w:vAlign w:val="bottom"/>
          </w:tcPr>
          <w:p>
            <w:pPr>
              <w:ind w:left="120"/>
              <w:spacing w:after="0"/>
              <w:rPr>
                <w:sz w:val="20"/>
                <w:szCs w:val="20"/>
                <w:color w:val="auto"/>
              </w:rPr>
            </w:pPr>
            <w:r>
              <w:rPr>
                <w:rFonts w:ascii="Arial" w:cs="Arial" w:eastAsia="Arial" w:hAnsi="Arial"/>
                <w:sz w:val="18"/>
                <w:szCs w:val="18"/>
                <w:color w:val="auto"/>
              </w:rPr>
              <w:t>2025</w:t>
            </w:r>
          </w:p>
        </w:tc>
        <w:tc>
          <w:tcPr>
            <w:tcW w:w="2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2026</w:t>
            </w:r>
          </w:p>
        </w:tc>
        <w:tc>
          <w:tcPr>
            <w:tcW w:w="2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155,500</w:t>
            </w:r>
          </w:p>
        </w:tc>
      </w:tr>
      <w:tr>
        <w:trPr>
          <w:trHeight w:val="216"/>
        </w:trPr>
        <w:tc>
          <w:tcPr>
            <w:tcW w:w="48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Thereafter</w:t>
            </w:r>
          </w:p>
        </w:tc>
        <w:tc>
          <w:tcPr>
            <w:tcW w:w="24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48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2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199,500</w:t>
            </w:r>
          </w:p>
        </w:tc>
      </w:tr>
      <w:tr>
        <w:trPr>
          <w:trHeight w:val="20"/>
        </w:trPr>
        <w:tc>
          <w:tcPr>
            <w:tcW w:w="4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Interest expense related to the Company’s long term debt, net, which is included in interest expense, net in the consolidated statements of operations and comprehensive income (loss), consists of the following:</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5"/>
                <w:szCs w:val="15"/>
                <w:color w:val="auto"/>
              </w:rPr>
            </w:pPr>
          </w:p>
        </w:tc>
      </w:tr>
      <w:tr>
        <w:trPr>
          <w:trHeight w:val="156"/>
        </w:trPr>
        <w:tc>
          <w:tcPr>
            <w:tcW w:w="4920" w:type="dxa"/>
            <w:vAlign w:val="bottom"/>
            <w:tcBorders>
              <w:bottom w:val="single" w:sz="8" w:color="CCEEFF"/>
            </w:tcBorders>
          </w:tcPr>
          <w:p>
            <w:pPr>
              <w:spacing w:after="0"/>
              <w:rPr>
                <w:sz w:val="13"/>
                <w:szCs w:val="13"/>
                <w:color w:val="auto"/>
              </w:rPr>
            </w:pPr>
          </w:p>
        </w:tc>
        <w:tc>
          <w:tcPr>
            <w:tcW w:w="17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on principal balance</w:t>
            </w: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21,955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26,203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4,231</w:t>
            </w: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Interest on PIK</w:t>
            </w: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2,538</w:t>
            </w: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deferred financing costs</w:t>
            </w:r>
          </w:p>
        </w:tc>
        <w:tc>
          <w:tcPr>
            <w:tcW w:w="17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2,238</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2,412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592</w:t>
            </w:r>
          </w:p>
        </w:tc>
      </w:tr>
      <w:tr>
        <w:trPr>
          <w:trHeight w:val="196"/>
        </w:trPr>
        <w:tc>
          <w:tcPr>
            <w:tcW w:w="4920" w:type="dxa"/>
            <w:vAlign w:val="bottom"/>
          </w:tcPr>
          <w:p>
            <w:pPr>
              <w:ind w:left="120"/>
              <w:spacing w:after="0" w:line="196" w:lineRule="exact"/>
              <w:rPr>
                <w:sz w:val="20"/>
                <w:szCs w:val="20"/>
                <w:color w:val="auto"/>
              </w:rPr>
            </w:pPr>
            <w:r>
              <w:rPr>
                <w:rFonts w:ascii="Arial" w:cs="Arial" w:eastAsia="Arial" w:hAnsi="Arial"/>
                <w:sz w:val="18"/>
                <w:szCs w:val="18"/>
                <w:color w:val="auto"/>
              </w:rPr>
              <w:t>Total term loan interest expense</w:t>
            </w:r>
          </w:p>
        </w:tc>
        <w:tc>
          <w:tcPr>
            <w:tcW w:w="176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24,193</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28,615</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7,361</w:t>
            </w:r>
          </w:p>
        </w:tc>
      </w:tr>
      <w:tr>
        <w:trPr>
          <w:trHeight w:val="20"/>
        </w:trPr>
        <w:tc>
          <w:tcPr>
            <w:tcW w:w="4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June 2018, the Company entered into an operating lease for approximately fifteen thousand square feet of office space in Plymouth Meeting, PA, which expires in May 2024. In December 2020, the Company entered into an operating lease for approximately thirteen thousand square feet of additional office space in Plymouth Meeting, PA, which expires in May 2024. The terms of the lease payments provide for rental payments on a monthly basis and on a graduated scale. The Company also leases a fleet of automobiles which are used by its sales representatives and are classified as operating leases.</w:t>
      </w:r>
    </w:p>
    <w:p>
      <w:pPr>
        <w:spacing w:after="0" w:line="205" w:lineRule="exact"/>
        <w:rPr>
          <w:sz w:val="20"/>
          <w:szCs w:val="20"/>
          <w:color w:val="auto"/>
        </w:rPr>
      </w:pPr>
    </w:p>
    <w:p>
      <w:pPr>
        <w:jc w:val="both"/>
        <w:ind w:right="20" w:firstLine="698"/>
        <w:spacing w:after="0" w:line="238" w:lineRule="auto"/>
        <w:rPr>
          <w:sz w:val="20"/>
          <w:szCs w:val="20"/>
          <w:color w:val="auto"/>
        </w:rPr>
      </w:pPr>
      <w:r>
        <w:rPr>
          <w:rFonts w:ascii="Arial" w:cs="Arial" w:eastAsia="Arial" w:hAnsi="Arial"/>
          <w:sz w:val="18"/>
          <w:szCs w:val="18"/>
          <w:color w:val="auto"/>
        </w:rPr>
        <w:t>Effective with the adoption of ASC 842 on January 1, 2021, operating lease right-of-use assets and operating lease liabilities are recognized based on the present value of the future lease payments using our incremental borrowing rate. Leases with an initial term of 12 months or less are not recorded on the balance sheet. Our leases have remaining lease terms of less than 1 year to 3 years, some of which may include the option to extend or terminate the leases.</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company recorded operating lease costs of $1,197 for the year ended December 31, 2021 and recorded rent expense of $686 and $1,051 for the years ended December 31, 2020 and 2019, respectively.</w:t>
      </w:r>
    </w:p>
    <w:p>
      <w:pPr>
        <w:spacing w:after="0" w:line="19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As of December 31, 2021, the weighted-average remaining lease term for operating leases was 2.5 years and the weighted-average discount rate for operating leases was 3.8%.</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operating leases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20" w:type="dxa"/>
            <w:vAlign w:val="bottom"/>
            <w:tcBorders>
              <w:bottom w:val="single" w:sz="8" w:color="CCEEFF"/>
            </w:tcBorders>
          </w:tcPr>
          <w:p>
            <w:pPr>
              <w:ind w:left="2000"/>
              <w:spacing w:after="0"/>
              <w:rPr>
                <w:sz w:val="20"/>
                <w:szCs w:val="20"/>
                <w:color w:val="auto"/>
              </w:rPr>
            </w:pPr>
            <w:r>
              <w:rPr>
                <w:rFonts w:ascii="Arial" w:cs="Arial" w:eastAsia="Arial" w:hAnsi="Arial"/>
                <w:sz w:val="16"/>
                <w:szCs w:val="16"/>
                <w:b w:val="1"/>
                <w:bCs w:val="1"/>
                <w:color w:val="auto"/>
              </w:rPr>
              <w:t>Leases</w:t>
            </w:r>
          </w:p>
        </w:tc>
        <w:tc>
          <w:tcPr>
            <w:tcW w:w="3660" w:type="dxa"/>
            <w:vAlign w:val="bottom"/>
            <w:tcBorders>
              <w:bottom w:val="single" w:sz="8" w:color="CCEEFF"/>
            </w:tcBorders>
          </w:tcPr>
          <w:p>
            <w:pPr>
              <w:ind w:left="1960"/>
              <w:spacing w:after="0"/>
              <w:rPr>
                <w:sz w:val="20"/>
                <w:szCs w:val="20"/>
                <w:color w:val="auto"/>
              </w:rPr>
            </w:pPr>
            <w:r>
              <w:rPr>
                <w:rFonts w:ascii="Arial" w:cs="Arial" w:eastAsia="Arial" w:hAnsi="Arial"/>
                <w:sz w:val="16"/>
                <w:szCs w:val="16"/>
                <w:b w:val="1"/>
                <w:bCs w:val="1"/>
                <w:color w:val="auto"/>
              </w:rPr>
              <w:t>Classification</w:t>
            </w:r>
          </w:p>
        </w:tc>
        <w:tc>
          <w:tcPr>
            <w:tcW w:w="7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December 31, 2021</w:t>
            </w: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660" w:type="dxa"/>
            <w:vAlign w:val="bottom"/>
          </w:tcPr>
          <w:p>
            <w:pPr>
              <w:ind w:left="720"/>
              <w:spacing w:after="0"/>
              <w:rPr>
                <w:sz w:val="20"/>
                <w:szCs w:val="20"/>
                <w:color w:val="auto"/>
              </w:rPr>
            </w:pPr>
            <w:r>
              <w:rPr>
                <w:rFonts w:ascii="Arial" w:cs="Arial" w:eastAsia="Arial" w:hAnsi="Arial"/>
                <w:sz w:val="18"/>
                <w:szCs w:val="18"/>
                <w:color w:val="auto"/>
              </w:rPr>
              <w:t>Other noncurrent assets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3,298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Operating lease liability, current portion</w:t>
            </w:r>
          </w:p>
        </w:tc>
        <w:tc>
          <w:tcPr>
            <w:tcW w:w="3660" w:type="dxa"/>
            <w:vAlign w:val="bottom"/>
          </w:tcPr>
          <w:p>
            <w:pPr>
              <w:ind w:left="720"/>
              <w:spacing w:after="0"/>
              <w:rPr>
                <w:sz w:val="20"/>
                <w:szCs w:val="20"/>
                <w:color w:val="auto"/>
              </w:rPr>
            </w:pPr>
            <w:r>
              <w:rPr>
                <w:rFonts w:ascii="Arial" w:cs="Arial" w:eastAsia="Arial" w:hAnsi="Arial"/>
                <w:sz w:val="18"/>
                <w:szCs w:val="18"/>
                <w:color w:val="auto"/>
              </w:rPr>
              <w:t>Other current liabilities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long-term</w:t>
            </w:r>
          </w:p>
        </w:tc>
        <w:tc>
          <w:tcPr>
            <w:tcW w:w="3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78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196"/>
        </w:trPr>
        <w:tc>
          <w:tcPr>
            <w:tcW w:w="3820" w:type="dxa"/>
            <w:vAlign w:val="bottom"/>
          </w:tcPr>
          <w:p>
            <w:pPr>
              <w:ind w:left="260"/>
              <w:spacing w:after="0" w:line="196" w:lineRule="exact"/>
              <w:rPr>
                <w:sz w:val="20"/>
                <w:szCs w:val="20"/>
                <w:color w:val="auto"/>
              </w:rPr>
            </w:pPr>
            <w:r>
              <w:rPr>
                <w:rFonts w:ascii="Arial" w:cs="Arial" w:eastAsia="Arial" w:hAnsi="Arial"/>
                <w:sz w:val="18"/>
                <w:szCs w:val="18"/>
                <w:color w:val="auto"/>
              </w:rPr>
              <w:t>Total operating lease liabilities</w:t>
            </w:r>
          </w:p>
        </w:tc>
        <w:tc>
          <w:tcPr>
            <w:tcW w:w="36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660" w:type="dxa"/>
            <w:vAlign w:val="bottom"/>
            <w:vMerge w:val="restart"/>
          </w:tcPr>
          <w:p>
            <w:pPr>
              <w:ind w:left="1000"/>
              <w:spacing w:after="0"/>
              <w:rPr>
                <w:sz w:val="20"/>
                <w:szCs w:val="20"/>
                <w:color w:val="auto"/>
              </w:rPr>
            </w:pPr>
            <w:r>
              <w:rPr>
                <w:rFonts w:ascii="Arial" w:cs="Arial" w:eastAsia="Arial" w:hAnsi="Arial"/>
                <w:sz w:val="18"/>
                <w:szCs w:val="18"/>
                <w:color w:val="auto"/>
              </w:rPr>
              <w:t>109</w:t>
            </w:r>
          </w:p>
        </w:tc>
        <w:tc>
          <w:tcPr>
            <w:tcW w:w="7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8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8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53"/>
        </w:trPr>
        <w:tc>
          <w:tcPr>
            <w:tcW w:w="7500" w:type="dxa"/>
            <w:vAlign w:val="bottom"/>
            <w:gridSpan w:val="2"/>
          </w:tcPr>
          <w:p>
            <w:pPr>
              <w:ind w:left="660"/>
              <w:spacing w:after="0"/>
              <w:rPr>
                <w:sz w:val="20"/>
                <w:szCs w:val="20"/>
                <w:color w:val="auto"/>
              </w:rPr>
            </w:pPr>
            <w:r>
              <w:rPr>
                <w:rFonts w:ascii="Arial" w:cs="Arial" w:eastAsia="Arial" w:hAnsi="Arial"/>
                <w:sz w:val="18"/>
                <w:szCs w:val="18"/>
                <w:color w:val="auto"/>
              </w:rPr>
              <w:t>Supplemental cash flow information related to operating leases was as follows:</w:t>
            </w: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32"/>
        </w:trPr>
        <w:tc>
          <w:tcPr>
            <w:tcW w:w="1280" w:type="dxa"/>
            <w:vAlign w:val="bottom"/>
            <w:tcBorders>
              <w:bottom w:val="single" w:sz="8" w:color="CCEEFF"/>
            </w:tcBorders>
          </w:tcPr>
          <w:p>
            <w:pPr>
              <w:spacing w:after="0"/>
              <w:rPr>
                <w:sz w:val="24"/>
                <w:szCs w:val="24"/>
                <w:color w:val="auto"/>
              </w:rPr>
            </w:pPr>
          </w:p>
        </w:tc>
        <w:tc>
          <w:tcPr>
            <w:tcW w:w="62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December 31, 2021</w:t>
            </w:r>
          </w:p>
        </w:tc>
      </w:tr>
      <w:tr>
        <w:trPr>
          <w:trHeight w:val="196"/>
        </w:trPr>
        <w:tc>
          <w:tcPr>
            <w:tcW w:w="7500" w:type="dxa"/>
            <w:vAlign w:val="bottom"/>
            <w:gridSpan w:val="2"/>
            <w:shd w:val="clear" w:color="auto" w:fill="CCEEFF"/>
          </w:tcPr>
          <w:p>
            <w:pPr>
              <w:spacing w:after="0" w:line="196" w:lineRule="exact"/>
              <w:rPr>
                <w:sz w:val="20"/>
                <w:szCs w:val="20"/>
                <w:color w:val="auto"/>
              </w:rPr>
            </w:pPr>
            <w:r>
              <w:rPr>
                <w:rFonts w:ascii="Arial" w:cs="Arial" w:eastAsia="Arial" w:hAnsi="Arial"/>
                <w:sz w:val="20"/>
                <w:szCs w:val="20"/>
                <w:color w:val="auto"/>
              </w:rPr>
              <w:t>Operating cash flows from operating leases</w:t>
            </w:r>
          </w:p>
        </w:tc>
        <w:tc>
          <w:tcPr>
            <w:tcW w:w="7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1,126</w:t>
            </w:r>
          </w:p>
        </w:tc>
      </w:tr>
      <w:tr>
        <w:trPr>
          <w:trHeight w:val="218"/>
        </w:trPr>
        <w:tc>
          <w:tcPr>
            <w:tcW w:w="7500" w:type="dxa"/>
            <w:vAlign w:val="bottom"/>
            <w:gridSpan w:val="2"/>
          </w:tcPr>
          <w:p>
            <w:pPr>
              <w:spacing w:after="0" w:line="218" w:lineRule="exact"/>
              <w:rPr>
                <w:sz w:val="20"/>
                <w:szCs w:val="20"/>
                <w:color w:val="auto"/>
              </w:rPr>
            </w:pPr>
            <w:r>
              <w:rPr>
                <w:rFonts w:ascii="Arial" w:cs="Arial" w:eastAsia="Arial" w:hAnsi="Arial"/>
                <w:sz w:val="20"/>
                <w:szCs w:val="20"/>
                <w:color w:val="auto"/>
              </w:rPr>
              <w:t>Right of use assets obtained in exchange for operating lease obligations (1)</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4,480</w:t>
            </w:r>
          </w:p>
        </w:tc>
      </w:tr>
    </w:tbl>
    <w:p>
      <w:pPr>
        <w:ind w:left="680"/>
        <w:spacing w:after="0"/>
        <w:rPr>
          <w:sz w:val="20"/>
          <w:szCs w:val="20"/>
          <w:color w:val="auto"/>
        </w:rPr>
      </w:pPr>
      <w:r>
        <w:rPr>
          <w:rFonts w:ascii="Arial" w:cs="Arial" w:eastAsia="Arial" w:hAnsi="Arial"/>
          <w:sz w:val="16"/>
          <w:szCs w:val="16"/>
          <w:color w:val="auto"/>
        </w:rPr>
        <w:t>(1)  Including the balance recognized on January 1, 2021, upon adoption of ASU No. 2016-02.</w:t>
      </w:r>
    </w:p>
    <w:p>
      <w:pPr>
        <w:spacing w:after="0" w:line="218"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Future payments under noncancelable operating leases with initial terms of one year or more as of December 31, 2021 consisted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8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3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3"/>
        </w:trPr>
        <w:tc>
          <w:tcPr>
            <w:tcW w:w="5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2022</w:t>
            </w:r>
          </w:p>
        </w:tc>
        <w:tc>
          <w:tcPr>
            <w:tcW w:w="3580" w:type="dxa"/>
            <w:vAlign w:val="bottom"/>
            <w:gridSpan w:val="2"/>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1,638</w:t>
            </w:r>
          </w:p>
        </w:tc>
      </w:tr>
      <w:tr>
        <w:trPr>
          <w:trHeight w:val="203"/>
        </w:trPr>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2023</w:t>
            </w:r>
          </w:p>
        </w:tc>
        <w:tc>
          <w:tcPr>
            <w:tcW w:w="3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1,521</w:t>
            </w:r>
          </w:p>
        </w:tc>
      </w:tr>
      <w:tr>
        <w:trPr>
          <w:trHeight w:val="203"/>
        </w:trPr>
        <w:tc>
          <w:tcPr>
            <w:tcW w:w="5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2024</w:t>
            </w:r>
          </w:p>
        </w:tc>
        <w:tc>
          <w:tcPr>
            <w:tcW w:w="3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788</w:t>
            </w:r>
          </w:p>
        </w:tc>
      </w:tr>
      <w:tr>
        <w:trPr>
          <w:trHeight w:val="203"/>
        </w:trPr>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2025</w:t>
            </w:r>
          </w:p>
        </w:tc>
        <w:tc>
          <w:tcPr>
            <w:tcW w:w="3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2026</w:t>
            </w:r>
          </w:p>
        </w:tc>
        <w:tc>
          <w:tcPr>
            <w:tcW w:w="3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4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Thereafter</w:t>
            </w:r>
          </w:p>
        </w:tc>
        <w:tc>
          <w:tcPr>
            <w:tcW w:w="3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lease payments</w:t>
            </w:r>
          </w:p>
        </w:tc>
        <w:tc>
          <w:tcPr>
            <w:tcW w:w="3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3,947</w:t>
            </w:r>
          </w:p>
        </w:tc>
      </w:tr>
      <w:tr>
        <w:trPr>
          <w:trHeight w:val="216"/>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3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196"/>
        </w:trPr>
        <w:tc>
          <w:tcPr>
            <w:tcW w:w="54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lease liabilities</w:t>
            </w:r>
          </w:p>
        </w:tc>
        <w:tc>
          <w:tcPr>
            <w:tcW w:w="3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3,760</w:t>
            </w:r>
          </w:p>
        </w:tc>
      </w:tr>
      <w:tr>
        <w:trPr>
          <w:trHeight w:val="20"/>
        </w:trPr>
        <w:tc>
          <w:tcPr>
            <w:tcW w:w="54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34"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From time to time, the Company is subject to claims and suits arising in the ordinary course of business. The Company accrues such liabilities when they are known, if they are deemed probable and can be reasonably estimated.</w:t>
      </w:r>
    </w:p>
    <w:p>
      <w:pPr>
        <w:spacing w:after="0" w:line="19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During 2019 the Company was involved in litigation with its former chief executive officer related to arbitration and the value of vested common shares. In October 2019, the Company reached a settlement resulting in a charge of $3,466, which was included in general and administrative expense in the Company’s consolidated results of operations for the year ended December 31, 2019.</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CONVERTIBLE PREFERRED STOCK</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Upon the closing of the IPO, all outstanding shares of the Company’s convertible preferred stock were automatically converted into shares of common stock and the accrued dividend payable to holders of the convertible preferred stock was paid out in shares of common stock, resulting in a total of 42,926,630 shares of common stock being issued to former holders of the Company’s convertible preferred stock.</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Series A Preferred Stock</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September 2017, the Company issued 270,000,000 shares of Series A convertible preferred stock for a purchase price of $ 1.00 per share, or $270,000 in the aggregate. On January 8, 2018, the Company issued an additional 15,000,000 shares of Series A convertible preferred stock for a purchase price of $1.00 per share, or $15,000 in the aggregate. Each outstanding share of Series A convertible preferred stock accrued dividends at 10% per annum of the Series A original issue price, subject to adjustment for stock splits, combinations, recapitalizations, stock dividends and similar transactions. Preferred dividends on the Series A convertible preferred stock were cumulative and were compounded annually.</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Series B Preferred Stock</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January 2018, the Company issued 8,000,000 shares of Series B convertible preferred stock for a purchase price of $1.25 per share, or $10,000 in the aggregate. Each outstanding share of Series B convertible preferred stock accrued dividends at 10% per annum of the Series B original issue price, subject to adjustment for stock splits, combinations,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recapitalizations, stock dividends and similar transactions. Preferred dividends on the Series B convertible preferred stock were cumulative and were compounded annually.</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Series C Preferred Stock</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August 2019, the Company issued 25,510,205 shares of Series C convertible preferred stock for a purchase price of $1.96 per share, or $50,000 in the aggregate. Each outstanding share of Series C convertible preferred stock accrued dividends at 10% per annum of the Series C original issue price, subject to adjustment for stock splits, combinations, recapitalizations, stock dividends and similar transactions. Preferred dividends on the Series C convertible preferred stock were cumulative and were compounded annually.</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Dividends</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holders of Series A, Series B, and Series C convertible preferred stock were entitled to receive, when and if declared by the board of directors of the Company, cumulative dividends equal to a 10%per annum of Series A, Series B, and Series C convertible preferred stock. In addition, the holders of the outstanding shares of Series A, Series B, and Series C convertible preferred stock were entitled to receive, when and if declared by the board of directors of the Company, a dividend at least equal to any dividend payable on the Company’s common stock as if all convertible preferred stock had been converted to common stock. No dividends were declared as of December 31, 2019. As part of the Company’s IPO, the Company’s accrued cumulative dividend was paid out to holders of Series A, Series B, and Series C convertible preferred stock in shares of the Company’s common stock and reflects the reverse stock split in connection with the mandatory conversion of the Series A, Series B, and Series C convertible preferred stock into shares of the Company’s common stock.</w:t>
      </w:r>
    </w:p>
    <w:p>
      <w:pPr>
        <w:spacing w:after="0" w:line="185" w:lineRule="exact"/>
        <w:rPr>
          <w:sz w:val="20"/>
          <w:szCs w:val="20"/>
          <w:color w:val="auto"/>
        </w:rPr>
      </w:pPr>
    </w:p>
    <w:p>
      <w:pPr>
        <w:ind w:left="660" w:right="6460" w:hanging="652"/>
        <w:spacing w:after="0" w:line="498" w:lineRule="auto"/>
        <w:tabs>
          <w:tab w:leader="none" w:pos="312"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(DEFICIT) Common Stock</w:t>
      </w:r>
    </w:p>
    <w:p>
      <w:pPr>
        <w:jc w:val="both"/>
        <w:ind w:firstLine="648"/>
        <w:spacing w:after="0" w:line="236" w:lineRule="auto"/>
        <w:rPr>
          <w:sz w:val="20"/>
          <w:szCs w:val="20"/>
          <w:color w:val="auto"/>
        </w:rPr>
      </w:pPr>
      <w:r>
        <w:rPr>
          <w:rFonts w:ascii="Arial" w:cs="Arial" w:eastAsia="Arial" w:hAnsi="Arial"/>
          <w:sz w:val="18"/>
          <w:szCs w:val="18"/>
          <w:color w:val="auto"/>
        </w:rPr>
        <w:t>In August 2020, the Company implemented a 1-for-8.215 reverse stock split of the Company’s common stock. All share and per share data shown in the accompanying financial statements and related notes have been retroactively revised to reflect the reverse stock split with the exception of the preferred stock.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were proportionately reduced. In August 2020, the Company completed its IPO of common stock, in which it sold 6,151,162 shares, including 802,325 shares pursuant to the underwriters’ over-allotment option. The shares were sold at an IPO price of $24.00 per share for net proceeds of approximately $135,435, after deducting underwriting discounts and commissions and offering expenses of approximately $12,193 incurred by the Company.</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holders of common stock are entitled to one vote for each share held on all matters submitted to a vote of the Company’s stockholders. The holders of common stock do not have any cumulative voting rights. Holders of common stock are entitled to receive ratably any dividends declared by the Company’s board of directors out of funds legally available for that purpose, subject to any preferential dividend rights of any outstanding preferred stock. The Company’s common stock has no preemptive rights, conversion rights or other subscription rights or redemption or sinking fund provisions.</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connection with the Blackstone Credit Agreement, in August 2021, the Company sold an aggregate of 1,048,951 shares of our common stock, par value $ 0.00001 per share, for an aggregate cash consideration of $30,000, or $28.60 per share. This sale did not involve a public offering and was therefore exempt from registration under Section 4(a)(2) of the Securities Act of 1933, as amended, and Regulation D thereunder as a transaction not involving any public offering.</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 September 2021, the Company issued 221,511 shares of common stock in connection with the OrbiMed warrant (see Note 14).</w:t>
      </w:r>
    </w:p>
    <w:p>
      <w:pPr>
        <w:spacing w:after="0" w:line="19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November 2019, the Company removed certain forfeiture provisions associated with 1,217,285 common shares held by an investor resulting in $8,400 of noncash stock compensation expense reflected in the Company’s consolidated results of operations for the year ended December 31, 2019.</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left="660" w:right="4120" w:hanging="652"/>
        <w:spacing w:after="0" w:line="498" w:lineRule="auto"/>
        <w:tabs>
          <w:tab w:leader="none" w:pos="312"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 AND STOCK-BASED COMPENSATION 2020 Stock Incentive Plan</w:t>
      </w:r>
    </w:p>
    <w:p>
      <w:pPr>
        <w:jc w:val="both"/>
        <w:ind w:firstLine="648"/>
        <w:spacing w:after="0" w:line="238" w:lineRule="auto"/>
        <w:rPr>
          <w:sz w:val="20"/>
          <w:szCs w:val="20"/>
          <w:color w:val="auto"/>
        </w:rPr>
      </w:pPr>
      <w:r>
        <w:rPr>
          <w:rFonts w:ascii="Arial" w:cs="Arial" w:eastAsia="Arial" w:hAnsi="Arial"/>
          <w:sz w:val="18"/>
          <w:szCs w:val="18"/>
          <w:color w:val="auto"/>
        </w:rPr>
        <w:t>In connection with the Company’s IPO, the board of directors adopted, and its stockholders approved, the 2020 Incentive Award Plan (the “2020 Plan”), in order to facilitate the grant of cash and equity incentives to directors, employees (including the Company’s named executive officers) and consultants of the Company and its subsidiaries. The 2020 Plan provides for the grant of stock options, including incentive stock options (“ISOs”) and non-qualified stock options (“NSOs”), SARs, restricted stock, dividend equivalents, restricted stock units (“RSUs”) and other stock or cash-based awards.</w:t>
      </w:r>
    </w:p>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Stock options and stock appreciation rights under the 2017 Plan and the 2020 Plan have a 10-year contractual term and vest over the vesting period specified in the applicable award agreement, at achievement of a performance requirement, or upon change of control (as defined in the applicable plan). RSUs vest over the vesting period specified in the applicable award agreement, at achievement of a performance requirement, or upon change of control (as defined in the applicable plan). As of December 31, 2021, there were 4,113,432 shares of common stock reserved for issuance under the 2020 Plan. The number of shares that may be issued under the 2020 Plan will automatically increase on January 1 of each year in an amount equal to the lesser of (i) 4.0% of the shares of the Company’s common stock outstanding on December 31 of the preceding year or (ii) an amount determined by the Company’s board of directors.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2017 Stock Incentive Plan</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August 2017, the Company adopted an equity incentive plan (the “2017 Plan”). Under the 2017 Plan, directors, officers, employees, consultants, and advisors of the Company can be paid incentive compensation measured by the value of the Company’s common shares through grants of stock options, stock appreciation rights (“SARs”), or restricted stock.</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Upon the effectiveness of the 2020 Plan, no further grants will be made under the 2017 Plan. However, the 2017 Plan will continue to govern the terms and conditions of outstanding awards granted under under the 2017 Plan.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 Options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Weighted-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Average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82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Exercise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5"/>
        </w:trPr>
        <w:tc>
          <w:tcPr>
            <w:tcW w:w="6820" w:type="dxa"/>
            <w:vAlign w:val="bottom"/>
          </w:tcPr>
          <w:p>
            <w:pPr>
              <w:spacing w:after="0"/>
              <w:rPr>
                <w:sz w:val="15"/>
                <w:szCs w:val="15"/>
                <w:color w:val="auto"/>
              </w:rPr>
            </w:pPr>
          </w:p>
        </w:tc>
        <w:tc>
          <w:tcPr>
            <w:tcW w:w="1080" w:type="dxa"/>
            <w:vAlign w:val="bottom"/>
          </w:tcPr>
          <w:p>
            <w:pPr>
              <w:jc w:val="right"/>
              <w:ind w:right="195"/>
              <w:spacing w:after="0"/>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2020</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5,210,832</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17.66</w:t>
            </w: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8.63</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Awards issued</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1,551,502</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35.69</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exercised</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(668,782)</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14.19</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68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Awards forfeited</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(376,955)</w:t>
            </w:r>
          </w:p>
        </w:tc>
        <w:tc>
          <w:tcPr>
            <w:tcW w:w="28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24.23</w:t>
            </w: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r>
      <w:tr>
        <w:trPr>
          <w:trHeight w:val="196"/>
        </w:trPr>
        <w:tc>
          <w:tcPr>
            <w:tcW w:w="68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2021</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5,716,597</w:t>
            </w:r>
          </w:p>
        </w:tc>
        <w:tc>
          <w:tcPr>
            <w:tcW w:w="28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22.53</w:t>
            </w: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8.09</w:t>
            </w:r>
          </w:p>
        </w:tc>
      </w:tr>
      <w:tr>
        <w:trPr>
          <w:trHeight w:val="20"/>
        </w:trPr>
        <w:tc>
          <w:tcPr>
            <w:tcW w:w="6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3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 Appreciation Rights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SARs activity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Weighted-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Average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82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Exercise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5"/>
        </w:trPr>
        <w:tc>
          <w:tcPr>
            <w:tcW w:w="6820" w:type="dxa"/>
            <w:vAlign w:val="bottom"/>
          </w:tcPr>
          <w:p>
            <w:pPr>
              <w:spacing w:after="0"/>
              <w:rPr>
                <w:sz w:val="15"/>
                <w:szCs w:val="15"/>
                <w:color w:val="auto"/>
              </w:rPr>
            </w:pPr>
          </w:p>
        </w:tc>
        <w:tc>
          <w:tcPr>
            <w:tcW w:w="1080" w:type="dxa"/>
            <w:vAlign w:val="bottom"/>
          </w:tcPr>
          <w:p>
            <w:pPr>
              <w:jc w:val="right"/>
              <w:ind w:right="195"/>
              <w:spacing w:after="0"/>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2020</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49,294</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9.24</w:t>
            </w: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8.29</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Awards issued</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exercised</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7"/>
                <w:szCs w:val="17"/>
                <w:color w:val="auto"/>
              </w:rPr>
            </w:pPr>
          </w:p>
        </w:tc>
      </w:tr>
      <w:tr>
        <w:trPr>
          <w:trHeight w:val="203"/>
        </w:trPr>
        <w:tc>
          <w:tcPr>
            <w:tcW w:w="68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Awards forfeited</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tcPr>
          <w:p>
            <w:pPr>
              <w:spacing w:after="0"/>
              <w:rPr>
                <w:sz w:val="17"/>
                <w:szCs w:val="17"/>
                <w:color w:val="auto"/>
              </w:rPr>
            </w:pPr>
          </w:p>
        </w:tc>
      </w:tr>
      <w:tr>
        <w:trPr>
          <w:trHeight w:val="196"/>
        </w:trPr>
        <w:tc>
          <w:tcPr>
            <w:tcW w:w="68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2021</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49,294</w:t>
            </w:r>
          </w:p>
        </w:tc>
        <w:tc>
          <w:tcPr>
            <w:tcW w:w="28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9.24</w:t>
            </w: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7.29</w:t>
            </w:r>
          </w:p>
        </w:tc>
      </w:tr>
      <w:tr>
        <w:trPr>
          <w:trHeight w:val="20"/>
        </w:trPr>
        <w:tc>
          <w:tcPr>
            <w:tcW w:w="6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3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RSU activity for the year ended December 31, 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Weighted-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Average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82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Exercise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5"/>
        </w:trPr>
        <w:tc>
          <w:tcPr>
            <w:tcW w:w="6820" w:type="dxa"/>
            <w:vAlign w:val="bottom"/>
          </w:tcPr>
          <w:p>
            <w:pPr>
              <w:spacing w:after="0"/>
              <w:rPr>
                <w:sz w:val="15"/>
                <w:szCs w:val="15"/>
                <w:color w:val="auto"/>
              </w:rPr>
            </w:pPr>
          </w:p>
        </w:tc>
        <w:tc>
          <w:tcPr>
            <w:tcW w:w="1080" w:type="dxa"/>
            <w:vAlign w:val="bottom"/>
          </w:tcPr>
          <w:p>
            <w:pPr>
              <w:jc w:val="right"/>
              <w:ind w:right="195"/>
              <w:spacing w:after="0"/>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2020</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Awards issued</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60,000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29.03</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exercised</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7"/>
                <w:szCs w:val="17"/>
                <w:color w:val="auto"/>
              </w:rPr>
            </w:pPr>
          </w:p>
        </w:tc>
      </w:tr>
      <w:tr>
        <w:trPr>
          <w:trHeight w:val="203"/>
        </w:trPr>
        <w:tc>
          <w:tcPr>
            <w:tcW w:w="68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Awards forfeited</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tcPr>
          <w:p>
            <w:pPr>
              <w:spacing w:after="0"/>
              <w:rPr>
                <w:sz w:val="17"/>
                <w:szCs w:val="17"/>
                <w:color w:val="auto"/>
              </w:rPr>
            </w:pPr>
          </w:p>
        </w:tc>
      </w:tr>
      <w:tr>
        <w:trPr>
          <w:trHeight w:val="196"/>
        </w:trPr>
        <w:tc>
          <w:tcPr>
            <w:tcW w:w="68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2021</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60,000</w:t>
            </w:r>
          </w:p>
        </w:tc>
        <w:tc>
          <w:tcPr>
            <w:tcW w:w="28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29.03</w:t>
            </w: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9.24</w:t>
            </w:r>
          </w:p>
        </w:tc>
      </w:tr>
      <w:tr>
        <w:trPr>
          <w:trHeight w:val="20"/>
        </w:trPr>
        <w:tc>
          <w:tcPr>
            <w:tcW w:w="6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As of December 31, 2021 and 2020, stock awards issued under the 2017 and 2020 Plans of 1,285,432 and 987,538 common shares, respectively, were vested. The Company has elected early adoption of ASU No. 2016 -09 to recognize forfeitures as they occur. As a result of the adoption, for the year ended December 31, 2021 and 2020, respectively, the Company reversed $278 and $3 out of stock-based compensation previously recorded.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Value of Stock Options and SARs</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Company values awards using the Black-Scholes option-pricing model. The Company estimates its expected stock volatility based on historical volatility of a peer group of companies and expects to continue to do so until such time as it has adequate historical data regarding the volatility of its own traded stock price. The Company utilizes the “simplified” method to estimate the expected term for option awards that qualify as “plain-vanilla” options. The expected term for SARs granted is estimated based upon the weighting of certain future events. The risk-free interest rate is determined by reference to the U.S. Treasury yield curve in effect at the time of grant of the award for the time periods approximately equal to the expected term of the award. Expected dividend yield is zero based upon the fact that the Company has never paid cash dividends and does not intent to do so for the foreseeable future.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assumptions used to value the awards are summarized in the following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170"/>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6180" w:type="dxa"/>
            <w:vAlign w:val="bottom"/>
          </w:tcPr>
          <w:p>
            <w:pPr>
              <w:spacing w:after="0"/>
              <w:rPr>
                <w:sz w:val="12"/>
                <w:szCs w:val="12"/>
                <w:color w:val="auto"/>
              </w:rPr>
            </w:pPr>
          </w:p>
        </w:tc>
        <w:tc>
          <w:tcPr>
            <w:tcW w:w="1260" w:type="dxa"/>
            <w:vAlign w:val="bottom"/>
            <w:gridSpan w:val="2"/>
          </w:tcPr>
          <w:p>
            <w:pPr>
              <w:jc w:val="right"/>
              <w:ind w:right="230"/>
              <w:spacing w:after="0" w:line="143" w:lineRule="exact"/>
              <w:rPr>
                <w:sz w:val="20"/>
                <w:szCs w:val="20"/>
                <w:color w:val="auto"/>
              </w:rPr>
            </w:pPr>
            <w:r>
              <w:rPr>
                <w:rFonts w:ascii="Arial" w:cs="Arial" w:eastAsia="Arial" w:hAnsi="Arial"/>
                <w:sz w:val="14"/>
                <w:szCs w:val="14"/>
                <w:b w:val="1"/>
                <w:bCs w:val="1"/>
                <w:color w:val="auto"/>
              </w:rPr>
              <w:t>December 31,</w:t>
            </w:r>
          </w:p>
        </w:tc>
        <w:tc>
          <w:tcPr>
            <w:tcW w:w="1300" w:type="dxa"/>
            <w:vAlign w:val="bottom"/>
            <w:gridSpan w:val="2"/>
          </w:tcPr>
          <w:p>
            <w:pPr>
              <w:jc w:val="center"/>
              <w:ind w:right="130"/>
              <w:spacing w:after="0" w:line="143" w:lineRule="exact"/>
              <w:rPr>
                <w:sz w:val="20"/>
                <w:szCs w:val="20"/>
                <w:color w:val="auto"/>
              </w:rPr>
            </w:pPr>
            <w:r>
              <w:rPr>
                <w:rFonts w:ascii="Arial" w:cs="Arial" w:eastAsia="Arial" w:hAnsi="Arial"/>
                <w:sz w:val="14"/>
                <w:szCs w:val="14"/>
                <w:b w:val="1"/>
                <w:bCs w:val="1"/>
                <w:color w:val="auto"/>
              </w:rPr>
              <w:t>December 31,</w:t>
            </w:r>
          </w:p>
        </w:tc>
        <w:tc>
          <w:tcPr>
            <w:tcW w:w="10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r>
      <w:tr>
        <w:trPr>
          <w:trHeight w:val="175"/>
        </w:trPr>
        <w:tc>
          <w:tcPr>
            <w:tcW w:w="61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r>
      <w:tr>
        <w:trPr>
          <w:trHeight w:val="196"/>
        </w:trPr>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Dividend yield</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2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2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60.00 %</w:t>
            </w:r>
          </w:p>
        </w:tc>
        <w:tc>
          <w:tcPr>
            <w:tcW w:w="24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55.00 - 95.80 %95.30-99.30 %</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26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0.66 - 1.44 %</w:t>
            </w:r>
          </w:p>
        </w:tc>
        <w:tc>
          <w:tcPr>
            <w:tcW w:w="24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0.32 - 0.56 %  1.60-2.59 %</w:t>
            </w: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Lack of marketability discount</w:t>
            </w:r>
          </w:p>
        </w:tc>
        <w:tc>
          <w:tcPr>
            <w:tcW w:w="12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0.00 %</w:t>
            </w:r>
          </w:p>
        </w:tc>
        <w:tc>
          <w:tcPr>
            <w:tcW w:w="24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0.00 - 20.48 %26.00-31.00 %</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(years)</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4.1 - 6.3</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5.4 - 6.5</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7"/>
                <w:szCs w:val="17"/>
                <w:color w:val="auto"/>
              </w:rPr>
            </w:pPr>
          </w:p>
        </w:tc>
      </w:tr>
    </w:tbl>
    <w:p>
      <w:pPr>
        <w:spacing w:after="0" w:line="3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Value of RSUs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RSUs is equal to the value of the Company’s common stock on the grant date.</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weighted average per share fair value of awards issued under the Plan was $12.82, $10.06 and $3.45 in 2021, 2020 and 2019, respectively.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Stock-based compensation expense was $16,105, $5,190 and $9,909 for the years ended December 31, 2021, 2020 and 2019, respectively, and was recorded in the consolidated statements of operations and comprehensive income (loss) in the following line items: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5"/>
                <w:szCs w:val="15"/>
                <w:color w:val="auto"/>
              </w:rPr>
            </w:pPr>
          </w:p>
        </w:tc>
      </w:tr>
      <w:tr>
        <w:trPr>
          <w:trHeight w:val="155"/>
        </w:trPr>
        <w:tc>
          <w:tcPr>
            <w:tcW w:w="4840" w:type="dxa"/>
            <w:vAlign w:val="bottom"/>
            <w:tcBorders>
              <w:bottom w:val="single" w:sz="8" w:color="CCEEFF"/>
            </w:tcBorders>
          </w:tcPr>
          <w:p>
            <w:pPr>
              <w:spacing w:after="0"/>
              <w:rPr>
                <w:sz w:val="13"/>
                <w:szCs w:val="13"/>
                <w:color w:val="auto"/>
              </w:rPr>
            </w:pPr>
          </w:p>
        </w:tc>
        <w:tc>
          <w:tcPr>
            <w:tcW w:w="19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19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2,121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287</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Sales and marketing expense</w:t>
            </w: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3,103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703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351</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19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10,881</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3,901</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9,271</w:t>
            </w:r>
          </w:p>
        </w:tc>
      </w:tr>
      <w:tr>
        <w:trPr>
          <w:trHeight w:val="196"/>
        </w:trPr>
        <w:tc>
          <w:tcPr>
            <w:tcW w:w="4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16,105</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5,190</w:t>
            </w:r>
          </w:p>
        </w:tc>
        <w:tc>
          <w:tcPr>
            <w:tcW w:w="18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9,909</w:t>
            </w:r>
          </w:p>
        </w:tc>
      </w:tr>
      <w:tr>
        <w:trPr>
          <w:trHeight w:val="20"/>
        </w:trPr>
        <w:tc>
          <w:tcPr>
            <w:tcW w:w="4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Options issued under the 2017 Plan and 2020 Plan are reflected as a component of equity in these consolidated financial statements. Stock appreciation rights are reflected as other non-current liability. As of December 31, 2021, the total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unrecognized stock-based compensation expense related to Options and RSUs was $56,531. Such amount will be recognized in the Company’s consolidated statement of operations over a weighted average period of 3.4 years.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2021 Employee Stock Purchase Plan (“ESPP”) was adopted by the Company’s Board of Directors on April 30, 2021. The ESPP permits eligible employees to purchase shares of the Company’s common stock at a 15% discount from the lesser of the fair market value per share of the Company’s common stock on the first day of the offering period or the fair market value of the Company’s common stock on the purchase date. Funds are collected from employees through after-tax payroll deductions. The total number of shares reserved for issuance under the ESPP was initially 629,805, which will automatically increase on January 1 of each year in an amount equal to the lesser of (i) 1.0% of the shares of the Company’s common stock outstanding on December 31 of the preceding year or (ii) an amount determined by the Company’s board of directors. It is intended that the ESPP meet the requirements for an “employee stock purchase plan” under Section 423 of the Internal Revenue Code. For the year ended December 31, 2021, there were 11,010 shares issued under the ESPP. The discount on the ESPP for the year ended December 31, 2021 was $173, and is recorded within stock-based compensation expense.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WARRANTS</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connection with the OrbiMed Loan, the Company issued Warrants to OrbiMed Royalty &amp; Credit Opportunities, LP on January 9, 2020. Pursuant to the Warrants, OrbiMed Royalty &amp; Credit Opportunities, LP, may purchase up to 410,239 shares of the Company’s Common Stock for an initial exercise price of $16.10 at any time from the date of execution of the Warrants through the expiration date, defined within the Warrants as the earlier of (i) January 9, 2027 and (ii) the closing date of a Corporate Reorganization. The fair value of the Warrants using the Black-Scholes option-pricing model was $2,359 on January 9, 2020 and was initially recorded as a warrant liability which was included in warrant liability in the consolidated balance sheet. The portion of the OrbiMed Loan proceeds allocated to the warrant liability resulted in a debt discount, which is presented in the consolidated balance sheets as a direct deduction from the carrying value of the debt and is being amortized as additional interest expense over the six-year loan term of the OrbiMed Loan. In connection with the Blackstone Credit Agreement, the OrbiMed Loan was repaid in fully and the unamortized debt discount related to the Warrants was included in the loss on debt extinguishment (see Note 12). On September 3, 2021, OrbiMed exercised its option to purchase shares of the Company’s common stock pursuant to the Warrants, which resulted in the net settlement of 221,511 shares of the Company’s common stock issued to OrbiMed.</w:t>
      </w:r>
    </w:p>
    <w:p>
      <w:pPr>
        <w:spacing w:after="0" w:line="20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connection with the IPO, the financial instrument underlying the warrants was converted from the Company’s Series C Preferred Stock to the Company’s Common Stock. As a result of this conversion the Warrants were re-evaluated under ASC 480 Distinguishing Liabilities from Equity and ASC 815 Derivatives and Hedging and reclassified to equity.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Company has reported net income for the year ended December 31, 2021. Diluted net income per common share is computed under the treasury stock method by using the weighted average number of shares of common stock outstanding, plus, for periods with net income attributable to common stockholders, the potential dilutive effects of stock options, stock appreciation rights, restricted stock units and warrants. In addition, the Company analyzes the potential dilutive effects of the outstanding convertible preferred stock under the ‘if-converted’ method when calculating diluted earnings per share, in which it is assumed that the outstanding convertible preferred stock converts into common stock at the beginning of the period or when issued if later. The Company reports the more dilutive of the approaches (treasury stock or ‘if converted’) as its diluted net income per share during the period.</w:t>
      </w:r>
    </w:p>
    <w:p>
      <w:pPr>
        <w:spacing w:after="0" w:line="20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For the years ended December 31, 2020 and 2019, the Company used the two-class method to compute net loss per common share because the Company has issued securities (convertible preferred stock) that entitle the holder to participate in dividends and earnings of the Company. Under this method, net income is reduced by the amount of any dividends earned and the accretion of convertible preferred stock to its redemption value during the period. The remaining earnings (undistributed earnings) are allocated to common stock and each series of convertible preferred stock to the extent that each preferred security may share in the earnings as if all of the earnings for the period had been distributed. The total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earnings allocated to common stock is then divided by the number of outstanding shares to which the earnings are allocated to determine the earnings per share. The two-class method is not applicable during periods with a net loss, as the holders of the convertible preferred stock have no obligation to fund losses.</w:t>
      </w:r>
    </w:p>
    <w:p>
      <w:pPr>
        <w:spacing w:after="0" w:line="20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Company has reported a net loss for the years ended December 31, 2020 and 2019, and the weighted average number of shares utilized for basic and diluted net loss per share attributable to common stockholders are the same for these periods because all convertible preferred stock and stock options have been excluded from the computation of diluted weighted-average shares outstanding because such securities would have an antidilutive impact. Additionally, the fair value adjustment for the warrants was excluded from the computation of diluted net loss for the year ended December 31, 2020 since the additional income would have an antidilutive impact.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600" w:type="dxa"/>
            <w:vAlign w:val="bottom"/>
            <w:vMerge w:val="restart"/>
          </w:tcPr>
          <w:p>
            <w:pPr>
              <w:spacing w:after="0"/>
              <w:rPr>
                <w:sz w:val="20"/>
                <w:szCs w:val="20"/>
                <w:color w:val="auto"/>
              </w:rPr>
            </w:pPr>
            <w:r>
              <w:rPr>
                <w:rFonts w:ascii="Arial" w:cs="Arial" w:eastAsia="Arial" w:hAnsi="Arial"/>
                <w:sz w:val="18"/>
                <w:szCs w:val="18"/>
                <w:color w:val="auto"/>
              </w:rPr>
              <w:t>Numerator</w:t>
            </w:r>
          </w:p>
        </w:tc>
        <w:tc>
          <w:tcPr>
            <w:tcW w:w="4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6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income (loss)</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34,597</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(36,944)</w:t>
            </w:r>
          </w:p>
        </w:tc>
        <w:tc>
          <w:tcPr>
            <w:tcW w:w="40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(151,977)</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Accumulation of dividends on preferred stock</w:t>
            </w:r>
          </w:p>
        </w:tc>
        <w:tc>
          <w:tcPr>
            <w:tcW w:w="4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(26,904)</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(35,231)</w:t>
            </w:r>
          </w:p>
        </w:tc>
        <w:tc>
          <w:tcPr>
            <w:tcW w:w="0" w:type="dxa"/>
            <w:vAlign w:val="bottom"/>
          </w:tcPr>
          <w:p>
            <w:pPr>
              <w:spacing w:after="0"/>
              <w:rPr>
                <w:sz w:val="1"/>
                <w:szCs w:val="1"/>
                <w:color w:val="auto"/>
              </w:rPr>
            </w:pPr>
          </w:p>
        </w:tc>
      </w:tr>
      <w:tr>
        <w:trPr>
          <w:trHeight w:val="196"/>
        </w:trPr>
        <w:tc>
          <w:tcPr>
            <w:tcW w:w="56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Net income (loss) available to common shareholders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34,597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(63,848)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(187,208)</w:t>
            </w: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Denominator</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income (loss) per common share - basic</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0.60</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w:t>
            </w:r>
          </w:p>
        </w:tc>
        <w:tc>
          <w:tcPr>
            <w:tcW w:w="40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03"/>
        </w:trPr>
        <w:tc>
          <w:tcPr>
            <w:tcW w:w="5600" w:type="dxa"/>
            <w:vAlign w:val="bottom"/>
          </w:tcPr>
          <w:p>
            <w:pPr>
              <w:ind w:left="120"/>
              <w:spacing w:after="0" w:line="202" w:lineRule="exact"/>
              <w:rPr>
                <w:sz w:val="20"/>
                <w:szCs w:val="20"/>
                <w:color w:val="auto"/>
              </w:rPr>
            </w:pPr>
            <w:r>
              <w:rPr>
                <w:rFonts w:ascii="Arial" w:cs="Arial" w:eastAsia="Arial" w:hAnsi="Arial"/>
                <w:sz w:val="18"/>
                <w:szCs w:val="18"/>
                <w:color w:val="auto"/>
              </w:rPr>
              <w:t>Net income (loss) per common share - diluted</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0.58</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(2.48)</w:t>
            </w:r>
          </w:p>
        </w:tc>
        <w:tc>
          <w:tcPr>
            <w:tcW w:w="4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Weighted average number of shares of common stock - basic</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57,531,540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25,772,419</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7,777,441</w:t>
            </w:r>
          </w:p>
        </w:tc>
        <w:tc>
          <w:tcPr>
            <w:tcW w:w="0" w:type="dxa"/>
            <w:vAlign w:val="bottom"/>
          </w:tcPr>
          <w:p>
            <w:pPr>
              <w:spacing w:after="0"/>
              <w:rPr>
                <w:sz w:val="1"/>
                <w:szCs w:val="1"/>
                <w:color w:val="auto"/>
              </w:rPr>
            </w:pPr>
          </w:p>
        </w:tc>
      </w:tr>
      <w:tr>
        <w:trPr>
          <w:trHeight w:val="217"/>
        </w:trPr>
        <w:tc>
          <w:tcPr>
            <w:tcW w:w="5600" w:type="dxa"/>
            <w:vAlign w:val="bottom"/>
          </w:tcPr>
          <w:p>
            <w:pPr>
              <w:ind w:left="120"/>
              <w:spacing w:after="0"/>
              <w:rPr>
                <w:sz w:val="20"/>
                <w:szCs w:val="20"/>
                <w:color w:val="auto"/>
              </w:rPr>
            </w:pPr>
            <w:r>
              <w:rPr>
                <w:rFonts w:ascii="Arial" w:cs="Arial" w:eastAsia="Arial" w:hAnsi="Arial"/>
                <w:sz w:val="18"/>
                <w:szCs w:val="18"/>
                <w:color w:val="auto"/>
              </w:rPr>
              <w:t>Weighted average number of shares of common stock - diluted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59,205,213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25,772,419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7,777,441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Securities outstanding that are included in the computation above, utilizing the treasury stock method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r>
      <w:tr>
        <w:trPr>
          <w:trHeight w:val="155"/>
        </w:trPr>
        <w:tc>
          <w:tcPr>
            <w:tcW w:w="664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 SARs, and RSUs to purchase common stock</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1,536,825</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Warrants</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136,848</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1,673,673</w:t>
            </w: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Potential common shares issuable upon conversion of preferred stock, exercise of stock options, and exercise of warrants that are excluded from the computation of diluted weighted-average shares outstanding as well as the warrant fair value adjustments excluded from the numerator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7"/>
          </w:tcPr>
          <w:p>
            <w:pPr>
              <w:jc w:val="right"/>
              <w:ind w:right="77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80" w:type="dxa"/>
            <w:vAlign w:val="bottom"/>
            <w:tcBorders>
              <w:bottom w:val="single" w:sz="8" w:color="CCEEFF"/>
            </w:tcBorders>
          </w:tcPr>
          <w:p>
            <w:pPr>
              <w:spacing w:after="0"/>
              <w:rPr>
                <w:sz w:val="13"/>
                <w:szCs w:val="13"/>
                <w:color w:val="auto"/>
              </w:rPr>
            </w:pPr>
          </w:p>
        </w:tc>
        <w:tc>
          <w:tcPr>
            <w:tcW w:w="16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Stock options, SARs, and RSUs to purchase common stock</w:t>
            </w:r>
          </w:p>
        </w:tc>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4,289,066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5,260,126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2,271,632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Convertible preferred stock</w:t>
            </w: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36,891,576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w:t>
            </w:r>
          </w:p>
        </w:tc>
        <w:tc>
          <w:tcPr>
            <w:tcW w:w="16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410,239</w:t>
            </w: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80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4,289,066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5,670,365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39,163,208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Adjustment for warrants</w:t>
            </w: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3,109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63"/>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80" w:type="dxa"/>
            <w:vAlign w:val="bottom"/>
          </w:tcPr>
          <w:p>
            <w:pPr>
              <w:jc w:val="right"/>
              <w:ind w:right="1270"/>
              <w:spacing w:after="0"/>
              <w:rPr>
                <w:sz w:val="20"/>
                <w:szCs w:val="20"/>
                <w:color w:val="auto"/>
              </w:rPr>
            </w:pPr>
            <w:r>
              <w:rPr>
                <w:rFonts w:ascii="Arial" w:cs="Arial" w:eastAsia="Arial" w:hAnsi="Arial"/>
                <w:sz w:val="18"/>
                <w:szCs w:val="18"/>
                <w:color w:val="auto"/>
                <w:w w:val="99"/>
              </w:rPr>
              <w:t>116</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of the provision for income taxes consist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7"/>
          </w:tcPr>
          <w:p>
            <w:pPr>
              <w:jc w:val="right"/>
              <w:ind w:right="87"/>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3820" w:type="dxa"/>
            <w:vAlign w:val="bottom"/>
            <w:tcBorders>
              <w:bottom w:val="single" w:sz="8" w:color="CCEEFF"/>
            </w:tcBorders>
          </w:tcPr>
          <w:p>
            <w:pPr>
              <w:spacing w:after="0"/>
              <w:rPr>
                <w:sz w:val="13"/>
                <w:szCs w:val="13"/>
                <w:color w:val="auto"/>
              </w:rPr>
            </w:pPr>
          </w:p>
        </w:tc>
        <w:tc>
          <w:tcPr>
            <w:tcW w:w="22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r>
      <w:tr>
        <w:trPr>
          <w:trHeight w:val="196"/>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w:t>
            </w:r>
          </w:p>
        </w:tc>
        <w:tc>
          <w:tcPr>
            <w:tcW w:w="22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6,487</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(6,416)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(32,508)</w:t>
            </w:r>
          </w:p>
        </w:tc>
        <w:tc>
          <w:tcPr>
            <w:tcW w:w="20" w:type="dxa"/>
            <w:vAlign w:val="bottom"/>
          </w:tcPr>
          <w:p>
            <w:pPr>
              <w:spacing w:after="0"/>
              <w:rPr>
                <w:sz w:val="17"/>
                <w:szCs w:val="17"/>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State</w:t>
            </w:r>
          </w:p>
        </w:tc>
        <w:tc>
          <w:tcPr>
            <w:tcW w:w="2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2,852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4,198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(9,641)</w:t>
            </w:r>
          </w:p>
        </w:tc>
        <w:tc>
          <w:tcPr>
            <w:tcW w:w="20" w:type="dxa"/>
            <w:vAlign w:val="bottom"/>
          </w:tcPr>
          <w:p>
            <w:pPr>
              <w:spacing w:after="0"/>
              <w:rPr>
                <w:sz w:val="17"/>
                <w:szCs w:val="17"/>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2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(6,508)</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42,149</w:t>
            </w:r>
          </w:p>
        </w:tc>
        <w:tc>
          <w:tcPr>
            <w:tcW w:w="20" w:type="dxa"/>
            <w:vAlign w:val="bottom"/>
          </w:tcPr>
          <w:p>
            <w:pPr>
              <w:spacing w:after="0"/>
              <w:rPr>
                <w:sz w:val="17"/>
                <w:szCs w:val="17"/>
                <w:color w:val="auto"/>
              </w:rPr>
            </w:pPr>
          </w:p>
        </w:tc>
      </w:tr>
      <w:tr>
        <w:trPr>
          <w:trHeight w:val="196"/>
        </w:trPr>
        <w:tc>
          <w:tcPr>
            <w:tcW w:w="3820" w:type="dxa"/>
            <w:vAlign w:val="bottom"/>
            <w:tcBorders>
              <w:bottom w:val="single" w:sz="8" w:color="CCEEFF"/>
            </w:tcBorders>
          </w:tcPr>
          <w:p>
            <w:pPr>
              <w:spacing w:after="0"/>
              <w:rPr>
                <w:sz w:val="17"/>
                <w:szCs w:val="17"/>
                <w:color w:val="auto"/>
              </w:rPr>
            </w:pPr>
          </w:p>
        </w:tc>
        <w:tc>
          <w:tcPr>
            <w:tcW w:w="22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2,831</w:t>
            </w: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2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2,831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Deferred</w:t>
            </w:r>
          </w:p>
        </w:tc>
        <w:tc>
          <w:tcPr>
            <w:tcW w:w="2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6,508</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(2,218)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(42,149)</w:t>
            </w:r>
          </w:p>
        </w:tc>
        <w:tc>
          <w:tcPr>
            <w:tcW w:w="20" w:type="dxa"/>
            <w:vAlign w:val="bottom"/>
          </w:tcPr>
          <w:p>
            <w:pPr>
              <w:spacing w:after="0"/>
              <w:rPr>
                <w:sz w:val="17"/>
                <w:szCs w:val="17"/>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2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(6,508)</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42,149</w:t>
            </w:r>
          </w:p>
        </w:tc>
        <w:tc>
          <w:tcPr>
            <w:tcW w:w="20" w:type="dxa"/>
            <w:vAlign w:val="bottom"/>
          </w:tcPr>
          <w:p>
            <w:pPr>
              <w:spacing w:after="0"/>
              <w:rPr>
                <w:sz w:val="17"/>
                <w:szCs w:val="17"/>
                <w:color w:val="auto"/>
              </w:rPr>
            </w:pPr>
          </w:p>
        </w:tc>
      </w:tr>
      <w:tr>
        <w:trPr>
          <w:trHeight w:val="196"/>
        </w:trPr>
        <w:tc>
          <w:tcPr>
            <w:tcW w:w="382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22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2,831</w:t>
            </w:r>
          </w:p>
        </w:tc>
        <w:tc>
          <w:tcPr>
            <w:tcW w:w="1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
        </w:trPr>
        <w:tc>
          <w:tcPr>
            <w:tcW w:w="3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reasons for the difference between the statutory federal income tax rate and the Company’s effective income tax rate as of December 31, 2021, 2020 and 2019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2540" w:type="dxa"/>
            <w:vAlign w:val="bottom"/>
            <w:gridSpan w:val="5"/>
          </w:tcPr>
          <w:p>
            <w:pPr>
              <w:ind w:left="76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5"/>
        </w:trPr>
        <w:tc>
          <w:tcPr>
            <w:tcW w:w="65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CCEEFF"/>
            </w:tcBorders>
          </w:tcPr>
          <w:p>
            <w:pPr>
              <w:spacing w:after="0"/>
              <w:rPr>
                <w:sz w:val="15"/>
                <w:szCs w:val="15"/>
                <w:color w:val="auto"/>
              </w:rPr>
            </w:pPr>
          </w:p>
        </w:tc>
      </w:tr>
      <w:tr>
        <w:trPr>
          <w:trHeight w:val="196"/>
        </w:trPr>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 income tax rate</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280" w:type="dxa"/>
            <w:vAlign w:val="bottom"/>
          </w:tcPr>
          <w:p>
            <w:pPr>
              <w:spacing w:after="0"/>
              <w:rPr>
                <w:sz w:val="17"/>
                <w:szCs w:val="17"/>
                <w:color w:val="auto"/>
              </w:rPr>
            </w:pPr>
          </w:p>
        </w:tc>
        <w:tc>
          <w:tcPr>
            <w:tcW w:w="136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taxes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7"/>
                <w:szCs w:val="17"/>
                <w:color w:val="auto"/>
              </w:rPr>
            </w:pP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160" w:type="dxa"/>
            <w:vAlign w:val="bottom"/>
          </w:tcPr>
          <w:p>
            <w:pPr>
              <w:spacing w:after="0"/>
              <w:rPr>
                <w:sz w:val="17"/>
                <w:szCs w:val="17"/>
                <w:color w:val="auto"/>
              </w:rPr>
            </w:pP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(17.3)</w:t>
            </w:r>
          </w:p>
        </w:tc>
        <w:tc>
          <w:tcPr>
            <w:tcW w:w="2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17"/>
                <w:szCs w:val="17"/>
                <w:color w:val="auto"/>
              </w:rPr>
            </w:pPr>
          </w:p>
        </w:tc>
      </w:tr>
      <w:tr>
        <w:trPr>
          <w:trHeight w:val="196"/>
        </w:trPr>
        <w:tc>
          <w:tcPr>
            <w:tcW w:w="658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w:t>
            </w:r>
          </w:p>
        </w:tc>
        <w:tc>
          <w:tcPr>
            <w:tcW w:w="280" w:type="dxa"/>
            <w:vAlign w:val="bottom"/>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6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Significant components of the Company’s deferred tax assets and liabilities as of December 31, 2021 and 2020,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55"/>
        </w:trPr>
        <w:tc>
          <w:tcPr>
            <w:tcW w:w="4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3"/>
                <w:szCs w:val="13"/>
                <w:color w:val="auto"/>
              </w:rPr>
            </w:pPr>
          </w:p>
        </w:tc>
      </w:tr>
      <w:tr>
        <w:trPr>
          <w:trHeight w:val="155"/>
        </w:trPr>
        <w:tc>
          <w:tcPr>
            <w:tcW w:w="4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92"/>
              <w:spacing w:after="0" w:line="155" w:lineRule="exact"/>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11"/>
              <w:spacing w:after="0" w:line="155" w:lineRule="exact"/>
              <w:rPr>
                <w:sz w:val="20"/>
                <w:szCs w:val="20"/>
                <w:color w:val="auto"/>
              </w:rPr>
            </w:pPr>
            <w:r>
              <w:rPr>
                <w:rFonts w:ascii="Arial" w:cs="Arial" w:eastAsia="Arial" w:hAnsi="Arial"/>
                <w:sz w:val="14"/>
                <w:szCs w:val="14"/>
                <w:b w:val="1"/>
                <w:bCs w:val="1"/>
                <w:color w:val="auto"/>
              </w:rPr>
              <w:t>Liabilities</w:t>
            </w: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Acquired in-process research and development</w:t>
            </w:r>
          </w:p>
        </w:tc>
        <w:tc>
          <w:tcPr>
            <w:tcW w:w="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42,460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45,346</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Net operating loss carryforward</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29,739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44,983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compensation</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4,075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Credits</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1,604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Disallowed interest</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7,635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7,751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2"/>
        </w:trPr>
        <w:tc>
          <w:tcPr>
            <w:tcW w:w="4540" w:type="dxa"/>
            <w:vAlign w:val="bottom"/>
          </w:tcPr>
          <w:p>
            <w:pPr>
              <w:spacing w:after="0" w:line="202" w:lineRule="exact"/>
              <w:rPr>
                <w:sz w:val="20"/>
                <w:szCs w:val="20"/>
                <w:color w:val="auto"/>
              </w:rPr>
            </w:pPr>
            <w:r>
              <w:rPr>
                <w:rFonts w:ascii="Arial" w:cs="Arial" w:eastAsia="Arial" w:hAnsi="Arial"/>
                <w:sz w:val="18"/>
                <w:szCs w:val="18"/>
                <w:color w:val="auto"/>
              </w:rPr>
              <w:t>Lease obligations, net</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assets</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6,294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rebates</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4,564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w:t>
            </w:r>
          </w:p>
        </w:tc>
        <w:tc>
          <w:tcPr>
            <w:tcW w:w="7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1,096</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1,242</w:t>
            </w:r>
          </w:p>
        </w:tc>
      </w:tr>
      <w:tr>
        <w:trPr>
          <w:trHeight w:val="196"/>
        </w:trPr>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97,462</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1,096</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104,116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1,242</w:t>
            </w:r>
          </w:p>
        </w:tc>
      </w:tr>
      <w:tr>
        <w:trPr>
          <w:trHeight w:val="196"/>
        </w:trPr>
        <w:tc>
          <w:tcPr>
            <w:tcW w:w="4540" w:type="dxa"/>
            <w:vAlign w:val="bottom"/>
          </w:tcPr>
          <w:p>
            <w:pPr>
              <w:spacing w:after="0" w:line="196" w:lineRule="exact"/>
              <w:rPr>
                <w:sz w:val="20"/>
                <w:szCs w:val="20"/>
                <w:color w:val="auto"/>
              </w:rPr>
            </w:pPr>
            <w:r>
              <w:rPr>
                <w:rFonts w:ascii="Arial" w:cs="Arial" w:eastAsia="Arial" w:hAnsi="Arial"/>
                <w:sz w:val="18"/>
                <w:szCs w:val="18"/>
                <w:color w:val="auto"/>
              </w:rPr>
              <w:t>Net deferred tax asset</w:t>
            </w:r>
          </w:p>
        </w:tc>
        <w:tc>
          <w:tcPr>
            <w:tcW w:w="76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96,366</w:t>
            </w:r>
          </w:p>
        </w:tc>
        <w:tc>
          <w:tcPr>
            <w:tcW w:w="1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102,874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(96,366)</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(102,874)</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54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7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4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Company has considered available positive and negative evidence to estimate if sufficient future taxable income will be generated to allow utilization of the existing deferred tax assets. Prior to the year ended December 31, 2021, the Company had incurred operating losses and negative cash flows from operations. In light of these considerations, as well as the uncertainty as to when the Company might generate taxable income, the Company has recorded a full valuation allowance of $96,366, which represents an decrease of $6,508 in the Company’s valuation allowance from December 31, 2020 to December 31, 2021. The amount of the net deferred tax asset considered realizable could be adjusted in the future if estimates of taxable income change or if objective negative evidence in no longer present and additional weight may be given to subjective evidence. Changes in the valuation allowance for deferred tax assets during the years ended December 31, 2021, 2020 and 2019 were as follows: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7"/>
          </w:tcPr>
          <w:p>
            <w:pPr>
              <w:jc w:val="right"/>
              <w:ind w:right="87"/>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5"/>
                <w:szCs w:val="15"/>
                <w:color w:val="auto"/>
              </w:rPr>
            </w:pPr>
          </w:p>
        </w:tc>
      </w:tr>
      <w:tr>
        <w:trPr>
          <w:trHeight w:val="155"/>
        </w:trPr>
        <w:tc>
          <w:tcPr>
            <w:tcW w:w="60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allowance at the beginning of the year</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(102,874)</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(100,656)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(58,507)</w:t>
            </w:r>
          </w:p>
        </w:tc>
      </w:tr>
      <w:tr>
        <w:trPr>
          <w:trHeight w:val="203"/>
        </w:trPr>
        <w:tc>
          <w:tcPr>
            <w:tcW w:w="6060" w:type="dxa"/>
            <w:vAlign w:val="bottom"/>
          </w:tcPr>
          <w:p>
            <w:pPr>
              <w:ind w:left="120"/>
              <w:spacing w:after="0" w:line="202" w:lineRule="exact"/>
              <w:rPr>
                <w:sz w:val="20"/>
                <w:szCs w:val="20"/>
                <w:color w:val="auto"/>
              </w:rPr>
            </w:pPr>
            <w:r>
              <w:rPr>
                <w:rFonts w:ascii="Arial" w:cs="Arial" w:eastAsia="Arial" w:hAnsi="Arial"/>
                <w:sz w:val="18"/>
                <w:szCs w:val="18"/>
                <w:color w:val="auto"/>
              </w:rPr>
              <w:t>Decreases recorded as a benefit to income tax provision</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6,508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0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Increases recorded to income tax provision</w:t>
            </w: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(2,218)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(42,149)</w:t>
            </w:r>
          </w:p>
        </w:tc>
      </w:tr>
      <w:tr>
        <w:trPr>
          <w:trHeight w:val="196"/>
        </w:trPr>
        <w:tc>
          <w:tcPr>
            <w:tcW w:w="6060" w:type="dxa"/>
            <w:vAlign w:val="bottom"/>
          </w:tcPr>
          <w:p>
            <w:pPr>
              <w:spacing w:after="0" w:line="196" w:lineRule="exact"/>
              <w:rPr>
                <w:sz w:val="20"/>
                <w:szCs w:val="20"/>
                <w:color w:val="auto"/>
              </w:rPr>
            </w:pPr>
            <w:r>
              <w:rPr>
                <w:rFonts w:ascii="Arial" w:cs="Arial" w:eastAsia="Arial" w:hAnsi="Arial"/>
                <w:sz w:val="18"/>
                <w:szCs w:val="18"/>
                <w:color w:val="auto"/>
              </w:rPr>
              <w:t>Valuation allowance at the end of the year</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(96,366)</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(102,874)</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(100,656)</w:t>
            </w: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As of December 31, 2021 and 2020, the Company has approximately $ 98,069 and $159,395, respectively, of federal net operating loss ("NOL") carryforward available to offset future federal taxable income. The Company also has approximately $120,074 and $157,743 of state NOL carryforwards as of December 31, 2021 and 2020, respectively, available to offset future state taxable income. All of the Company’s tax years remain open to examination by federal and state taxing authorities. The Company’s pre-2018 federal NOLs expire in 2037 whereas the Company’s NOLs arising in 2018, and subsequent years, have an unlimited carryforward period. The Company’s state NOLs begin to expire in 2037. Utilization of the net operating loss carryforwards may be subject to a substantial limitation due to ownership change limitations that may occur in the future, as required by Section 382 of the Internal Revenue Code of 1986, as amended (the “Code”), as well as similar state provisions. These ownership changes may limit the amount of net operating loss and tax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or public groups.</w:t>
      </w:r>
    </w:p>
    <w:p>
      <w:pPr>
        <w:spacing w:after="0" w:line="20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As of December 31, 2021 and 2020, the Company has federal tax credits of $168 and $1,603, respectively. These credits begin to expire in 2037.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FINANCIAL INSTRUMENTS</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Company primarily applies the market approach to determine the fair value of financial instruments that are measured at fair value on a recurring basis. There were no changes to its valuation techniques used to determine the fair value of financial instruments during the year ended December 31, 2020. The Company’s financial assets and liabilities which are measured at fair value on a recurring basis were comprised of cash, cash equivalents, and restricted cash of $235,059 and $229,381 as of December 31, 2021 and 2020, respectively, based on Level 1 inputs.</w:t>
      </w:r>
    </w:p>
    <w:p>
      <w:pPr>
        <w:spacing w:after="0" w:line="20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Company estimates the fair value of the warrant liability using the Black-Scholes option-pricing model at each balance sheet date or when specific events occur. As discussed in Note 13, in connection with the Company’s IPO the warrant fair value was updated on August 19, 2020 with the change in fair value recorded in current period earnings as other expense in the consolidated statement of operations and reclassified to equity. During the year ended December 31, 2020, a loss of $3,109 was recorded in other expense in the consolidated statements of operations due to the change in the fair value of the warrant liability.</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range of assumptions used to determine the fair value of the warrant liability through August 19, 2020 were as</w:t>
      </w:r>
    </w:p>
    <w:p>
      <w:pPr>
        <w:spacing w:after="0"/>
        <w:rPr>
          <w:sz w:val="20"/>
          <w:szCs w:val="20"/>
          <w:color w:val="auto"/>
        </w:rPr>
      </w:pPr>
      <w:r>
        <w:rPr>
          <w:rFonts w:ascii="Arial" w:cs="Arial" w:eastAsia="Arial" w:hAnsi="Arial"/>
          <w:sz w:val="18"/>
          <w:szCs w:val="18"/>
          <w:color w:val="auto"/>
        </w:rPr>
        <w:t>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4420" w:type="dxa"/>
            <w:vAlign w:val="bottom"/>
          </w:tcPr>
          <w:p>
            <w:pPr>
              <w:jc w:val="right"/>
              <w:spacing w:after="0" w:line="202" w:lineRule="exact"/>
              <w:rPr>
                <w:sz w:val="20"/>
                <w:szCs w:val="20"/>
                <w:color w:val="auto"/>
              </w:rPr>
            </w:pPr>
            <w:r>
              <w:rPr>
                <w:rFonts w:ascii="Arial" w:cs="Arial" w:eastAsia="Arial" w:hAnsi="Arial"/>
                <w:sz w:val="18"/>
                <w:szCs w:val="18"/>
                <w:color w:val="auto"/>
              </w:rPr>
              <w:t>54.2% - 68.8 %</w:t>
            </w:r>
          </w:p>
        </w:tc>
      </w:tr>
      <w:tr>
        <w:trPr>
          <w:trHeight w:val="203"/>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4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0.17% - 1.56 %</w:t>
            </w: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Lack of marketability discount</w:t>
            </w:r>
          </w:p>
        </w:tc>
        <w:tc>
          <w:tcPr>
            <w:tcW w:w="4420" w:type="dxa"/>
            <w:vAlign w:val="bottom"/>
          </w:tcPr>
          <w:p>
            <w:pPr>
              <w:jc w:val="right"/>
              <w:spacing w:after="0" w:line="202" w:lineRule="exact"/>
              <w:rPr>
                <w:sz w:val="20"/>
                <w:szCs w:val="20"/>
                <w:color w:val="auto"/>
              </w:rPr>
            </w:pPr>
            <w:r>
              <w:rPr>
                <w:rFonts w:ascii="Arial" w:cs="Arial" w:eastAsia="Arial" w:hAnsi="Arial"/>
                <w:sz w:val="18"/>
                <w:szCs w:val="18"/>
                <w:color w:val="auto"/>
              </w:rPr>
              <w:t>0.0 %</w:t>
            </w:r>
          </w:p>
        </w:tc>
      </w:tr>
      <w:tr>
        <w:trPr>
          <w:trHeight w:val="203"/>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(years)</w:t>
            </w:r>
          </w:p>
        </w:tc>
        <w:tc>
          <w:tcPr>
            <w:tcW w:w="44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1 - 4.5</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RETIREMENT PLAN</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Company formed a 401(k) defined contribution savings plan (the “401(k) Plan”) on January 1, 2021. The 401(k) Plan is for the benefit of all qualifying employees and permits voluntary contributions by employees limited by the IRS-imposed maximum. Employer contributions were $2,479 for 2021.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RELATED-PARTY TRANSACTIONS</w:t>
      </w:r>
    </w:p>
    <w:p>
      <w:pPr>
        <w:spacing w:after="0" w:line="23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Company was party to a management agreement for professional services provided by a related party, Paragon. The related party is an entity that shares common ownership with the Company. In addition, the Chairman of the Company’s board of directors was the President and owner of the entity. For the years ended December 31, 2021, 2020 and 2019, the Company incurred $284, $7,384 and $5,378, respectively, in management fee expense and other expenses to this related party, which are included in general and administrative expense in the consolidated statements of operations and comprehensive income (loss). The Company terminated the Management Services Agreement upon the consummation of its IPO. The Company is also party to a right of use agreement with the related party whereby it has access to and the right to use certain office space leased by the related party in Chicago, Illinois. In addition, the Company had participated in certain transactions with separate related parties that also share common ownership with the Company, primarily related to combined employee health plans. In August 2021, the Company paid a $ 2,300 advisory fee to Paragon in connection with the Blackstone Credit Agreement. $2,000 of this payment was recorded in debt issuance costs as a component of long-term debt, net and $300 was recorded in common stock issuance costs as a component of additional paid-in capital, within the consolidated balance sheet as of December 31, 2021. As of December 31, 2021 and 2020, respectively, the amounts due to related parties included in current liabilities were $0 and $0, respectively, and the amount included in other assets was $0 and $1,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234" w:lineRule="exact"/>
        <w:rPr>
          <w:sz w:val="20"/>
          <w:szCs w:val="20"/>
          <w:color w:val="auto"/>
        </w:rPr>
      </w:pPr>
    </w:p>
    <w:p>
      <w:pPr>
        <w:jc w:val="both"/>
        <w:ind w:right="540" w:firstLine="648"/>
        <w:spacing w:after="0"/>
        <w:rPr>
          <w:sz w:val="20"/>
          <w:szCs w:val="20"/>
          <w:color w:val="auto"/>
        </w:rPr>
      </w:pPr>
      <w:r>
        <w:rPr>
          <w:rFonts w:ascii="Arial" w:cs="Arial" w:eastAsia="Arial" w:hAnsi="Arial"/>
          <w:sz w:val="18"/>
          <w:szCs w:val="18"/>
          <w:color w:val="auto"/>
        </w:rPr>
        <w:t>Subsequent to the year ended December 31, 2021, the Company attained $500,000 in aggregate net sales of WAKIX in the United States, which triggered a $40,000 payment under the provisions of the License Agreement. The Company expects to make this payment in March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has evaluated the effectiveness of our disclosure controls and procedures as defined in Rules 13a-15(e) and 15d-15(e) under the Securities Exchange Act of 1934, as amended (the “Exchange Act”), as of the end of the period covered by this Annual Report on Form 10-K. Based on that evaluation, our principal executive officer and principal financial officer have concluded that, as of the end of the period covered by this Annual Report on Form 10-K,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the Company’s financial reporting, as defined in Rule 13a-15(f) of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generally accepted accounting principles in the United States of America.</w:t>
      </w:r>
    </w:p>
    <w:p>
      <w:pPr>
        <w:spacing w:after="0" w:line="19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As of December 31, 2021, our management assessed the effectiveness of our internal control over financial reporting using the criteria set forth by the Committee of Sponsoring Organizations of the Treadway Commission in Internal Control-Integrated Framework (2013). Based on this assessment, management, under the supervision and with the participation of our principal executive officer and principal financial officer, concluded that, as of December 31, 2021, our internal control over financial reporting was effective.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Harmony Biosciences Holdings, Inc.</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6"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We have audited the internal control over financial reporting of Harmony Biosciences, Inc. and subsidiary (the “Company”) as of December 31, 2021,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2021, based on criteria established in Internal Control — Integrated Framework (2013) issued by COSO.</w:t>
      </w:r>
    </w:p>
    <w:p>
      <w:pPr>
        <w:spacing w:after="0" w:line="20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2021, of the Company and our report dated February 28, 2022, expressed an unqualified opinion on those financial statements and included an explanatory paragraph regarding the Company’s adoption of a new accounting standard.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6"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r>
        <w:rPr>
          <w:rFonts w:ascii="Arial" w:cs="Arial" w:eastAsia="Arial" w:hAnsi="Arial"/>
          <w:sz w:val="17"/>
          <w:szCs w:val="17"/>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Chicago, Illinois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4"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2021 that have materially affected, or are reasonably likely to materially affect, our internal control over financial reporting.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3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Disclosures Regarding Foreign Jurisdictions that Prevent Inspections.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information required by this item will be set forth in our Proxy Statement for the 2022 Annual Meeting of Stockholders and is incorporated by reference. The Proxy Statement will be filed with the SEC within 120 days of the fiscal year ended December 31, 2021.</w:t>
      </w:r>
    </w:p>
    <w:p>
      <w:pPr>
        <w:spacing w:after="0" w:line="20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is posted on the investor relations page on our website which is located at https://ir.harmonybiosciences.com. We will post any amendments to our code of business conduct and ethics other than technical, administrative or other non-substantive amendments, or waivers of its requirements, on our website or in a Form 8-K filed with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information required by this item will be set forth in our Proxy Statement for the 2022 Annual Meeting of Stockholders and is incorporated herein by reference. The Proxy Statement will be filed with the SEC within 120 days of the fiscal year ended December 31,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information required by this item will be set forth in our Proxy Statement for the 2022 Annual Meeting of Stockholders and is incorporated herein by reference. The Proxy Statement will be filed with the SEC within 120 days of the fiscal year ended December 31,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information required by this item will be set forth in our Proxy Statement for the 2022 Annual Meeting of Stockholders and is incorporated herein by reference. The Proxy Statement will be filed with the SEC within 120 days of the fiscal year ended December 31,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information required by this item will be set forth in our Proxy Statement for the 2022 Annual Meeting of Stockholders and is incorporated herein by reference. The Proxy Statement will be filed with the SEC within 120 days of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23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“Part II—Item 8. Financial Statements and Supplementary Data.—Index to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All financial statement schedules have been omitted as the information is not required under the related instructions or is not applicable or because the information required is already included in the financial statements or the notes those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23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The documents set forth below are filed herewith or incorporated herein by reference to the location indicated.</w:t>
      </w:r>
    </w:p>
    <w:p>
      <w:pPr>
        <w:spacing w:after="0" w:line="19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Incorporated by Reference</w:t>
            </w: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Filed</w:t>
            </w:r>
          </w:p>
        </w:tc>
      </w:tr>
      <w:tr>
        <w:trPr>
          <w:trHeight w:val="156"/>
        </w:trPr>
        <w:tc>
          <w:tcPr>
            <w:tcW w:w="20" w:type="dxa"/>
            <w:vAlign w:val="bottom"/>
          </w:tcPr>
          <w:p>
            <w:pPr>
              <w:spacing w:after="0"/>
              <w:rPr>
                <w:sz w:val="13"/>
                <w:szCs w:val="13"/>
                <w:color w:val="auto"/>
              </w:rPr>
            </w:pPr>
          </w:p>
        </w:tc>
        <w:tc>
          <w:tcPr>
            <w:tcW w:w="130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No.</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80" w:type="dxa"/>
            <w:vAlign w:val="bottom"/>
            <w:gridSpan w:val="22"/>
          </w:tcPr>
          <w:p>
            <w:pPr>
              <w:ind w:left="880"/>
              <w:spacing w:after="0" w:line="155" w:lineRule="exact"/>
              <w:rPr>
                <w:sz w:val="20"/>
                <w:szCs w:val="20"/>
                <w:color w:val="auto"/>
              </w:rPr>
            </w:pPr>
            <w:r>
              <w:rPr>
                <w:rFonts w:ascii="Arial" w:cs="Arial" w:eastAsia="Arial" w:hAnsi="Arial"/>
                <w:sz w:val="14"/>
                <w:szCs w:val="14"/>
                <w:b w:val="1"/>
                <w:bCs w:val="1"/>
                <w:color w:val="auto"/>
              </w:rPr>
              <w:t>Exhibit Description</w:t>
            </w:r>
          </w:p>
        </w:tc>
        <w:tc>
          <w:tcPr>
            <w:tcW w:w="740" w:type="dxa"/>
            <w:vAlign w:val="bottom"/>
          </w:tcPr>
          <w:p>
            <w:pPr>
              <w:jc w:val="center"/>
              <w:ind w:left="132"/>
              <w:spacing w:after="0" w:line="155" w:lineRule="exact"/>
              <w:rPr>
                <w:sz w:val="20"/>
                <w:szCs w:val="20"/>
                <w:color w:val="auto"/>
              </w:rPr>
            </w:pPr>
            <w:r>
              <w:rPr>
                <w:rFonts w:ascii="Arial" w:cs="Arial" w:eastAsia="Arial" w:hAnsi="Arial"/>
                <w:sz w:val="14"/>
                <w:szCs w:val="14"/>
                <w:b w:val="1"/>
                <w:bCs w:val="1"/>
                <w:color w:val="auto"/>
              </w:rPr>
              <w:t>Form</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3"/>
          </w:tcPr>
          <w:p>
            <w:pPr>
              <w:jc w:val="center"/>
              <w:ind w:right="420"/>
              <w:spacing w:after="0" w:line="155" w:lineRule="exact"/>
              <w:rPr>
                <w:sz w:val="20"/>
                <w:szCs w:val="20"/>
                <w:color w:val="auto"/>
              </w:rPr>
            </w:pPr>
            <w:r>
              <w:rPr>
                <w:rFonts w:ascii="Arial" w:cs="Arial" w:eastAsia="Arial" w:hAnsi="Arial"/>
                <w:sz w:val="14"/>
                <w:szCs w:val="14"/>
                <w:b w:val="1"/>
                <w:bCs w:val="1"/>
                <w:color w:val="auto"/>
                <w:w w:val="98"/>
              </w:rPr>
              <w:t>Date</w:t>
            </w:r>
          </w:p>
        </w:tc>
        <w:tc>
          <w:tcPr>
            <w:tcW w:w="760" w:type="dxa"/>
            <w:vAlign w:val="bottom"/>
          </w:tcPr>
          <w:p>
            <w:pPr>
              <w:spacing w:after="0" w:line="155" w:lineRule="exact"/>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3"/>
                <w:szCs w:val="13"/>
                <w:color w:val="auto"/>
              </w:rPr>
            </w:pPr>
          </w:p>
        </w:tc>
        <w:tc>
          <w:tcPr>
            <w:tcW w:w="9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Herewith</w:t>
            </w:r>
          </w:p>
        </w:tc>
      </w:tr>
      <w:tr>
        <w:trPr>
          <w:trHeight w:val="169"/>
        </w:trPr>
        <w:tc>
          <w:tcPr>
            <w:tcW w:w="20" w:type="dxa"/>
            <w:vAlign w:val="bottom"/>
          </w:tcPr>
          <w:p>
            <w:pPr>
              <w:spacing w:after="0"/>
              <w:rPr>
                <w:sz w:val="14"/>
                <w:szCs w:val="14"/>
                <w:color w:val="auto"/>
              </w:rPr>
            </w:pPr>
          </w:p>
        </w:tc>
        <w:tc>
          <w:tcPr>
            <w:tcW w:w="11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4"/>
                <w:szCs w:val="14"/>
                <w:color w:val="auto"/>
              </w:rPr>
            </w:pPr>
          </w:p>
        </w:tc>
        <w:tc>
          <w:tcPr>
            <w:tcW w:w="3900" w:type="dxa"/>
            <w:vAlign w:val="bottom"/>
            <w:tcBorders>
              <w:top w:val="single" w:sz="8" w:color="auto"/>
            </w:tcBorders>
            <w:gridSpan w:val="23"/>
          </w:tcPr>
          <w:p>
            <w:pPr>
              <w:spacing w:after="0" w:line="169" w:lineRule="exact"/>
              <w:rPr>
                <w:rFonts w:ascii="Arial" w:cs="Arial" w:eastAsia="Arial" w:hAnsi="Arial"/>
                <w:sz w:val="18"/>
                <w:szCs w:val="18"/>
                <w:color w:val="0000EE"/>
              </w:rPr>
            </w:pPr>
            <w:hyperlink r:id="rId137">
              <w:r>
                <w:rPr>
                  <w:rFonts w:ascii="Arial" w:cs="Arial" w:eastAsia="Arial" w:hAnsi="Arial"/>
                  <w:sz w:val="18"/>
                  <w:szCs w:val="18"/>
                  <w:color w:val="0000EE"/>
                </w:rPr>
                <w:t>Amended and Restated Certificate of</w:t>
              </w:r>
            </w:hyperlink>
          </w:p>
        </w:tc>
        <w:tc>
          <w:tcPr>
            <w:tcW w:w="180" w:type="dxa"/>
            <w:vAlign w:val="bottom"/>
          </w:tcPr>
          <w:p>
            <w:pPr>
              <w:spacing w:after="0"/>
              <w:rPr>
                <w:sz w:val="14"/>
                <w:szCs w:val="14"/>
                <w:color w:val="auto"/>
              </w:rPr>
            </w:pPr>
          </w:p>
        </w:tc>
        <w:tc>
          <w:tcPr>
            <w:tcW w:w="740" w:type="dxa"/>
            <w:vAlign w:val="bottom"/>
            <w:tcBorders>
              <w:top w:val="single" w:sz="8" w:color="auto"/>
            </w:tcBorders>
          </w:tcPr>
          <w:p>
            <w:pPr>
              <w:jc w:val="center"/>
              <w:ind w:left="132"/>
              <w:spacing w:after="0" w:line="169" w:lineRule="exact"/>
              <w:rPr>
                <w:sz w:val="20"/>
                <w:szCs w:val="20"/>
                <w:color w:val="auto"/>
              </w:rPr>
            </w:pPr>
            <w:r>
              <w:rPr>
                <w:rFonts w:ascii="Arial" w:cs="Arial" w:eastAsia="Arial" w:hAnsi="Arial"/>
                <w:sz w:val="18"/>
                <w:szCs w:val="18"/>
                <w:color w:val="auto"/>
                <w:w w:val="99"/>
              </w:rPr>
              <w:t>8-K</w:t>
            </w:r>
          </w:p>
        </w:tc>
        <w:tc>
          <w:tcPr>
            <w:tcW w:w="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August 21,</w:t>
            </w: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ind w:right="152"/>
              <w:spacing w:after="0" w:line="169" w:lineRule="exact"/>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6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r:id="rId137">
              <w:r>
                <w:rPr>
                  <w:rFonts w:ascii="Arial" w:cs="Arial" w:eastAsia="Arial" w:hAnsi="Arial"/>
                  <w:sz w:val="18"/>
                  <w:szCs w:val="18"/>
                  <w:color w:val="0000EE"/>
                  <w:w w:val="99"/>
                </w:rPr>
                <w:t>Incorporation of Harmony Biosciences Holdings,</w:t>
              </w:r>
            </w:hyperlink>
          </w:p>
        </w:tc>
        <w:tc>
          <w:tcPr>
            <w:tcW w:w="22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gridSpan w:val="3"/>
          </w:tcPr>
          <w:p>
            <w:pPr>
              <w:jc w:val="center"/>
              <w:ind w:left="332"/>
              <w:spacing w:after="0" w:line="182" w:lineRule="exact"/>
              <w:rPr>
                <w:sz w:val="20"/>
                <w:szCs w:val="20"/>
                <w:color w:val="auto"/>
              </w:rPr>
            </w:pPr>
            <w:r>
              <w:rPr>
                <w:rFonts w:ascii="Arial" w:cs="Arial" w:eastAsia="Arial" w:hAnsi="Arial"/>
                <w:sz w:val="18"/>
                <w:szCs w:val="18"/>
                <w:color w:val="auto"/>
              </w:rPr>
              <w:t>2020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80" w:type="dxa"/>
            <w:vAlign w:val="bottom"/>
            <w:gridSpan w:val="24"/>
          </w:tcPr>
          <w:p>
            <w:pPr>
              <w:spacing w:after="0" w:line="182" w:lineRule="exact"/>
              <w:rPr>
                <w:rFonts w:ascii="Arial" w:cs="Arial" w:eastAsia="Arial" w:hAnsi="Arial"/>
                <w:sz w:val="18"/>
                <w:szCs w:val="18"/>
                <w:color w:val="0000EE"/>
              </w:rPr>
            </w:pPr>
            <w:hyperlink r:id="rId137">
              <w:r>
                <w:rPr>
                  <w:rFonts w:ascii="Arial" w:cs="Arial" w:eastAsia="Arial" w:hAnsi="Arial"/>
                  <w:sz w:val="18"/>
                  <w:szCs w:val="18"/>
                  <w:color w:val="0000EE"/>
                </w:rPr>
                <w:t>Inc.</w:t>
              </w:r>
            </w:hyperlink>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4080" w:type="dxa"/>
            <w:vAlign w:val="bottom"/>
            <w:gridSpan w:val="24"/>
          </w:tcPr>
          <w:p>
            <w:pPr>
              <w:spacing w:after="0"/>
              <w:rPr>
                <w:rFonts w:ascii="Arial" w:cs="Arial" w:eastAsia="Arial" w:hAnsi="Arial"/>
                <w:sz w:val="18"/>
                <w:szCs w:val="18"/>
                <w:color w:val="0000EE"/>
              </w:rPr>
            </w:pPr>
            <w:hyperlink r:id="rId138">
              <w:r>
                <w:rPr>
                  <w:rFonts w:ascii="Arial" w:cs="Arial" w:eastAsia="Arial" w:hAnsi="Arial"/>
                  <w:sz w:val="18"/>
                  <w:szCs w:val="18"/>
                  <w:color w:val="0000EE"/>
                </w:rPr>
                <w:t>Amended and Restated Bylaws.</w:t>
              </w:r>
            </w:hyperlink>
          </w:p>
        </w:tc>
        <w:tc>
          <w:tcPr>
            <w:tcW w:w="740" w:type="dxa"/>
            <w:vAlign w:val="bottom"/>
          </w:tcPr>
          <w:p>
            <w:pPr>
              <w:jc w:val="center"/>
              <w:ind w:left="132"/>
              <w:spacing w:after="0"/>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August 21,</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w w:val="95"/>
              </w:rPr>
              <w:t>3.2</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2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6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gridSpan w:val="3"/>
          </w:tcPr>
          <w:p>
            <w:pPr>
              <w:jc w:val="center"/>
              <w:ind w:left="332"/>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65"/>
        </w:trPr>
        <w:tc>
          <w:tcPr>
            <w:tcW w:w="1140" w:type="dxa"/>
            <w:vAlign w:val="bottom"/>
            <w:gridSpan w:val="2"/>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4080" w:type="dxa"/>
            <w:vAlign w:val="bottom"/>
            <w:gridSpan w:val="24"/>
          </w:tcPr>
          <w:p>
            <w:pPr>
              <w:spacing w:after="0"/>
              <w:rPr>
                <w:rFonts w:ascii="Arial" w:cs="Arial" w:eastAsia="Arial" w:hAnsi="Arial"/>
                <w:sz w:val="18"/>
                <w:szCs w:val="18"/>
                <w:color w:val="0000EE"/>
              </w:rPr>
            </w:pPr>
            <w:hyperlink r:id="rId139">
              <w:r>
                <w:rPr>
                  <w:rFonts w:ascii="Arial" w:cs="Arial" w:eastAsia="Arial" w:hAnsi="Arial"/>
                  <w:sz w:val="18"/>
                  <w:szCs w:val="18"/>
                  <w:color w:val="0000EE"/>
                </w:rPr>
                <w:t>Form of Common Stock Certificate.</w:t>
              </w:r>
            </w:hyperlink>
          </w:p>
        </w:tc>
        <w:tc>
          <w:tcPr>
            <w:tcW w:w="740" w:type="dxa"/>
            <w:vAlign w:val="bottom"/>
          </w:tcPr>
          <w:p>
            <w:pPr>
              <w:jc w:val="center"/>
              <w:ind w:left="132"/>
              <w:spacing w:after="0"/>
              <w:rPr>
                <w:sz w:val="20"/>
                <w:szCs w:val="20"/>
                <w:color w:val="auto"/>
              </w:rPr>
            </w:pPr>
            <w:r>
              <w:rPr>
                <w:rFonts w:ascii="Arial" w:cs="Arial" w:eastAsia="Arial" w:hAnsi="Arial"/>
                <w:sz w:val="18"/>
                <w:szCs w:val="18"/>
                <w:color w:val="auto"/>
                <w:w w:val="97"/>
              </w:rPr>
              <w:t>S-1/A</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rPr>
              <w:t>August 6,</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w w:val="95"/>
              </w:rPr>
              <w:t>4.1</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2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gridSpan w:val="3"/>
          </w:tcPr>
          <w:p>
            <w:pPr>
              <w:jc w:val="center"/>
              <w:ind w:left="332"/>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65"/>
        </w:trPr>
        <w:tc>
          <w:tcPr>
            <w:tcW w:w="1140" w:type="dxa"/>
            <w:vAlign w:val="bottom"/>
            <w:gridSpan w:val="2"/>
          </w:tcPr>
          <w:p>
            <w:pPr>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4080" w:type="dxa"/>
            <w:vAlign w:val="bottom"/>
            <w:gridSpan w:val="24"/>
          </w:tcPr>
          <w:p>
            <w:pPr>
              <w:spacing w:after="0"/>
              <w:rPr>
                <w:rFonts w:ascii="Arial" w:cs="Arial" w:eastAsia="Arial" w:hAnsi="Arial"/>
                <w:sz w:val="18"/>
                <w:szCs w:val="18"/>
                <w:color w:val="0000EE"/>
              </w:rPr>
            </w:pPr>
            <w:hyperlink r:id="rId140">
              <w:r>
                <w:rPr>
                  <w:rFonts w:ascii="Arial" w:cs="Arial" w:eastAsia="Arial" w:hAnsi="Arial"/>
                  <w:sz w:val="18"/>
                  <w:szCs w:val="18"/>
                  <w:color w:val="0000EE"/>
                </w:rPr>
                <w:t>Description of Registrant’s Securities.</w:t>
              </w:r>
            </w:hyperlink>
          </w:p>
        </w:tc>
        <w:tc>
          <w:tcPr>
            <w:tcW w:w="740" w:type="dxa"/>
            <w:vAlign w:val="bottom"/>
          </w:tcPr>
          <w:p>
            <w:pPr>
              <w:jc w:val="center"/>
              <w:ind w:left="152"/>
              <w:spacing w:after="0"/>
              <w:rPr>
                <w:sz w:val="20"/>
                <w:szCs w:val="20"/>
                <w:color w:val="auto"/>
              </w:rPr>
            </w:pPr>
            <w:r>
              <w:rPr>
                <w:rFonts w:ascii="Arial" w:cs="Arial" w:eastAsia="Arial" w:hAnsi="Arial"/>
                <w:sz w:val="18"/>
                <w:szCs w:val="18"/>
                <w:color w:val="auto"/>
                <w:w w:val="99"/>
              </w:rPr>
              <w:t>10-K</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8"/>
                <w:szCs w:val="18"/>
                <w:color w:val="auto"/>
                <w:w w:val="99"/>
              </w:rPr>
              <w:t>March 25,</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w w:val="95"/>
              </w:rPr>
              <w:t>4.3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2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gridSpan w:val="3"/>
          </w:tcPr>
          <w:p>
            <w:pPr>
              <w:jc w:val="center"/>
              <w:ind w:left="332"/>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64"/>
        </w:trPr>
        <w:tc>
          <w:tcPr>
            <w:tcW w:w="1140" w:type="dxa"/>
            <w:vAlign w:val="bottom"/>
            <w:gridSpan w:val="2"/>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3720" w:type="dxa"/>
            <w:vAlign w:val="bottom"/>
            <w:tcBorders>
              <w:bottom w:val="single" w:sz="8" w:color="0000EE"/>
            </w:tcBorders>
            <w:gridSpan w:val="19"/>
          </w:tcPr>
          <w:p>
            <w:pPr>
              <w:spacing w:after="0"/>
              <w:rPr>
                <w:rFonts w:ascii="Arial" w:cs="Arial" w:eastAsia="Arial" w:hAnsi="Arial"/>
                <w:sz w:val="18"/>
                <w:szCs w:val="18"/>
                <w:color w:val="0000EE"/>
                <w:w w:val="99"/>
              </w:rPr>
            </w:pPr>
            <w:hyperlink r:id="rId141">
              <w:r>
                <w:rPr>
                  <w:rFonts w:ascii="Arial" w:cs="Arial" w:eastAsia="Arial" w:hAnsi="Arial"/>
                  <w:sz w:val="18"/>
                  <w:szCs w:val="18"/>
                  <w:color w:val="0000EE"/>
                  <w:w w:val="99"/>
                </w:rPr>
                <w:t>Credit Agreement, dated as of August 9, 2021,</w:t>
              </w:r>
            </w:hyperlink>
          </w:p>
        </w:tc>
        <w:tc>
          <w:tcPr>
            <w:tcW w:w="360" w:type="dxa"/>
            <w:vAlign w:val="bottom"/>
            <w:gridSpan w:val="5"/>
          </w:tcPr>
          <w:p>
            <w:pPr>
              <w:spacing w:after="0"/>
              <w:rPr>
                <w:sz w:val="24"/>
                <w:szCs w:val="24"/>
                <w:color w:val="auto"/>
              </w:rPr>
            </w:pPr>
          </w:p>
        </w:tc>
        <w:tc>
          <w:tcPr>
            <w:tcW w:w="740" w:type="dxa"/>
            <w:vAlign w:val="bottom"/>
          </w:tcPr>
          <w:p>
            <w:pPr>
              <w:jc w:val="center"/>
              <w:ind w:left="132"/>
              <w:spacing w:after="0"/>
              <w:rPr>
                <w:sz w:val="20"/>
                <w:szCs w:val="20"/>
                <w:color w:val="auto"/>
              </w:rPr>
            </w:pPr>
            <w:r>
              <w:rPr>
                <w:rFonts w:ascii="Arial" w:cs="Arial" w:eastAsia="Arial" w:hAnsi="Arial"/>
                <w:sz w:val="18"/>
                <w:szCs w:val="18"/>
                <w:color w:val="auto"/>
                <w:w w:val="99"/>
              </w:rPr>
              <w:t>10-Q</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August 10,</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4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r:id="rId141">
              <w:r>
                <w:rPr>
                  <w:rFonts w:ascii="Arial" w:cs="Arial" w:eastAsia="Arial" w:hAnsi="Arial"/>
                  <w:sz w:val="18"/>
                  <w:szCs w:val="18"/>
                  <w:color w:val="0000EE"/>
                  <w:w w:val="99"/>
                </w:rPr>
                <w:t>among Harmony Biosciences, Inc., as Borrower,</w:t>
              </w:r>
            </w:hyperlink>
          </w:p>
        </w:tc>
        <w:tc>
          <w:tcPr>
            <w:tcW w:w="240" w:type="dxa"/>
            <w:vAlign w:val="bottom"/>
            <w:gridSpan w:val="4"/>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gridSpan w:val="3"/>
          </w:tcPr>
          <w:p>
            <w:pPr>
              <w:jc w:val="center"/>
              <w:ind w:left="332"/>
              <w:spacing w:after="0" w:line="182" w:lineRule="exact"/>
              <w:rPr>
                <w:sz w:val="20"/>
                <w:szCs w:val="20"/>
                <w:color w:val="auto"/>
              </w:rPr>
            </w:pPr>
            <w:r>
              <w:rPr>
                <w:rFonts w:ascii="Arial" w:cs="Arial" w:eastAsia="Arial" w:hAnsi="Arial"/>
                <w:sz w:val="18"/>
                <w:szCs w:val="18"/>
                <w:color w:val="auto"/>
              </w:rPr>
              <w:t>2021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6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r:id="rId141">
              <w:r>
                <w:rPr>
                  <w:rFonts w:ascii="Arial" w:cs="Arial" w:eastAsia="Arial" w:hAnsi="Arial"/>
                  <w:sz w:val="18"/>
                  <w:szCs w:val="18"/>
                  <w:color w:val="0000EE"/>
                  <w:w w:val="99"/>
                </w:rPr>
                <w:t>Harmony Biosciences, LLC, as Guarantor, the</w:t>
              </w:r>
            </w:hyperlink>
          </w:p>
        </w:tc>
        <w:tc>
          <w:tcPr>
            <w:tcW w:w="420" w:type="dxa"/>
            <w:vAlign w:val="bottom"/>
            <w:gridSpan w:val="7"/>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0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r:id="rId141">
              <w:r>
                <w:rPr>
                  <w:rFonts w:ascii="Arial" w:cs="Arial" w:eastAsia="Arial" w:hAnsi="Arial"/>
                  <w:sz w:val="18"/>
                  <w:szCs w:val="18"/>
                  <w:color w:val="0000EE"/>
                  <w:w w:val="99"/>
                </w:rPr>
                <w:t>Guarantors from time to time party thereto, the</w:t>
              </w:r>
            </w:hyperlink>
          </w:p>
        </w:tc>
        <w:tc>
          <w:tcPr>
            <w:tcW w:w="380" w:type="dxa"/>
            <w:vAlign w:val="bottom"/>
            <w:gridSpan w:val="6"/>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0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r:id="rId141">
              <w:r>
                <w:rPr>
                  <w:rFonts w:ascii="Arial" w:cs="Arial" w:eastAsia="Arial" w:hAnsi="Arial"/>
                  <w:sz w:val="18"/>
                  <w:szCs w:val="18"/>
                  <w:color w:val="0000EE"/>
                  <w:w w:val="99"/>
                </w:rPr>
                <w:t>Lenders from time to time party thereto, and</w:t>
              </w:r>
            </w:hyperlink>
          </w:p>
        </w:tc>
        <w:tc>
          <w:tcPr>
            <w:tcW w:w="580" w:type="dxa"/>
            <w:vAlign w:val="bottom"/>
            <w:gridSpan w:val="10"/>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80" w:type="dxa"/>
            <w:vAlign w:val="bottom"/>
            <w:gridSpan w:val="24"/>
          </w:tcPr>
          <w:p>
            <w:pPr>
              <w:spacing w:after="0" w:line="182" w:lineRule="exact"/>
              <w:rPr>
                <w:rFonts w:ascii="Arial" w:cs="Arial" w:eastAsia="Arial" w:hAnsi="Arial"/>
                <w:sz w:val="18"/>
                <w:szCs w:val="18"/>
                <w:color w:val="0000EE"/>
              </w:rPr>
            </w:pPr>
            <w:hyperlink r:id="rId141">
              <w:r>
                <w:rPr>
                  <w:rFonts w:ascii="Arial" w:cs="Arial" w:eastAsia="Arial" w:hAnsi="Arial"/>
                  <w:sz w:val="18"/>
                  <w:szCs w:val="18"/>
                  <w:color w:val="0000EE"/>
                </w:rPr>
                <w:t>Wilmington Trust, National Association, as</w:t>
              </w:r>
            </w:hyperlink>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r:id="rId141">
              <w:r>
                <w:rPr>
                  <w:rFonts w:ascii="Arial" w:cs="Arial" w:eastAsia="Arial" w:hAnsi="Arial"/>
                  <w:sz w:val="18"/>
                  <w:szCs w:val="18"/>
                  <w:color w:val="0000EE"/>
                  <w:w w:val="98"/>
                </w:rPr>
                <w:t>Administrative Agent.</w:t>
              </w:r>
            </w:hyperlink>
          </w:p>
        </w:tc>
        <w:tc>
          <w:tcPr>
            <w:tcW w:w="1660" w:type="dxa"/>
            <w:vAlign w:val="bottom"/>
            <w:tcBorders>
              <w:top w:val="single" w:sz="8" w:color="0000EE"/>
            </w:tcBorders>
            <w:gridSpan w:val="8"/>
          </w:tcPr>
          <w:p>
            <w:pPr>
              <w:spacing w:after="0"/>
              <w:rPr>
                <w:sz w:val="15"/>
                <w:szCs w:val="15"/>
                <w:color w:val="auto"/>
              </w:rPr>
            </w:pPr>
          </w:p>
        </w:tc>
        <w:tc>
          <w:tcPr>
            <w:tcW w:w="720" w:type="dxa"/>
            <w:vAlign w:val="bottom"/>
            <w:gridSpan w:val="12"/>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4080" w:type="dxa"/>
            <w:vAlign w:val="bottom"/>
            <w:gridSpan w:val="24"/>
          </w:tcPr>
          <w:p>
            <w:pPr>
              <w:spacing w:after="0"/>
              <w:rPr>
                <w:rFonts w:ascii="Arial" w:cs="Arial" w:eastAsia="Arial" w:hAnsi="Arial"/>
                <w:sz w:val="18"/>
                <w:szCs w:val="18"/>
                <w:color w:val="0000EE"/>
              </w:rPr>
            </w:pPr>
            <w:hyperlink r:id="rId142">
              <w:r>
                <w:rPr>
                  <w:rFonts w:ascii="Arial" w:cs="Arial" w:eastAsia="Arial" w:hAnsi="Arial"/>
                  <w:sz w:val="18"/>
                  <w:szCs w:val="18"/>
                  <w:color w:val="0000EE"/>
                </w:rPr>
                <w:t>Pledge and Security Agreement, dated as of</w:t>
              </w:r>
            </w:hyperlink>
          </w:p>
        </w:tc>
        <w:tc>
          <w:tcPr>
            <w:tcW w:w="740" w:type="dxa"/>
            <w:vAlign w:val="bottom"/>
          </w:tcPr>
          <w:p>
            <w:pPr>
              <w:jc w:val="center"/>
              <w:ind w:left="132"/>
              <w:spacing w:after="0"/>
              <w:rPr>
                <w:sz w:val="20"/>
                <w:szCs w:val="20"/>
                <w:color w:val="auto"/>
              </w:rPr>
            </w:pPr>
            <w:r>
              <w:rPr>
                <w:rFonts w:ascii="Arial" w:cs="Arial" w:eastAsia="Arial" w:hAnsi="Arial"/>
                <w:sz w:val="18"/>
                <w:szCs w:val="18"/>
                <w:color w:val="auto"/>
                <w:w w:val="99"/>
              </w:rPr>
              <w:t>10-Q</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August 10,</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0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r:id="rId142">
              <w:r>
                <w:rPr>
                  <w:rFonts w:ascii="Arial" w:cs="Arial" w:eastAsia="Arial" w:hAnsi="Arial"/>
                  <w:sz w:val="18"/>
                  <w:szCs w:val="18"/>
                  <w:color w:val="0000EE"/>
                  <w:w w:val="99"/>
                </w:rPr>
                <w:t>August 9, 2021, among Harmony Biosciences,</w:t>
              </w:r>
            </w:hyperlink>
          </w:p>
        </w:tc>
        <w:tc>
          <w:tcPr>
            <w:tcW w:w="380" w:type="dxa"/>
            <w:vAlign w:val="bottom"/>
            <w:gridSpan w:val="6"/>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gridSpan w:val="3"/>
          </w:tcPr>
          <w:p>
            <w:pPr>
              <w:jc w:val="center"/>
              <w:ind w:left="332"/>
              <w:spacing w:after="0" w:line="182" w:lineRule="exact"/>
              <w:rPr>
                <w:sz w:val="20"/>
                <w:szCs w:val="20"/>
                <w:color w:val="auto"/>
              </w:rPr>
            </w:pPr>
            <w:r>
              <w:rPr>
                <w:rFonts w:ascii="Arial" w:cs="Arial" w:eastAsia="Arial" w:hAnsi="Arial"/>
                <w:sz w:val="18"/>
                <w:szCs w:val="18"/>
                <w:color w:val="auto"/>
              </w:rPr>
              <w:t>2021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80" w:type="dxa"/>
            <w:vAlign w:val="bottom"/>
            <w:gridSpan w:val="24"/>
          </w:tcPr>
          <w:p>
            <w:pPr>
              <w:spacing w:after="0" w:line="182" w:lineRule="exact"/>
              <w:rPr>
                <w:rFonts w:ascii="Arial" w:cs="Arial" w:eastAsia="Arial" w:hAnsi="Arial"/>
                <w:sz w:val="18"/>
                <w:szCs w:val="18"/>
                <w:color w:val="0000EE"/>
              </w:rPr>
            </w:pPr>
            <w:hyperlink r:id="rId142">
              <w:r>
                <w:rPr>
                  <w:rFonts w:ascii="Arial" w:cs="Arial" w:eastAsia="Arial" w:hAnsi="Arial"/>
                  <w:sz w:val="18"/>
                  <w:szCs w:val="18"/>
                  <w:color w:val="0000EE"/>
                </w:rPr>
                <w:t>Inc. and Harmony Biosciences, LLC, as</w:t>
              </w:r>
            </w:hyperlink>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4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r:id="rId142">
              <w:r>
                <w:rPr>
                  <w:rFonts w:ascii="Arial" w:cs="Arial" w:eastAsia="Arial" w:hAnsi="Arial"/>
                  <w:sz w:val="18"/>
                  <w:szCs w:val="18"/>
                  <w:color w:val="0000EE"/>
                  <w:w w:val="99"/>
                </w:rPr>
                <w:t>Grantors, the Grantors from time to time party</w:t>
              </w:r>
            </w:hyperlink>
          </w:p>
        </w:tc>
        <w:tc>
          <w:tcPr>
            <w:tcW w:w="440" w:type="dxa"/>
            <w:vAlign w:val="bottom"/>
            <w:gridSpan w:val="8"/>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142">
              <w:r>
                <w:rPr>
                  <w:rFonts w:ascii="Arial" w:cs="Arial" w:eastAsia="Arial" w:hAnsi="Arial"/>
                  <w:sz w:val="18"/>
                  <w:szCs w:val="18"/>
                  <w:color w:val="0000EE"/>
                  <w:w w:val="99"/>
                </w:rPr>
                <w:t>thereto, and Wilmington Trust, National</w:t>
              </w:r>
            </w:hyperlink>
          </w:p>
        </w:tc>
        <w:tc>
          <w:tcPr>
            <w:tcW w:w="940" w:type="dxa"/>
            <w:vAlign w:val="bottom"/>
            <w:gridSpan w:val="14"/>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r:id="rId142">
              <w:r>
                <w:rPr>
                  <w:rFonts w:ascii="Arial" w:cs="Arial" w:eastAsia="Arial" w:hAnsi="Arial"/>
                  <w:sz w:val="18"/>
                  <w:szCs w:val="18"/>
                  <w:color w:val="0000EE"/>
                  <w:w w:val="99"/>
                </w:rPr>
                <w:t>Association, as Administrative Agent.</w:t>
              </w:r>
            </w:hyperlink>
          </w:p>
        </w:tc>
        <w:tc>
          <w:tcPr>
            <w:tcW w:w="1120" w:type="dxa"/>
            <w:vAlign w:val="bottom"/>
            <w:gridSpan w:val="16"/>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4080" w:type="dxa"/>
            <w:vAlign w:val="bottom"/>
            <w:gridSpan w:val="24"/>
          </w:tcPr>
          <w:p>
            <w:pPr>
              <w:spacing w:after="0"/>
              <w:rPr>
                <w:rFonts w:ascii="Arial" w:cs="Arial" w:eastAsia="Arial" w:hAnsi="Arial"/>
                <w:sz w:val="18"/>
                <w:szCs w:val="18"/>
                <w:color w:val="0000EE"/>
              </w:rPr>
            </w:pPr>
            <w:hyperlink r:id="rId143">
              <w:r>
                <w:rPr>
                  <w:rFonts w:ascii="Arial" w:cs="Arial" w:eastAsia="Arial" w:hAnsi="Arial"/>
                  <w:sz w:val="18"/>
                  <w:szCs w:val="18"/>
                  <w:color w:val="0000EE"/>
                </w:rPr>
                <w:t>Harmony Biosciences Holdings, Inc. 2020</w:t>
              </w:r>
            </w:hyperlink>
          </w:p>
        </w:tc>
        <w:tc>
          <w:tcPr>
            <w:tcW w:w="740" w:type="dxa"/>
            <w:vAlign w:val="bottom"/>
          </w:tcPr>
          <w:p>
            <w:pPr>
              <w:jc w:val="center"/>
              <w:ind w:left="132"/>
              <w:spacing w:after="0"/>
              <w:rPr>
                <w:sz w:val="20"/>
                <w:szCs w:val="20"/>
                <w:color w:val="auto"/>
              </w:rPr>
            </w:pPr>
            <w:r>
              <w:rPr>
                <w:rFonts w:ascii="Arial" w:cs="Arial" w:eastAsia="Arial" w:hAnsi="Arial"/>
                <w:sz w:val="18"/>
                <w:szCs w:val="18"/>
                <w:color w:val="auto"/>
                <w:w w:val="99"/>
              </w:rPr>
              <w:t>S-8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August 21,</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2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143">
              <w:r>
                <w:rPr>
                  <w:rFonts w:ascii="Arial" w:cs="Arial" w:eastAsia="Arial" w:hAnsi="Arial"/>
                  <w:sz w:val="18"/>
                  <w:szCs w:val="18"/>
                  <w:color w:val="0000EE"/>
                </w:rPr>
                <w:t>Incentive Award Plan</w:t>
              </w:r>
            </w:hyperlink>
          </w:p>
        </w:tc>
        <w:tc>
          <w:tcPr>
            <w:tcW w:w="760" w:type="dxa"/>
            <w:vAlign w:val="bottom"/>
            <w:gridSpan w:val="13"/>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gridSpan w:val="3"/>
          </w:tcPr>
          <w:p>
            <w:pPr>
              <w:jc w:val="center"/>
              <w:ind w:left="332"/>
              <w:spacing w:after="0" w:line="182" w:lineRule="exact"/>
              <w:rPr>
                <w:sz w:val="20"/>
                <w:szCs w:val="20"/>
                <w:color w:val="auto"/>
              </w:rPr>
            </w:pPr>
            <w:r>
              <w:rPr>
                <w:rFonts w:ascii="Arial" w:cs="Arial" w:eastAsia="Arial" w:hAnsi="Arial"/>
                <w:sz w:val="18"/>
                <w:szCs w:val="18"/>
                <w:color w:val="auto"/>
              </w:rPr>
              <w:t>2020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740" w:type="dxa"/>
            <w:vAlign w:val="bottom"/>
            <w:gridSpan w:val="10"/>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3420" w:type="dxa"/>
            <w:vAlign w:val="bottom"/>
            <w:tcBorders>
              <w:bottom w:val="single" w:sz="8" w:color="0000EE"/>
            </w:tcBorders>
            <w:gridSpan w:val="13"/>
          </w:tcPr>
          <w:p>
            <w:pPr>
              <w:spacing w:after="0"/>
              <w:rPr>
                <w:rFonts w:ascii="Arial" w:cs="Arial" w:eastAsia="Arial" w:hAnsi="Arial"/>
                <w:sz w:val="18"/>
                <w:szCs w:val="18"/>
                <w:color w:val="0000EE"/>
                <w:w w:val="99"/>
              </w:rPr>
            </w:pPr>
            <w:hyperlink r:id="rId144">
              <w:r>
                <w:rPr>
                  <w:rFonts w:ascii="Arial" w:cs="Arial" w:eastAsia="Arial" w:hAnsi="Arial"/>
                  <w:sz w:val="18"/>
                  <w:szCs w:val="18"/>
                  <w:color w:val="0000EE"/>
                  <w:w w:val="99"/>
                </w:rPr>
                <w:t>Form of Option Agreement under Harmony</w:t>
              </w:r>
            </w:hyperlink>
          </w:p>
        </w:tc>
        <w:tc>
          <w:tcPr>
            <w:tcW w:w="660" w:type="dxa"/>
            <w:vAlign w:val="bottom"/>
            <w:gridSpan w:val="11"/>
          </w:tcPr>
          <w:p>
            <w:pPr>
              <w:spacing w:after="0"/>
              <w:rPr>
                <w:sz w:val="24"/>
                <w:szCs w:val="24"/>
                <w:color w:val="auto"/>
              </w:rPr>
            </w:pPr>
          </w:p>
        </w:tc>
        <w:tc>
          <w:tcPr>
            <w:tcW w:w="740" w:type="dxa"/>
            <w:vAlign w:val="bottom"/>
          </w:tcPr>
          <w:p>
            <w:pPr>
              <w:jc w:val="center"/>
              <w:ind w:left="132"/>
              <w:spacing w:after="0"/>
              <w:rPr>
                <w:sz w:val="20"/>
                <w:szCs w:val="20"/>
                <w:color w:val="auto"/>
              </w:rPr>
            </w:pPr>
            <w:r>
              <w:rPr>
                <w:rFonts w:ascii="Arial" w:cs="Arial" w:eastAsia="Arial" w:hAnsi="Arial"/>
                <w:sz w:val="18"/>
                <w:szCs w:val="18"/>
                <w:color w:val="auto"/>
                <w:w w:val="99"/>
              </w:rPr>
              <w:t>S-8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August 21,</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8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r:id="rId144">
              <w:r>
                <w:rPr>
                  <w:rFonts w:ascii="Arial" w:cs="Arial" w:eastAsia="Arial" w:hAnsi="Arial"/>
                  <w:sz w:val="18"/>
                  <w:szCs w:val="18"/>
                  <w:color w:val="0000EE"/>
                  <w:w w:val="99"/>
                </w:rPr>
                <w:t>Biosciences Holdings, Inc. 2020 Incentive Award</w:t>
              </w:r>
            </w:hyperlink>
          </w:p>
        </w:tc>
        <w:tc>
          <w:tcPr>
            <w:tcW w:w="2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gridSpan w:val="3"/>
          </w:tcPr>
          <w:p>
            <w:pPr>
              <w:jc w:val="center"/>
              <w:ind w:left="332"/>
              <w:spacing w:after="0" w:line="182" w:lineRule="exact"/>
              <w:rPr>
                <w:sz w:val="20"/>
                <w:szCs w:val="20"/>
                <w:color w:val="auto"/>
              </w:rPr>
            </w:pPr>
            <w:r>
              <w:rPr>
                <w:rFonts w:ascii="Arial" w:cs="Arial" w:eastAsia="Arial" w:hAnsi="Arial"/>
                <w:sz w:val="18"/>
                <w:szCs w:val="18"/>
                <w:color w:val="auto"/>
              </w:rPr>
              <w:t>2020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80" w:type="dxa"/>
            <w:vAlign w:val="bottom"/>
            <w:gridSpan w:val="24"/>
          </w:tcPr>
          <w:p>
            <w:pPr>
              <w:spacing w:after="0" w:line="182" w:lineRule="exact"/>
              <w:rPr>
                <w:rFonts w:ascii="Arial" w:cs="Arial" w:eastAsia="Arial" w:hAnsi="Arial"/>
                <w:sz w:val="18"/>
                <w:szCs w:val="18"/>
                <w:color w:val="0000EE"/>
              </w:rPr>
            </w:pPr>
            <w:hyperlink r:id="rId144">
              <w:r>
                <w:rPr>
                  <w:rFonts w:ascii="Arial" w:cs="Arial" w:eastAsia="Arial" w:hAnsi="Arial"/>
                  <w:sz w:val="18"/>
                  <w:szCs w:val="18"/>
                  <w:color w:val="0000EE"/>
                </w:rPr>
                <w:t>Plan.</w:t>
              </w:r>
            </w:hyperlink>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858"/>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top w:val="single" w:sz="8" w:color="0000EE"/>
            </w:tcBorders>
            <w:gridSpan w:val="2"/>
          </w:tcPr>
          <w:p>
            <w:pPr>
              <w:spacing w:after="0"/>
              <w:rPr>
                <w:sz w:val="24"/>
                <w:szCs w:val="24"/>
                <w:color w:val="auto"/>
              </w:rPr>
            </w:pPr>
          </w:p>
        </w:tc>
        <w:tc>
          <w:tcPr>
            <w:tcW w:w="3440" w:type="dxa"/>
            <w:vAlign w:val="bottom"/>
            <w:gridSpan w:val="18"/>
          </w:tcPr>
          <w:p>
            <w:pPr>
              <w:jc w:val="right"/>
              <w:ind w:right="40"/>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ind w:left="1320" w:right="80" w:hanging="1309"/>
        <w:spacing w:after="0"/>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45">
        <w:r>
          <w:rPr>
            <w:rFonts w:ascii="Arial" w:cs="Arial" w:eastAsia="Arial" w:hAnsi="Arial"/>
            <w:sz w:val="18"/>
            <w:szCs w:val="18"/>
            <w:u w:val="single" w:color="auto"/>
            <w:color w:val="0000EE"/>
          </w:rPr>
          <w:t>Form of Restricted Stock Unit Agreement under</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Harmony Biosciences Holdings, Inc. 2020</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Incentive Award Plan.</w:t>
        </w:r>
      </w:hyperlink>
    </w:p>
    <w:p>
      <w:pPr>
        <w:spacing w:after="0" w:line="158"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color w:val="auto"/>
              </w:rPr>
              <w:t>10.6</w:t>
            </w:r>
          </w:p>
        </w:tc>
        <w:tc>
          <w:tcPr>
            <w:tcW w:w="3340" w:type="dxa"/>
            <w:vAlign w:val="bottom"/>
            <w:tcBorders>
              <w:bottom w:val="single" w:sz="8" w:color="0000EE"/>
            </w:tcBorders>
            <w:gridSpan w:val="16"/>
          </w:tcPr>
          <w:p>
            <w:pPr>
              <w:spacing w:after="0"/>
              <w:rPr>
                <w:rFonts w:ascii="Arial" w:cs="Arial" w:eastAsia="Arial" w:hAnsi="Arial"/>
                <w:sz w:val="18"/>
                <w:szCs w:val="18"/>
                <w:color w:val="0000EE"/>
                <w:w w:val="99"/>
              </w:rPr>
            </w:pPr>
            <w:hyperlink r:id="rId146">
              <w:r>
                <w:rPr>
                  <w:rFonts w:ascii="Arial" w:cs="Arial" w:eastAsia="Arial" w:hAnsi="Arial"/>
                  <w:sz w:val="18"/>
                  <w:szCs w:val="18"/>
                  <w:color w:val="0000EE"/>
                  <w:w w:val="99"/>
                </w:rPr>
                <w:t>Harmony Biosciences Holdings, Inc. 2020</w:t>
              </w:r>
            </w:hyperlink>
          </w:p>
        </w:tc>
        <w:tc>
          <w:tcPr>
            <w:tcW w:w="520" w:type="dxa"/>
            <w:vAlign w:val="bottom"/>
            <w:gridSpan w:val="15"/>
          </w:tcPr>
          <w:p>
            <w:pPr>
              <w:spacing w:after="0"/>
              <w:rPr>
                <w:sz w:val="17"/>
                <w:szCs w:val="17"/>
                <w:color w:val="auto"/>
              </w:rPr>
            </w:pPr>
          </w:p>
        </w:tc>
      </w:tr>
      <w:tr>
        <w:trPr>
          <w:trHeight w:val="183"/>
        </w:trPr>
        <w:tc>
          <w:tcPr>
            <w:tcW w:w="1320" w:type="dxa"/>
            <w:vAlign w:val="bottom"/>
          </w:tcPr>
          <w:p>
            <w:pPr>
              <w:spacing w:after="0"/>
              <w:rPr>
                <w:sz w:val="15"/>
                <w:szCs w:val="15"/>
                <w:color w:val="auto"/>
              </w:rPr>
            </w:pPr>
          </w:p>
        </w:tc>
        <w:tc>
          <w:tcPr>
            <w:tcW w:w="3860" w:type="dxa"/>
            <w:vAlign w:val="bottom"/>
            <w:gridSpan w:val="31"/>
          </w:tcPr>
          <w:p>
            <w:pPr>
              <w:spacing w:after="0" w:line="182" w:lineRule="exact"/>
              <w:rPr>
                <w:rFonts w:ascii="Arial" w:cs="Arial" w:eastAsia="Arial" w:hAnsi="Arial"/>
                <w:sz w:val="18"/>
                <w:szCs w:val="18"/>
                <w:color w:val="0000EE"/>
              </w:rPr>
            </w:pPr>
            <w:hyperlink r:id="rId146">
              <w:r>
                <w:rPr>
                  <w:rFonts w:ascii="Arial" w:cs="Arial" w:eastAsia="Arial" w:hAnsi="Arial"/>
                  <w:sz w:val="18"/>
                  <w:szCs w:val="18"/>
                  <w:color w:val="0000EE"/>
                </w:rPr>
                <w:t>Employee Stock Purchase Plan</w:t>
              </w:r>
              <w:r>
                <w:rPr>
                  <w:rFonts w:ascii="Arial" w:cs="Arial" w:eastAsia="Arial" w:hAnsi="Arial"/>
                  <w:sz w:val="18"/>
                  <w:szCs w:val="18"/>
                  <w:color w:val="000000"/>
                </w:rPr>
                <w:t>.</w:t>
              </w:r>
            </w:hyperlink>
          </w:p>
        </w:tc>
      </w:tr>
      <w:tr>
        <w:trPr>
          <w:trHeight w:val="20"/>
        </w:trPr>
        <w:tc>
          <w:tcPr>
            <w:tcW w:w="1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10.7</w:t>
            </w:r>
          </w:p>
        </w:tc>
        <w:tc>
          <w:tcPr>
            <w:tcW w:w="2940" w:type="dxa"/>
            <w:vAlign w:val="bottom"/>
            <w:tcBorders>
              <w:bottom w:val="single" w:sz="8" w:color="0000EE"/>
            </w:tcBorders>
            <w:gridSpan w:val="11"/>
          </w:tcPr>
          <w:p>
            <w:pPr>
              <w:spacing w:after="0"/>
              <w:rPr>
                <w:rFonts w:ascii="Arial" w:cs="Arial" w:eastAsia="Arial" w:hAnsi="Arial"/>
                <w:sz w:val="18"/>
                <w:szCs w:val="18"/>
                <w:color w:val="0000EE"/>
                <w:w w:val="99"/>
              </w:rPr>
            </w:pPr>
            <w:hyperlink r:id="rId147">
              <w:r>
                <w:rPr>
                  <w:rFonts w:ascii="Arial" w:cs="Arial" w:eastAsia="Arial" w:hAnsi="Arial"/>
                  <w:sz w:val="18"/>
                  <w:szCs w:val="18"/>
                  <w:color w:val="0000EE"/>
                  <w:w w:val="99"/>
                </w:rPr>
                <w:t>Amended and Restated Employment</w:t>
              </w:r>
            </w:hyperlink>
          </w:p>
        </w:tc>
        <w:tc>
          <w:tcPr>
            <w:tcW w:w="920" w:type="dxa"/>
            <w:vAlign w:val="bottom"/>
            <w:gridSpan w:val="20"/>
          </w:tcPr>
          <w:p>
            <w:pPr>
              <w:spacing w:after="0"/>
              <w:rPr>
                <w:sz w:val="24"/>
                <w:szCs w:val="24"/>
                <w:color w:val="auto"/>
              </w:rPr>
            </w:pPr>
          </w:p>
        </w:tc>
      </w:tr>
      <w:tr>
        <w:trPr>
          <w:trHeight w:val="183"/>
        </w:trPr>
        <w:tc>
          <w:tcPr>
            <w:tcW w:w="1320" w:type="dxa"/>
            <w:vAlign w:val="bottom"/>
          </w:tcPr>
          <w:p>
            <w:pPr>
              <w:spacing w:after="0"/>
              <w:rPr>
                <w:sz w:val="15"/>
                <w:szCs w:val="15"/>
                <w:color w:val="auto"/>
              </w:rPr>
            </w:pPr>
          </w:p>
        </w:tc>
        <w:tc>
          <w:tcPr>
            <w:tcW w:w="344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r:id="rId147">
              <w:r>
                <w:rPr>
                  <w:rFonts w:ascii="Arial" w:cs="Arial" w:eastAsia="Arial" w:hAnsi="Arial"/>
                  <w:sz w:val="18"/>
                  <w:szCs w:val="18"/>
                  <w:color w:val="0000EE"/>
                  <w:w w:val="99"/>
                </w:rPr>
                <w:t>Agreement, dated August 11, 2020, by and</w:t>
              </w:r>
            </w:hyperlink>
          </w:p>
        </w:tc>
        <w:tc>
          <w:tcPr>
            <w:tcW w:w="420" w:type="dxa"/>
            <w:vAlign w:val="bottom"/>
            <w:gridSpan w:val="12"/>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3860" w:type="dxa"/>
            <w:vAlign w:val="bottom"/>
            <w:gridSpan w:val="31"/>
          </w:tcPr>
          <w:p>
            <w:pPr>
              <w:spacing w:after="0" w:line="182" w:lineRule="exact"/>
              <w:rPr>
                <w:rFonts w:ascii="Arial" w:cs="Arial" w:eastAsia="Arial" w:hAnsi="Arial"/>
                <w:sz w:val="18"/>
                <w:szCs w:val="18"/>
                <w:color w:val="0000EE"/>
              </w:rPr>
            </w:pPr>
            <w:hyperlink r:id="rId147">
              <w:r>
                <w:rPr>
                  <w:rFonts w:ascii="Arial" w:cs="Arial" w:eastAsia="Arial" w:hAnsi="Arial"/>
                  <w:sz w:val="18"/>
                  <w:szCs w:val="18"/>
                  <w:color w:val="0000EE"/>
                </w:rPr>
                <w:t>between Harmony Biosciences, LLC and John</w:t>
              </w:r>
            </w:hyperlink>
          </w:p>
        </w:tc>
      </w:tr>
      <w:tr>
        <w:trPr>
          <w:trHeight w:val="183"/>
        </w:trPr>
        <w:tc>
          <w:tcPr>
            <w:tcW w:w="1320" w:type="dxa"/>
            <w:vAlign w:val="bottom"/>
          </w:tcPr>
          <w:p>
            <w:pPr>
              <w:spacing w:after="0"/>
              <w:rPr>
                <w:sz w:val="15"/>
                <w:szCs w:val="15"/>
                <w:color w:val="auto"/>
              </w:rPr>
            </w:pPr>
          </w:p>
        </w:tc>
        <w:tc>
          <w:tcPr>
            <w:tcW w:w="368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147">
              <w:r>
                <w:rPr>
                  <w:rFonts w:ascii="Arial" w:cs="Arial" w:eastAsia="Arial" w:hAnsi="Arial"/>
                  <w:sz w:val="18"/>
                  <w:szCs w:val="18"/>
                  <w:color w:val="0000EE"/>
                </w:rPr>
                <w:t>C. Jacobs.</w:t>
              </w:r>
            </w:hyperlink>
          </w:p>
        </w:tc>
        <w:tc>
          <w:tcPr>
            <w:tcW w:w="180" w:type="dxa"/>
            <w:vAlign w:val="bottom"/>
            <w:gridSpan w:val="6"/>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10.8</w:t>
            </w:r>
          </w:p>
        </w:tc>
        <w:tc>
          <w:tcPr>
            <w:tcW w:w="3520" w:type="dxa"/>
            <w:vAlign w:val="bottom"/>
            <w:tcBorders>
              <w:bottom w:val="single" w:sz="8" w:color="0000EE"/>
            </w:tcBorders>
            <w:gridSpan w:val="20"/>
          </w:tcPr>
          <w:p>
            <w:pPr>
              <w:spacing w:after="0"/>
              <w:rPr>
                <w:rFonts w:ascii="Arial" w:cs="Arial" w:eastAsia="Arial" w:hAnsi="Arial"/>
                <w:sz w:val="18"/>
                <w:szCs w:val="18"/>
                <w:color w:val="0000EE"/>
                <w:w w:val="98"/>
              </w:rPr>
            </w:pPr>
            <w:hyperlink r:id="rId148">
              <w:r>
                <w:rPr>
                  <w:rFonts w:ascii="Arial" w:cs="Arial" w:eastAsia="Arial" w:hAnsi="Arial"/>
                  <w:sz w:val="18"/>
                  <w:szCs w:val="18"/>
                  <w:color w:val="0000EE"/>
                  <w:w w:val="98"/>
                </w:rPr>
                <w:t>Form of Indemnification Agreement between</w:t>
              </w:r>
            </w:hyperlink>
          </w:p>
        </w:tc>
        <w:tc>
          <w:tcPr>
            <w:tcW w:w="340" w:type="dxa"/>
            <w:vAlign w:val="bottom"/>
            <w:gridSpan w:val="11"/>
          </w:tcPr>
          <w:p>
            <w:pPr>
              <w:spacing w:after="0"/>
              <w:rPr>
                <w:sz w:val="24"/>
                <w:szCs w:val="24"/>
                <w:color w:val="auto"/>
              </w:rPr>
            </w:pPr>
          </w:p>
        </w:tc>
      </w:tr>
      <w:tr>
        <w:trPr>
          <w:trHeight w:val="183"/>
        </w:trPr>
        <w:tc>
          <w:tcPr>
            <w:tcW w:w="1320" w:type="dxa"/>
            <w:vAlign w:val="bottom"/>
          </w:tcPr>
          <w:p>
            <w:pPr>
              <w:spacing w:after="0"/>
              <w:rPr>
                <w:sz w:val="15"/>
                <w:szCs w:val="15"/>
                <w:color w:val="auto"/>
              </w:rPr>
            </w:pPr>
          </w:p>
        </w:tc>
        <w:tc>
          <w:tcPr>
            <w:tcW w:w="3860" w:type="dxa"/>
            <w:vAlign w:val="bottom"/>
            <w:gridSpan w:val="31"/>
          </w:tcPr>
          <w:p>
            <w:pPr>
              <w:spacing w:after="0" w:line="182" w:lineRule="exact"/>
              <w:rPr>
                <w:rFonts w:ascii="Arial" w:cs="Arial" w:eastAsia="Arial" w:hAnsi="Arial"/>
                <w:sz w:val="18"/>
                <w:szCs w:val="18"/>
                <w:color w:val="0000EE"/>
              </w:rPr>
            </w:pPr>
            <w:hyperlink r:id="rId148">
              <w:r>
                <w:rPr>
                  <w:rFonts w:ascii="Arial" w:cs="Arial" w:eastAsia="Arial" w:hAnsi="Arial"/>
                  <w:sz w:val="18"/>
                  <w:szCs w:val="18"/>
                  <w:color w:val="0000EE"/>
                </w:rPr>
                <w:t>Harmony Biosciences, LLC and each director</w:t>
              </w:r>
            </w:hyperlink>
          </w:p>
        </w:tc>
      </w:tr>
      <w:tr>
        <w:trPr>
          <w:trHeight w:val="183"/>
        </w:trPr>
        <w:tc>
          <w:tcPr>
            <w:tcW w:w="1320" w:type="dxa"/>
            <w:vAlign w:val="bottom"/>
          </w:tcPr>
          <w:p>
            <w:pPr>
              <w:spacing w:after="0"/>
              <w:rPr>
                <w:sz w:val="15"/>
                <w:szCs w:val="15"/>
                <w:color w:val="auto"/>
              </w:rPr>
            </w:pPr>
          </w:p>
        </w:tc>
        <w:tc>
          <w:tcPr>
            <w:tcW w:w="360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148">
              <w:r>
                <w:rPr>
                  <w:rFonts w:ascii="Arial" w:cs="Arial" w:eastAsia="Arial" w:hAnsi="Arial"/>
                  <w:sz w:val="18"/>
                  <w:szCs w:val="18"/>
                  <w:color w:val="0000EE"/>
                </w:rPr>
                <w:t>and executive officer.</w:t>
              </w:r>
            </w:hyperlink>
          </w:p>
        </w:tc>
        <w:tc>
          <w:tcPr>
            <w:tcW w:w="260" w:type="dxa"/>
            <w:vAlign w:val="bottom"/>
            <w:gridSpan w:val="8"/>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10.9</w:t>
            </w:r>
          </w:p>
        </w:tc>
        <w:tc>
          <w:tcPr>
            <w:tcW w:w="3860" w:type="dxa"/>
            <w:vAlign w:val="bottom"/>
            <w:gridSpan w:val="31"/>
          </w:tcPr>
          <w:p>
            <w:pPr>
              <w:spacing w:after="0"/>
              <w:rPr>
                <w:rFonts w:ascii="Arial" w:cs="Arial" w:eastAsia="Arial" w:hAnsi="Arial"/>
                <w:sz w:val="18"/>
                <w:szCs w:val="18"/>
                <w:color w:val="0000EE"/>
              </w:rPr>
            </w:pPr>
            <w:hyperlink r:id="rId149">
              <w:r>
                <w:rPr>
                  <w:rFonts w:ascii="Arial" w:cs="Arial" w:eastAsia="Arial" w:hAnsi="Arial"/>
                  <w:sz w:val="18"/>
                  <w:szCs w:val="18"/>
                  <w:color w:val="0000EE"/>
                </w:rPr>
                <w:t>Harmony Biosciences, LLC Separation Plan.</w:t>
              </w:r>
            </w:hyperlink>
          </w:p>
        </w:tc>
      </w:tr>
      <w:tr>
        <w:trPr>
          <w:trHeight w:val="20"/>
        </w:trPr>
        <w:tc>
          <w:tcPr>
            <w:tcW w:w="1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0"/>
        </w:trPr>
        <w:tc>
          <w:tcPr>
            <w:tcW w:w="1320" w:type="dxa"/>
            <w:vAlign w:val="bottom"/>
          </w:tcPr>
          <w:p>
            <w:pPr>
              <w:spacing w:after="0"/>
              <w:rPr>
                <w:sz w:val="20"/>
                <w:szCs w:val="20"/>
                <w:color w:val="auto"/>
              </w:rPr>
            </w:pPr>
            <w:r>
              <w:rPr>
                <w:rFonts w:ascii="Arial" w:cs="Arial" w:eastAsia="Arial" w:hAnsi="Arial"/>
                <w:sz w:val="18"/>
                <w:szCs w:val="18"/>
                <w:color w:val="auto"/>
              </w:rPr>
              <w:t>10.10</w:t>
            </w:r>
          </w:p>
        </w:tc>
        <w:tc>
          <w:tcPr>
            <w:tcW w:w="3700" w:type="dxa"/>
            <w:vAlign w:val="bottom"/>
            <w:tcBorders>
              <w:bottom w:val="single" w:sz="8" w:color="0000EE"/>
            </w:tcBorders>
            <w:gridSpan w:val="26"/>
          </w:tcPr>
          <w:p>
            <w:pPr>
              <w:spacing w:after="0"/>
              <w:rPr>
                <w:rFonts w:ascii="Arial" w:cs="Arial" w:eastAsia="Arial" w:hAnsi="Arial"/>
                <w:sz w:val="18"/>
                <w:szCs w:val="18"/>
                <w:color w:val="0000EE"/>
                <w:w w:val="99"/>
              </w:rPr>
            </w:pPr>
            <w:hyperlink r:id="rId150">
              <w:r>
                <w:rPr>
                  <w:rFonts w:ascii="Arial" w:cs="Arial" w:eastAsia="Arial" w:hAnsi="Arial"/>
                  <w:sz w:val="18"/>
                  <w:szCs w:val="18"/>
                  <w:color w:val="0000EE"/>
                  <w:w w:val="99"/>
                </w:rPr>
                <w:t>Harmony Biosciences Holdings, Inc. Amended</w:t>
              </w:r>
            </w:hyperlink>
          </w:p>
        </w:tc>
        <w:tc>
          <w:tcPr>
            <w:tcW w:w="160" w:type="dxa"/>
            <w:vAlign w:val="bottom"/>
            <w:gridSpan w:val="5"/>
          </w:tcPr>
          <w:p>
            <w:pPr>
              <w:spacing w:after="0"/>
              <w:rPr>
                <w:sz w:val="24"/>
                <w:szCs w:val="24"/>
                <w:color w:val="auto"/>
              </w:rPr>
            </w:pPr>
          </w:p>
        </w:tc>
      </w:tr>
      <w:tr>
        <w:trPr>
          <w:trHeight w:val="183"/>
        </w:trPr>
        <w:tc>
          <w:tcPr>
            <w:tcW w:w="1320" w:type="dxa"/>
            <w:vAlign w:val="bottom"/>
          </w:tcPr>
          <w:p>
            <w:pPr>
              <w:spacing w:after="0"/>
              <w:rPr>
                <w:sz w:val="15"/>
                <w:szCs w:val="15"/>
                <w:color w:val="auto"/>
              </w:rPr>
            </w:pPr>
          </w:p>
        </w:tc>
        <w:tc>
          <w:tcPr>
            <w:tcW w:w="330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r:id="rId150">
              <w:r>
                <w:rPr>
                  <w:rFonts w:ascii="Arial" w:cs="Arial" w:eastAsia="Arial" w:hAnsi="Arial"/>
                  <w:sz w:val="18"/>
                  <w:szCs w:val="18"/>
                  <w:color w:val="0000EE"/>
                  <w:w w:val="99"/>
                </w:rPr>
                <w:t>and Restated 2017 Equity Incentive Plan.</w:t>
              </w:r>
            </w:hyperlink>
          </w:p>
        </w:tc>
        <w:tc>
          <w:tcPr>
            <w:tcW w:w="560" w:type="dxa"/>
            <w:vAlign w:val="bottom"/>
            <w:gridSpan w:val="17"/>
          </w:tcPr>
          <w:p>
            <w:pPr>
              <w:spacing w:after="0"/>
              <w:rPr>
                <w:sz w:val="15"/>
                <w:szCs w:val="15"/>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10.11</w:t>
            </w:r>
          </w:p>
        </w:tc>
        <w:tc>
          <w:tcPr>
            <w:tcW w:w="3320" w:type="dxa"/>
            <w:vAlign w:val="bottom"/>
            <w:tcBorders>
              <w:bottom w:val="single" w:sz="8" w:color="0000EE"/>
            </w:tcBorders>
            <w:gridSpan w:val="15"/>
          </w:tcPr>
          <w:p>
            <w:pPr>
              <w:spacing w:after="0"/>
              <w:rPr>
                <w:rFonts w:ascii="Arial" w:cs="Arial" w:eastAsia="Arial" w:hAnsi="Arial"/>
                <w:sz w:val="18"/>
                <w:szCs w:val="18"/>
                <w:color w:val="0000EE"/>
                <w:w w:val="99"/>
              </w:rPr>
            </w:pPr>
            <w:hyperlink r:id="rId151">
              <w:r>
                <w:rPr>
                  <w:rFonts w:ascii="Arial" w:cs="Arial" w:eastAsia="Arial" w:hAnsi="Arial"/>
                  <w:sz w:val="18"/>
                  <w:szCs w:val="18"/>
                  <w:color w:val="0000EE"/>
                  <w:w w:val="99"/>
                </w:rPr>
                <w:t>Harmony Biosciences Holdings, Inc. Non-</w:t>
              </w:r>
            </w:hyperlink>
          </w:p>
        </w:tc>
        <w:tc>
          <w:tcPr>
            <w:tcW w:w="540" w:type="dxa"/>
            <w:vAlign w:val="bottom"/>
            <w:gridSpan w:val="16"/>
          </w:tcPr>
          <w:p>
            <w:pPr>
              <w:spacing w:after="0"/>
              <w:rPr>
                <w:sz w:val="24"/>
                <w:szCs w:val="24"/>
                <w:color w:val="auto"/>
              </w:rPr>
            </w:pPr>
          </w:p>
        </w:tc>
      </w:tr>
      <w:tr>
        <w:trPr>
          <w:trHeight w:val="183"/>
        </w:trPr>
        <w:tc>
          <w:tcPr>
            <w:tcW w:w="1320" w:type="dxa"/>
            <w:vAlign w:val="bottom"/>
          </w:tcPr>
          <w:p>
            <w:pPr>
              <w:spacing w:after="0"/>
              <w:rPr>
                <w:sz w:val="15"/>
                <w:szCs w:val="15"/>
                <w:color w:val="auto"/>
              </w:rPr>
            </w:pPr>
          </w:p>
        </w:tc>
        <w:tc>
          <w:tcPr>
            <w:tcW w:w="3860" w:type="dxa"/>
            <w:vAlign w:val="bottom"/>
            <w:gridSpan w:val="31"/>
          </w:tcPr>
          <w:p>
            <w:pPr>
              <w:spacing w:after="0" w:line="182" w:lineRule="exact"/>
              <w:rPr>
                <w:rFonts w:ascii="Arial" w:cs="Arial" w:eastAsia="Arial" w:hAnsi="Arial"/>
                <w:sz w:val="18"/>
                <w:szCs w:val="18"/>
                <w:color w:val="0000EE"/>
              </w:rPr>
            </w:pPr>
            <w:hyperlink r:id="rId151">
              <w:r>
                <w:rPr>
                  <w:rFonts w:ascii="Arial" w:cs="Arial" w:eastAsia="Arial" w:hAnsi="Arial"/>
                  <w:sz w:val="18"/>
                  <w:szCs w:val="18"/>
                  <w:color w:val="0000EE"/>
                </w:rPr>
                <w:t>Employee Director Compensation Program</w:t>
              </w:r>
            </w:hyperlink>
            <w:r>
              <w:rPr>
                <w:rFonts w:ascii="Arial" w:cs="Arial" w:eastAsia="Arial" w:hAnsi="Arial"/>
                <w:sz w:val="18"/>
                <w:szCs w:val="18"/>
                <w:color w:val="000000"/>
              </w:rPr>
              <w:t>.</w:t>
            </w:r>
          </w:p>
        </w:tc>
      </w:tr>
      <w:tr>
        <w:trPr>
          <w:trHeight w:val="20"/>
        </w:trPr>
        <w:tc>
          <w:tcPr>
            <w:tcW w:w="1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10.12</w:t>
            </w:r>
          </w:p>
        </w:tc>
        <w:tc>
          <w:tcPr>
            <w:tcW w:w="3860" w:type="dxa"/>
            <w:vAlign w:val="bottom"/>
            <w:gridSpan w:val="31"/>
          </w:tcPr>
          <w:p>
            <w:pPr>
              <w:spacing w:after="0"/>
              <w:rPr>
                <w:rFonts w:ascii="Arial" w:cs="Arial" w:eastAsia="Arial" w:hAnsi="Arial"/>
                <w:sz w:val="18"/>
                <w:szCs w:val="18"/>
                <w:color w:val="0000EE"/>
              </w:rPr>
            </w:pPr>
            <w:hyperlink r:id="rId152">
              <w:r>
                <w:rPr>
                  <w:rFonts w:ascii="Arial" w:cs="Arial" w:eastAsia="Arial" w:hAnsi="Arial"/>
                  <w:sz w:val="18"/>
                  <w:szCs w:val="18"/>
                  <w:color w:val="0000EE"/>
                </w:rPr>
                <w:t>Offer Letter, dated October 10, 2017, by and</w:t>
              </w:r>
            </w:hyperlink>
          </w:p>
        </w:tc>
      </w:tr>
      <w:tr>
        <w:trPr>
          <w:trHeight w:val="20"/>
        </w:trPr>
        <w:tc>
          <w:tcPr>
            <w:tcW w:w="1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320" w:type="dxa"/>
            <w:vAlign w:val="bottom"/>
          </w:tcPr>
          <w:p>
            <w:pPr>
              <w:spacing w:after="0"/>
              <w:rPr>
                <w:sz w:val="15"/>
                <w:szCs w:val="15"/>
                <w:color w:val="auto"/>
              </w:rPr>
            </w:pPr>
          </w:p>
        </w:tc>
        <w:tc>
          <w:tcPr>
            <w:tcW w:w="384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r:id="rId152">
              <w:r>
                <w:rPr>
                  <w:rFonts w:ascii="Arial" w:cs="Arial" w:eastAsia="Arial" w:hAnsi="Arial"/>
                  <w:sz w:val="18"/>
                  <w:szCs w:val="18"/>
                  <w:color w:val="0000EE"/>
                  <w:w w:val="99"/>
                </w:rPr>
                <w:t>between Harmony Biosciences, LLC and Jeffrey</w:t>
              </w:r>
            </w:hyperlink>
          </w:p>
        </w:tc>
        <w:tc>
          <w:tcPr>
            <w:tcW w:w="20" w:type="dxa"/>
            <w:vAlign w:val="bottom"/>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3860" w:type="dxa"/>
            <w:vAlign w:val="bottom"/>
            <w:gridSpan w:val="31"/>
          </w:tcPr>
          <w:p>
            <w:pPr>
              <w:spacing w:after="0" w:line="182" w:lineRule="exact"/>
              <w:rPr>
                <w:rFonts w:ascii="Arial" w:cs="Arial" w:eastAsia="Arial" w:hAnsi="Arial"/>
                <w:sz w:val="18"/>
                <w:szCs w:val="18"/>
                <w:color w:val="0000EE"/>
              </w:rPr>
            </w:pPr>
            <w:hyperlink r:id="rId152">
              <w:r>
                <w:rPr>
                  <w:rFonts w:ascii="Arial" w:cs="Arial" w:eastAsia="Arial" w:hAnsi="Arial"/>
                  <w:sz w:val="18"/>
                  <w:szCs w:val="18"/>
                  <w:color w:val="0000EE"/>
                </w:rPr>
                <w:t>Dayno.</w:t>
              </w:r>
            </w:hyperlink>
          </w:p>
        </w:tc>
      </w:tr>
      <w:tr>
        <w:trPr>
          <w:trHeight w:val="20"/>
        </w:trPr>
        <w:tc>
          <w:tcPr>
            <w:tcW w:w="1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10.13</w:t>
            </w:r>
          </w:p>
        </w:tc>
        <w:tc>
          <w:tcPr>
            <w:tcW w:w="3860" w:type="dxa"/>
            <w:vAlign w:val="bottom"/>
            <w:gridSpan w:val="31"/>
          </w:tcPr>
          <w:p>
            <w:pPr>
              <w:spacing w:after="0"/>
              <w:rPr>
                <w:rFonts w:ascii="Arial" w:cs="Arial" w:eastAsia="Arial" w:hAnsi="Arial"/>
                <w:sz w:val="18"/>
                <w:szCs w:val="18"/>
                <w:color w:val="0000EE"/>
              </w:rPr>
            </w:pPr>
            <w:hyperlink r:id="rId153">
              <w:r>
                <w:rPr>
                  <w:rFonts w:ascii="Arial" w:cs="Arial" w:eastAsia="Arial" w:hAnsi="Arial"/>
                  <w:sz w:val="18"/>
                  <w:szCs w:val="18"/>
                  <w:color w:val="0000EE"/>
                </w:rPr>
                <w:t>Offer Letter, dated September 8, 2017, by and</w:t>
              </w:r>
            </w:hyperlink>
          </w:p>
        </w:tc>
      </w:tr>
      <w:tr>
        <w:trPr>
          <w:trHeight w:val="183"/>
        </w:trPr>
        <w:tc>
          <w:tcPr>
            <w:tcW w:w="1320" w:type="dxa"/>
            <w:vAlign w:val="bottom"/>
          </w:tcPr>
          <w:p>
            <w:pPr>
              <w:spacing w:after="0"/>
              <w:rPr>
                <w:sz w:val="15"/>
                <w:szCs w:val="15"/>
                <w:color w:val="auto"/>
              </w:rPr>
            </w:pPr>
          </w:p>
        </w:tc>
        <w:tc>
          <w:tcPr>
            <w:tcW w:w="362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r:id="rId153">
              <w:r>
                <w:rPr>
                  <w:rFonts w:ascii="Arial" w:cs="Arial" w:eastAsia="Arial" w:hAnsi="Arial"/>
                  <w:sz w:val="18"/>
                  <w:szCs w:val="18"/>
                  <w:color w:val="0000EE"/>
                </w:rPr>
                <w:t>between Harmony Biosciences, LLC and</w:t>
              </w:r>
            </w:hyperlink>
          </w:p>
        </w:tc>
        <w:tc>
          <w:tcPr>
            <w:tcW w:w="240" w:type="dxa"/>
            <w:vAlign w:val="bottom"/>
            <w:gridSpan w:val="7"/>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12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r:id="rId153">
              <w:r>
                <w:rPr>
                  <w:rFonts w:ascii="Arial" w:cs="Arial" w:eastAsia="Arial" w:hAnsi="Arial"/>
                  <w:sz w:val="18"/>
                  <w:szCs w:val="18"/>
                  <w:color w:val="0000EE"/>
                  <w:w w:val="98"/>
                </w:rPr>
                <w:t>Andrew Serafin.</w:t>
              </w:r>
            </w:hyperlink>
          </w:p>
        </w:tc>
        <w:tc>
          <w:tcPr>
            <w:tcW w:w="1960" w:type="dxa"/>
            <w:vAlign w:val="bottom"/>
            <w:tcBorders>
              <w:top w:val="single" w:sz="8" w:color="0000EE"/>
            </w:tcBorders>
            <w:gridSpan w:val="8"/>
          </w:tcPr>
          <w:p>
            <w:pPr>
              <w:spacing w:after="0"/>
              <w:rPr>
                <w:sz w:val="15"/>
                <w:szCs w:val="15"/>
                <w:color w:val="auto"/>
              </w:rPr>
            </w:pPr>
          </w:p>
        </w:tc>
        <w:tc>
          <w:tcPr>
            <w:tcW w:w="620" w:type="dxa"/>
            <w:vAlign w:val="bottom"/>
            <w:gridSpan w:val="19"/>
          </w:tcPr>
          <w:p>
            <w:pPr>
              <w:spacing w:after="0"/>
              <w:rPr>
                <w:sz w:val="15"/>
                <w:szCs w:val="15"/>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10.14</w:t>
            </w:r>
          </w:p>
        </w:tc>
        <w:tc>
          <w:tcPr>
            <w:tcW w:w="3520" w:type="dxa"/>
            <w:vAlign w:val="bottom"/>
            <w:tcBorders>
              <w:bottom w:val="single" w:sz="8" w:color="0000EE"/>
            </w:tcBorders>
            <w:gridSpan w:val="20"/>
          </w:tcPr>
          <w:p>
            <w:pPr>
              <w:spacing w:after="0"/>
              <w:rPr>
                <w:rFonts w:ascii="Arial" w:cs="Arial" w:eastAsia="Arial" w:hAnsi="Arial"/>
                <w:sz w:val="18"/>
                <w:szCs w:val="18"/>
                <w:color w:val="0000EE"/>
                <w:w w:val="99"/>
              </w:rPr>
            </w:pPr>
            <w:hyperlink r:id="rId154">
              <w:r>
                <w:rPr>
                  <w:rFonts w:ascii="Arial" w:cs="Arial" w:eastAsia="Arial" w:hAnsi="Arial"/>
                  <w:sz w:val="18"/>
                  <w:szCs w:val="18"/>
                  <w:color w:val="0000EE"/>
                  <w:w w:val="99"/>
                </w:rPr>
                <w:t>License and Commercialization Agreement,</w:t>
              </w:r>
            </w:hyperlink>
          </w:p>
        </w:tc>
        <w:tc>
          <w:tcPr>
            <w:tcW w:w="340" w:type="dxa"/>
            <w:vAlign w:val="bottom"/>
            <w:gridSpan w:val="11"/>
          </w:tcPr>
          <w:p>
            <w:pPr>
              <w:spacing w:after="0"/>
              <w:rPr>
                <w:sz w:val="24"/>
                <w:szCs w:val="24"/>
                <w:color w:val="auto"/>
              </w:rPr>
            </w:pPr>
          </w:p>
        </w:tc>
      </w:tr>
      <w:tr>
        <w:trPr>
          <w:trHeight w:val="183"/>
        </w:trPr>
        <w:tc>
          <w:tcPr>
            <w:tcW w:w="1320" w:type="dxa"/>
            <w:vAlign w:val="bottom"/>
          </w:tcPr>
          <w:p>
            <w:pPr>
              <w:spacing w:after="0"/>
              <w:rPr>
                <w:sz w:val="15"/>
                <w:szCs w:val="15"/>
                <w:color w:val="auto"/>
              </w:rPr>
            </w:pPr>
          </w:p>
        </w:tc>
        <w:tc>
          <w:tcPr>
            <w:tcW w:w="3860" w:type="dxa"/>
            <w:vAlign w:val="bottom"/>
            <w:gridSpan w:val="31"/>
          </w:tcPr>
          <w:p>
            <w:pPr>
              <w:spacing w:after="0" w:line="182" w:lineRule="exact"/>
              <w:rPr>
                <w:rFonts w:ascii="Arial" w:cs="Arial" w:eastAsia="Arial" w:hAnsi="Arial"/>
                <w:sz w:val="18"/>
                <w:szCs w:val="18"/>
                <w:color w:val="0000EE"/>
              </w:rPr>
            </w:pPr>
            <w:hyperlink r:id="rId154">
              <w:r>
                <w:rPr>
                  <w:rFonts w:ascii="Arial" w:cs="Arial" w:eastAsia="Arial" w:hAnsi="Arial"/>
                  <w:sz w:val="18"/>
                  <w:szCs w:val="18"/>
                  <w:color w:val="0000EE"/>
                </w:rPr>
                <w:t>dated July 28, 2017, by and between Bioprojet</w:t>
              </w:r>
            </w:hyperlink>
          </w:p>
        </w:tc>
      </w:tr>
      <w:tr>
        <w:trPr>
          <w:trHeight w:val="183"/>
        </w:trPr>
        <w:tc>
          <w:tcPr>
            <w:tcW w:w="1320" w:type="dxa"/>
            <w:vAlign w:val="bottom"/>
          </w:tcPr>
          <w:p>
            <w:pPr>
              <w:spacing w:after="0"/>
              <w:rPr>
                <w:sz w:val="15"/>
                <w:szCs w:val="15"/>
                <w:color w:val="auto"/>
              </w:rPr>
            </w:pPr>
          </w:p>
        </w:tc>
        <w:tc>
          <w:tcPr>
            <w:tcW w:w="370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154">
              <w:r>
                <w:rPr>
                  <w:rFonts w:ascii="Arial" w:cs="Arial" w:eastAsia="Arial" w:hAnsi="Arial"/>
                  <w:sz w:val="18"/>
                  <w:szCs w:val="18"/>
                  <w:color w:val="0000EE"/>
                </w:rPr>
                <w:t>Société Civile de Recherche and Harmony</w:t>
              </w:r>
            </w:hyperlink>
          </w:p>
        </w:tc>
        <w:tc>
          <w:tcPr>
            <w:tcW w:w="160" w:type="dxa"/>
            <w:vAlign w:val="bottom"/>
            <w:gridSpan w:val="5"/>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342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154">
              <w:r>
                <w:rPr>
                  <w:rFonts w:ascii="Arial" w:cs="Arial" w:eastAsia="Arial" w:hAnsi="Arial"/>
                  <w:sz w:val="18"/>
                  <w:szCs w:val="18"/>
                  <w:color w:val="0000EE"/>
                </w:rPr>
                <w:t>Biosciences, LLC</w:t>
              </w:r>
              <w:r>
                <w:rPr>
                  <w:rFonts w:ascii="Arial" w:cs="Arial" w:eastAsia="Arial" w:hAnsi="Arial"/>
                  <w:sz w:val="18"/>
                  <w:szCs w:val="18"/>
                  <w:color w:val="000000"/>
                </w:rPr>
                <w:t>.</w:t>
              </w:r>
            </w:hyperlink>
          </w:p>
        </w:tc>
        <w:tc>
          <w:tcPr>
            <w:tcW w:w="440" w:type="dxa"/>
            <w:vAlign w:val="bottom"/>
            <w:gridSpan w:val="13"/>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10.15</w:t>
            </w:r>
          </w:p>
        </w:tc>
        <w:tc>
          <w:tcPr>
            <w:tcW w:w="3860" w:type="dxa"/>
            <w:vAlign w:val="bottom"/>
            <w:gridSpan w:val="31"/>
          </w:tcPr>
          <w:p>
            <w:pPr>
              <w:spacing w:after="0"/>
              <w:rPr>
                <w:rFonts w:ascii="Arial" w:cs="Arial" w:eastAsia="Arial" w:hAnsi="Arial"/>
                <w:sz w:val="18"/>
                <w:szCs w:val="18"/>
                <w:color w:val="0000EE"/>
              </w:rPr>
            </w:pPr>
            <w:hyperlink r:id="rId155">
              <w:r>
                <w:rPr>
                  <w:rFonts w:ascii="Arial" w:cs="Arial" w:eastAsia="Arial" w:hAnsi="Arial"/>
                  <w:sz w:val="18"/>
                  <w:szCs w:val="18"/>
                  <w:color w:val="0000EE"/>
                </w:rPr>
                <w:t>Amendment No. 1 to License and</w:t>
              </w:r>
            </w:hyperlink>
          </w:p>
        </w:tc>
      </w:tr>
      <w:tr>
        <w:trPr>
          <w:trHeight w:val="20"/>
        </w:trPr>
        <w:tc>
          <w:tcPr>
            <w:tcW w:w="1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83"/>
        </w:trPr>
        <w:tc>
          <w:tcPr>
            <w:tcW w:w="1320" w:type="dxa"/>
            <w:vAlign w:val="bottom"/>
          </w:tcPr>
          <w:p>
            <w:pPr>
              <w:spacing w:after="0"/>
              <w:rPr>
                <w:sz w:val="15"/>
                <w:szCs w:val="15"/>
                <w:color w:val="auto"/>
              </w:rPr>
            </w:pPr>
          </w:p>
        </w:tc>
        <w:tc>
          <w:tcPr>
            <w:tcW w:w="3860" w:type="dxa"/>
            <w:vAlign w:val="bottom"/>
            <w:tcBorders>
              <w:bottom w:val="single" w:sz="8" w:color="0000EE"/>
            </w:tcBorders>
            <w:gridSpan w:val="31"/>
          </w:tcPr>
          <w:p>
            <w:pPr>
              <w:spacing w:after="0" w:line="182" w:lineRule="exact"/>
              <w:rPr>
                <w:rFonts w:ascii="Arial" w:cs="Arial" w:eastAsia="Arial" w:hAnsi="Arial"/>
                <w:sz w:val="18"/>
                <w:szCs w:val="18"/>
                <w:color w:val="0000EE"/>
                <w:w w:val="99"/>
              </w:rPr>
            </w:pPr>
            <w:hyperlink r:id="rId155">
              <w:r>
                <w:rPr>
                  <w:rFonts w:ascii="Arial" w:cs="Arial" w:eastAsia="Arial" w:hAnsi="Arial"/>
                  <w:sz w:val="18"/>
                  <w:szCs w:val="18"/>
                  <w:color w:val="0000EE"/>
                  <w:w w:val="99"/>
                </w:rPr>
                <w:t>Commercialization Agreement, dated August 27,</w:t>
              </w:r>
            </w:hyperlink>
          </w:p>
        </w:tc>
      </w:tr>
      <w:tr>
        <w:trPr>
          <w:trHeight w:val="183"/>
        </w:trPr>
        <w:tc>
          <w:tcPr>
            <w:tcW w:w="1320" w:type="dxa"/>
            <w:vAlign w:val="bottom"/>
          </w:tcPr>
          <w:p>
            <w:pPr>
              <w:spacing w:after="0"/>
              <w:rPr>
                <w:sz w:val="15"/>
                <w:szCs w:val="15"/>
                <w:color w:val="auto"/>
              </w:rPr>
            </w:pPr>
          </w:p>
        </w:tc>
        <w:tc>
          <w:tcPr>
            <w:tcW w:w="3860" w:type="dxa"/>
            <w:vAlign w:val="bottom"/>
            <w:gridSpan w:val="31"/>
          </w:tcPr>
          <w:p>
            <w:pPr>
              <w:spacing w:after="0" w:line="182" w:lineRule="exact"/>
              <w:rPr>
                <w:rFonts w:ascii="Arial" w:cs="Arial" w:eastAsia="Arial" w:hAnsi="Arial"/>
                <w:sz w:val="18"/>
                <w:szCs w:val="18"/>
                <w:color w:val="0000EE"/>
              </w:rPr>
            </w:pPr>
            <w:hyperlink r:id="rId155">
              <w:r>
                <w:rPr>
                  <w:rFonts w:ascii="Arial" w:cs="Arial" w:eastAsia="Arial" w:hAnsi="Arial"/>
                  <w:sz w:val="18"/>
                  <w:szCs w:val="18"/>
                  <w:color w:val="0000EE"/>
                </w:rPr>
                <w:t>2018, by and between Bioprojet Société Civile</w:t>
              </w:r>
            </w:hyperlink>
          </w:p>
        </w:tc>
      </w:tr>
      <w:tr>
        <w:trPr>
          <w:trHeight w:val="20"/>
        </w:trPr>
        <w:tc>
          <w:tcPr>
            <w:tcW w:w="1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82"/>
        </w:trPr>
        <w:tc>
          <w:tcPr>
            <w:tcW w:w="1320" w:type="dxa"/>
            <w:vAlign w:val="bottom"/>
          </w:tcPr>
          <w:p>
            <w:pPr>
              <w:spacing w:after="0"/>
              <w:rPr>
                <w:sz w:val="15"/>
                <w:szCs w:val="15"/>
                <w:color w:val="auto"/>
              </w:rPr>
            </w:pPr>
          </w:p>
        </w:tc>
        <w:tc>
          <w:tcPr>
            <w:tcW w:w="3760" w:type="dxa"/>
            <w:vAlign w:val="bottom"/>
            <w:tcBorders>
              <w:bottom w:val="single" w:sz="8" w:color="0000EE"/>
            </w:tcBorders>
            <w:gridSpan w:val="28"/>
          </w:tcPr>
          <w:p>
            <w:pPr>
              <w:spacing w:after="0" w:line="182" w:lineRule="exact"/>
              <w:rPr>
                <w:rFonts w:ascii="Arial" w:cs="Arial" w:eastAsia="Arial" w:hAnsi="Arial"/>
                <w:sz w:val="18"/>
                <w:szCs w:val="18"/>
                <w:color w:val="0000EE"/>
                <w:w w:val="99"/>
              </w:rPr>
            </w:pPr>
            <w:hyperlink r:id="rId155">
              <w:r>
                <w:rPr>
                  <w:rFonts w:ascii="Arial" w:cs="Arial" w:eastAsia="Arial" w:hAnsi="Arial"/>
                  <w:sz w:val="18"/>
                  <w:szCs w:val="18"/>
                  <w:color w:val="0000EE"/>
                  <w:w w:val="99"/>
                </w:rPr>
                <w:t>de Recherche and Harmony Biosciences, LLC.</w:t>
              </w:r>
            </w:hyperlink>
          </w:p>
        </w:tc>
        <w:tc>
          <w:tcPr>
            <w:tcW w:w="100" w:type="dxa"/>
            <w:vAlign w:val="bottom"/>
            <w:gridSpan w:val="3"/>
          </w:tcPr>
          <w:p>
            <w:pPr>
              <w:spacing w:after="0"/>
              <w:rPr>
                <w:sz w:val="15"/>
                <w:szCs w:val="15"/>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10.16</w:t>
            </w:r>
          </w:p>
        </w:tc>
        <w:tc>
          <w:tcPr>
            <w:tcW w:w="3860" w:type="dxa"/>
            <w:vAlign w:val="bottom"/>
            <w:gridSpan w:val="31"/>
          </w:tcPr>
          <w:p>
            <w:pPr>
              <w:spacing w:after="0"/>
              <w:rPr>
                <w:rFonts w:ascii="Arial" w:cs="Arial" w:eastAsia="Arial" w:hAnsi="Arial"/>
                <w:sz w:val="18"/>
                <w:szCs w:val="18"/>
                <w:color w:val="0000EE"/>
              </w:rPr>
            </w:pPr>
            <w:hyperlink r:id="rId156">
              <w:r>
                <w:rPr>
                  <w:rFonts w:ascii="Arial" w:cs="Arial" w:eastAsia="Arial" w:hAnsi="Arial"/>
                  <w:sz w:val="18"/>
                  <w:szCs w:val="18"/>
                  <w:color w:val="0000EE"/>
                </w:rPr>
                <w:t>Trademark License Agreement, dated August</w:t>
              </w:r>
            </w:hyperlink>
          </w:p>
        </w:tc>
      </w:tr>
      <w:tr>
        <w:trPr>
          <w:trHeight w:val="20"/>
        </w:trPr>
        <w:tc>
          <w:tcPr>
            <w:tcW w:w="1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83"/>
        </w:trPr>
        <w:tc>
          <w:tcPr>
            <w:tcW w:w="1320" w:type="dxa"/>
            <w:vAlign w:val="bottom"/>
          </w:tcPr>
          <w:p>
            <w:pPr>
              <w:spacing w:after="0"/>
              <w:rPr>
                <w:sz w:val="15"/>
                <w:szCs w:val="15"/>
                <w:color w:val="auto"/>
              </w:rPr>
            </w:pPr>
          </w:p>
        </w:tc>
        <w:tc>
          <w:tcPr>
            <w:tcW w:w="3860" w:type="dxa"/>
            <w:vAlign w:val="bottom"/>
            <w:gridSpan w:val="31"/>
          </w:tcPr>
          <w:p>
            <w:pPr>
              <w:spacing w:after="0" w:line="182" w:lineRule="exact"/>
              <w:rPr>
                <w:rFonts w:ascii="Arial" w:cs="Arial" w:eastAsia="Arial" w:hAnsi="Arial"/>
                <w:sz w:val="18"/>
                <w:szCs w:val="18"/>
                <w:color w:val="0000EE"/>
              </w:rPr>
            </w:pPr>
            <w:hyperlink r:id="rId156">
              <w:r>
                <w:rPr>
                  <w:rFonts w:ascii="Arial" w:cs="Arial" w:eastAsia="Arial" w:hAnsi="Arial"/>
                  <w:sz w:val="18"/>
                  <w:szCs w:val="18"/>
                  <w:color w:val="0000EE"/>
                </w:rPr>
                <w:t>23, 2018, by and among Bioprojet Europe, Ltd.,</w:t>
              </w:r>
            </w:hyperlink>
          </w:p>
        </w:tc>
      </w:tr>
      <w:tr>
        <w:trPr>
          <w:trHeight w:val="183"/>
        </w:trPr>
        <w:tc>
          <w:tcPr>
            <w:tcW w:w="1320" w:type="dxa"/>
            <w:vAlign w:val="bottom"/>
          </w:tcPr>
          <w:p>
            <w:pPr>
              <w:spacing w:after="0"/>
              <w:rPr>
                <w:sz w:val="15"/>
                <w:szCs w:val="15"/>
                <w:color w:val="auto"/>
              </w:rPr>
            </w:pPr>
          </w:p>
        </w:tc>
        <w:tc>
          <w:tcPr>
            <w:tcW w:w="378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156">
              <w:r>
                <w:rPr>
                  <w:rFonts w:ascii="Arial" w:cs="Arial" w:eastAsia="Arial" w:hAnsi="Arial"/>
                  <w:sz w:val="18"/>
                  <w:szCs w:val="18"/>
                  <w:color w:val="0000EE"/>
                </w:rPr>
                <w:t>Bioprojet Société Civile de Recherche and</w:t>
              </w:r>
            </w:hyperlink>
          </w:p>
        </w:tc>
        <w:tc>
          <w:tcPr>
            <w:tcW w:w="80" w:type="dxa"/>
            <w:vAlign w:val="bottom"/>
            <w:gridSpan w:val="2"/>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222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r:id="rId156">
              <w:r>
                <w:rPr>
                  <w:rFonts w:ascii="Arial" w:cs="Arial" w:eastAsia="Arial" w:hAnsi="Arial"/>
                  <w:sz w:val="18"/>
                  <w:szCs w:val="18"/>
                  <w:color w:val="0000EE"/>
                  <w:w w:val="99"/>
                </w:rPr>
                <w:t>Harmony Biosciences, LLC.</w:t>
              </w:r>
            </w:hyperlink>
          </w:p>
        </w:tc>
        <w:tc>
          <w:tcPr>
            <w:tcW w:w="1140" w:type="dxa"/>
            <w:vAlign w:val="bottom"/>
            <w:tcBorders>
              <w:top w:val="single" w:sz="8" w:color="0000EE"/>
            </w:tcBorders>
            <w:gridSpan w:val="10"/>
          </w:tcPr>
          <w:p>
            <w:pPr>
              <w:spacing w:after="0"/>
              <w:rPr>
                <w:sz w:val="15"/>
                <w:szCs w:val="15"/>
                <w:color w:val="auto"/>
              </w:rPr>
            </w:pPr>
          </w:p>
        </w:tc>
        <w:tc>
          <w:tcPr>
            <w:tcW w:w="500" w:type="dxa"/>
            <w:vAlign w:val="bottom"/>
            <w:gridSpan w:val="14"/>
          </w:tcPr>
          <w:p>
            <w:pPr>
              <w:spacing w:after="0"/>
              <w:rPr>
                <w:sz w:val="15"/>
                <w:szCs w:val="15"/>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10.17</w:t>
            </w:r>
          </w:p>
        </w:tc>
        <w:tc>
          <w:tcPr>
            <w:tcW w:w="3860" w:type="dxa"/>
            <w:vAlign w:val="bottom"/>
            <w:gridSpan w:val="31"/>
          </w:tcPr>
          <w:p>
            <w:pPr>
              <w:spacing w:after="0"/>
              <w:rPr>
                <w:rFonts w:ascii="Arial" w:cs="Arial" w:eastAsia="Arial" w:hAnsi="Arial"/>
                <w:sz w:val="18"/>
                <w:szCs w:val="18"/>
                <w:color w:val="0000EE"/>
              </w:rPr>
            </w:pPr>
            <w:hyperlink r:id="rId157">
              <w:r>
                <w:rPr>
                  <w:rFonts w:ascii="Arial" w:cs="Arial" w:eastAsia="Arial" w:hAnsi="Arial"/>
                  <w:sz w:val="18"/>
                  <w:szCs w:val="18"/>
                  <w:color w:val="0000EE"/>
                </w:rPr>
                <w:t>Management Services Agreement, dated</w:t>
              </w:r>
            </w:hyperlink>
          </w:p>
        </w:tc>
      </w:tr>
      <w:tr>
        <w:trPr>
          <w:trHeight w:val="20"/>
        </w:trPr>
        <w:tc>
          <w:tcPr>
            <w:tcW w:w="1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520" w:type="dxa"/>
            <w:vAlign w:val="bottom"/>
            <w:gridSpan w:val="9"/>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83"/>
        </w:trPr>
        <w:tc>
          <w:tcPr>
            <w:tcW w:w="1320" w:type="dxa"/>
            <w:vAlign w:val="bottom"/>
          </w:tcPr>
          <w:p>
            <w:pPr>
              <w:spacing w:after="0"/>
              <w:rPr>
                <w:sz w:val="15"/>
                <w:szCs w:val="15"/>
                <w:color w:val="auto"/>
              </w:rPr>
            </w:pPr>
          </w:p>
        </w:tc>
        <w:tc>
          <w:tcPr>
            <w:tcW w:w="3740" w:type="dxa"/>
            <w:vAlign w:val="bottom"/>
            <w:tcBorders>
              <w:bottom w:val="single" w:sz="8" w:color="0000EE"/>
            </w:tcBorders>
            <w:gridSpan w:val="27"/>
          </w:tcPr>
          <w:p>
            <w:pPr>
              <w:spacing w:after="0" w:line="182" w:lineRule="exact"/>
              <w:rPr>
                <w:rFonts w:ascii="Arial" w:cs="Arial" w:eastAsia="Arial" w:hAnsi="Arial"/>
                <w:sz w:val="18"/>
                <w:szCs w:val="18"/>
                <w:color w:val="0000EE"/>
                <w:w w:val="99"/>
              </w:rPr>
            </w:pPr>
            <w:hyperlink r:id="rId157">
              <w:r>
                <w:rPr>
                  <w:rFonts w:ascii="Arial" w:cs="Arial" w:eastAsia="Arial" w:hAnsi="Arial"/>
                  <w:sz w:val="18"/>
                  <w:szCs w:val="18"/>
                  <w:color w:val="0000EE"/>
                  <w:w w:val="99"/>
                </w:rPr>
                <w:t>September 22, 2017, by and between Paragon</w:t>
              </w:r>
            </w:hyperlink>
          </w:p>
        </w:tc>
        <w:tc>
          <w:tcPr>
            <w:tcW w:w="120" w:type="dxa"/>
            <w:vAlign w:val="bottom"/>
            <w:gridSpan w:val="4"/>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358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r:id="rId157">
              <w:r>
                <w:rPr>
                  <w:rFonts w:ascii="Arial" w:cs="Arial" w:eastAsia="Arial" w:hAnsi="Arial"/>
                  <w:sz w:val="18"/>
                  <w:szCs w:val="18"/>
                  <w:color w:val="0000EE"/>
                  <w:w w:val="99"/>
                </w:rPr>
                <w:t>Biosciences, LLC and Harmony Biosciences,</w:t>
              </w:r>
            </w:hyperlink>
          </w:p>
        </w:tc>
        <w:tc>
          <w:tcPr>
            <w:tcW w:w="280" w:type="dxa"/>
            <w:vAlign w:val="bottom"/>
            <w:gridSpan w:val="9"/>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380" w:type="dxa"/>
            <w:vAlign w:val="bottom"/>
            <w:tcBorders>
              <w:bottom w:val="single" w:sz="8" w:color="0000EE"/>
            </w:tcBorders>
          </w:tcPr>
          <w:p>
            <w:pPr>
              <w:spacing w:after="0" w:line="182" w:lineRule="exact"/>
              <w:rPr>
                <w:rFonts w:ascii="Arial" w:cs="Arial" w:eastAsia="Arial" w:hAnsi="Arial"/>
                <w:sz w:val="18"/>
                <w:szCs w:val="18"/>
                <w:color w:val="0000EE"/>
                <w:w w:val="94"/>
              </w:rPr>
            </w:pPr>
            <w:hyperlink r:id="rId157">
              <w:r>
                <w:rPr>
                  <w:rFonts w:ascii="Arial" w:cs="Arial" w:eastAsia="Arial" w:hAnsi="Arial"/>
                  <w:sz w:val="18"/>
                  <w:szCs w:val="18"/>
                  <w:color w:val="0000EE"/>
                  <w:w w:val="94"/>
                </w:rPr>
                <w:t>LLC.</w:t>
              </w:r>
            </w:hyperlink>
          </w:p>
        </w:tc>
        <w:tc>
          <w:tcPr>
            <w:tcW w:w="3480" w:type="dxa"/>
            <w:vAlign w:val="bottom"/>
            <w:gridSpan w:val="30"/>
          </w:tcPr>
          <w:p>
            <w:pPr>
              <w:spacing w:after="0"/>
              <w:rPr>
                <w:sz w:val="15"/>
                <w:szCs w:val="15"/>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10.18</w:t>
            </w:r>
          </w:p>
        </w:tc>
        <w:tc>
          <w:tcPr>
            <w:tcW w:w="3860" w:type="dxa"/>
            <w:vAlign w:val="bottom"/>
            <w:gridSpan w:val="31"/>
          </w:tcPr>
          <w:p>
            <w:pPr>
              <w:spacing w:after="0"/>
              <w:rPr>
                <w:rFonts w:ascii="Arial" w:cs="Arial" w:eastAsia="Arial" w:hAnsi="Arial"/>
                <w:sz w:val="18"/>
                <w:szCs w:val="18"/>
                <w:color w:val="0000EE"/>
              </w:rPr>
            </w:pPr>
            <w:hyperlink r:id="rId158">
              <w:r>
                <w:rPr>
                  <w:rFonts w:ascii="Arial" w:cs="Arial" w:eastAsia="Arial" w:hAnsi="Arial"/>
                  <w:sz w:val="18"/>
                  <w:szCs w:val="18"/>
                  <w:color w:val="0000EE"/>
                </w:rPr>
                <w:t>Right of Use Agreement, dated November 1,</w:t>
              </w:r>
            </w:hyperlink>
          </w:p>
        </w:tc>
      </w:tr>
      <w:tr>
        <w:trPr>
          <w:trHeight w:val="20"/>
        </w:trPr>
        <w:tc>
          <w:tcPr>
            <w:tcW w:w="1320" w:type="dxa"/>
            <w:vAlign w:val="bottom"/>
          </w:tcPr>
          <w:p>
            <w:pPr>
              <w:spacing w:after="0" w:line="20" w:lineRule="exact"/>
              <w:rPr>
                <w:sz w:val="1"/>
                <w:szCs w:val="1"/>
                <w:color w:val="auto"/>
              </w:rPr>
            </w:pPr>
          </w:p>
        </w:tc>
        <w:tc>
          <w:tcPr>
            <w:tcW w:w="2900" w:type="dxa"/>
            <w:vAlign w:val="bottom"/>
            <w:gridSpan w:val="10"/>
            <w:shd w:val="clear" w:color="auto" w:fill="0000EE"/>
          </w:tcPr>
          <w:p>
            <w:pPr>
              <w:spacing w:after="0" w:line="20" w:lineRule="exact"/>
              <w:rPr>
                <w:sz w:val="1"/>
                <w:szCs w:val="1"/>
                <w:color w:val="auto"/>
              </w:rPr>
            </w:pPr>
          </w:p>
        </w:tc>
        <w:tc>
          <w:tcPr>
            <w:tcW w:w="620" w:type="dxa"/>
            <w:vAlign w:val="bottom"/>
            <w:tcBorders>
              <w:right w:val="single" w:sz="8" w:color="0000EE"/>
            </w:tcBorders>
            <w:gridSpan w:val="10"/>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r>
      <w:tr>
        <w:trPr>
          <w:trHeight w:val="183"/>
        </w:trPr>
        <w:tc>
          <w:tcPr>
            <w:tcW w:w="1320" w:type="dxa"/>
            <w:vAlign w:val="bottom"/>
          </w:tcPr>
          <w:p>
            <w:pPr>
              <w:spacing w:after="0"/>
              <w:rPr>
                <w:sz w:val="15"/>
                <w:szCs w:val="15"/>
                <w:color w:val="auto"/>
              </w:rPr>
            </w:pPr>
          </w:p>
        </w:tc>
        <w:tc>
          <w:tcPr>
            <w:tcW w:w="3860" w:type="dxa"/>
            <w:vAlign w:val="bottom"/>
            <w:gridSpan w:val="31"/>
          </w:tcPr>
          <w:p>
            <w:pPr>
              <w:spacing w:after="0" w:line="182" w:lineRule="exact"/>
              <w:rPr>
                <w:rFonts w:ascii="Arial" w:cs="Arial" w:eastAsia="Arial" w:hAnsi="Arial"/>
                <w:sz w:val="18"/>
                <w:szCs w:val="18"/>
                <w:color w:val="0000EE"/>
              </w:rPr>
            </w:pPr>
            <w:hyperlink r:id="rId158">
              <w:r>
                <w:rPr>
                  <w:rFonts w:ascii="Arial" w:cs="Arial" w:eastAsia="Arial" w:hAnsi="Arial"/>
                  <w:sz w:val="18"/>
                  <w:szCs w:val="18"/>
                  <w:color w:val="0000EE"/>
                </w:rPr>
                <w:t>2019, by and between Paragon Biosciences,</w:t>
              </w:r>
            </w:hyperlink>
          </w:p>
        </w:tc>
      </w:tr>
      <w:tr>
        <w:trPr>
          <w:trHeight w:val="183"/>
        </w:trPr>
        <w:tc>
          <w:tcPr>
            <w:tcW w:w="1320" w:type="dxa"/>
            <w:vAlign w:val="bottom"/>
          </w:tcPr>
          <w:p>
            <w:pPr>
              <w:spacing w:after="0"/>
              <w:rPr>
                <w:sz w:val="15"/>
                <w:szCs w:val="15"/>
                <w:color w:val="auto"/>
              </w:rPr>
            </w:pPr>
          </w:p>
        </w:tc>
        <w:tc>
          <w:tcPr>
            <w:tcW w:w="356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158">
              <w:r>
                <w:rPr>
                  <w:rFonts w:ascii="Arial" w:cs="Arial" w:eastAsia="Arial" w:hAnsi="Arial"/>
                  <w:sz w:val="18"/>
                  <w:szCs w:val="18"/>
                  <w:color w:val="0000EE"/>
                </w:rPr>
                <w:t>LLC and Harmony Biosciences, LLC</w:t>
              </w:r>
              <w:r>
                <w:rPr>
                  <w:rFonts w:ascii="Arial" w:cs="Arial" w:eastAsia="Arial" w:hAnsi="Arial"/>
                  <w:sz w:val="18"/>
                  <w:szCs w:val="18"/>
                  <w:color w:val="000000"/>
                </w:rPr>
                <w:t>.</w:t>
              </w:r>
            </w:hyperlink>
          </w:p>
        </w:tc>
        <w:tc>
          <w:tcPr>
            <w:tcW w:w="300" w:type="dxa"/>
            <w:vAlign w:val="bottom"/>
            <w:gridSpan w:val="10"/>
          </w:tcPr>
          <w:p>
            <w:pPr>
              <w:spacing w:after="0"/>
              <w:rPr>
                <w:sz w:val="15"/>
                <w:szCs w:val="15"/>
                <w:color w:val="auto"/>
              </w:rPr>
            </w:pPr>
          </w:p>
        </w:tc>
      </w:tr>
      <w:tr>
        <w:trPr>
          <w:trHeight w:val="857"/>
        </w:trPr>
        <w:tc>
          <w:tcPr>
            <w:tcW w:w="1320" w:type="dxa"/>
            <w:vAlign w:val="bottom"/>
          </w:tcPr>
          <w:p>
            <w:pPr>
              <w:spacing w:after="0"/>
              <w:rPr>
                <w:sz w:val="24"/>
                <w:szCs w:val="24"/>
                <w:color w:val="auto"/>
              </w:rPr>
            </w:pPr>
          </w:p>
        </w:tc>
        <w:tc>
          <w:tcPr>
            <w:tcW w:w="2900" w:type="dxa"/>
            <w:vAlign w:val="bottom"/>
            <w:tcBorders>
              <w:top w:val="single" w:sz="8" w:color="0000EE"/>
            </w:tcBorders>
            <w:gridSpan w:val="10"/>
          </w:tcPr>
          <w:p>
            <w:pPr>
              <w:spacing w:after="0"/>
              <w:rPr>
                <w:sz w:val="24"/>
                <w:szCs w:val="24"/>
                <w:color w:val="auto"/>
              </w:rPr>
            </w:pPr>
          </w:p>
        </w:tc>
        <w:tc>
          <w:tcPr>
            <w:tcW w:w="940" w:type="dxa"/>
            <w:vAlign w:val="bottom"/>
            <w:gridSpan w:val="20"/>
          </w:tcPr>
          <w:p>
            <w:pPr>
              <w:jc w:val="right"/>
              <w:ind w:right="40"/>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334645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jc w:val="center"/>
              <w:ind w:right="138"/>
              <w:spacing w:after="0"/>
              <w:rPr>
                <w:sz w:val="20"/>
                <w:szCs w:val="20"/>
                <w:color w:val="auto"/>
              </w:rPr>
            </w:pPr>
            <w:r>
              <w:rPr>
                <w:rFonts w:ascii="Arial" w:cs="Arial" w:eastAsia="Arial" w:hAnsi="Arial"/>
                <w:sz w:val="18"/>
                <w:szCs w:val="18"/>
                <w:color w:val="auto"/>
                <w:w w:val="97"/>
              </w:rPr>
              <w:t>S-1/A</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August 11,</w:t>
            </w:r>
          </w:p>
        </w:tc>
        <w:tc>
          <w:tcPr>
            <w:tcW w:w="640" w:type="dxa"/>
            <w:vAlign w:val="bottom"/>
          </w:tcPr>
          <w:p>
            <w:pPr>
              <w:jc w:val="center"/>
              <w:ind w:left="158"/>
              <w:spacing w:after="0"/>
              <w:rPr>
                <w:sz w:val="20"/>
                <w:szCs w:val="20"/>
                <w:color w:val="auto"/>
              </w:rPr>
            </w:pPr>
            <w:r>
              <w:rPr>
                <w:rFonts w:ascii="Arial" w:cs="Arial" w:eastAsia="Arial" w:hAnsi="Arial"/>
                <w:sz w:val="18"/>
                <w:szCs w:val="18"/>
                <w:color w:val="auto"/>
              </w:rPr>
              <w:t>10.6</w:t>
            </w:r>
          </w:p>
        </w:tc>
      </w:tr>
      <w:tr>
        <w:trPr>
          <w:trHeight w:val="217"/>
        </w:trPr>
        <w:tc>
          <w:tcPr>
            <w:tcW w:w="6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640" w:type="dxa"/>
            <w:vAlign w:val="bottom"/>
          </w:tcPr>
          <w:p>
            <w:pPr>
              <w:spacing w:after="0"/>
              <w:rPr>
                <w:sz w:val="18"/>
                <w:szCs w:val="18"/>
                <w:color w:val="auto"/>
              </w:rPr>
            </w:pPr>
          </w:p>
        </w:tc>
      </w:tr>
      <w:tr>
        <w:trPr>
          <w:trHeight w:val="593"/>
        </w:trPr>
        <w:tc>
          <w:tcPr>
            <w:tcW w:w="660" w:type="dxa"/>
            <w:vAlign w:val="bottom"/>
          </w:tcPr>
          <w:p>
            <w:pPr>
              <w:jc w:val="center"/>
              <w:ind w:right="138"/>
              <w:spacing w:after="0"/>
              <w:rPr>
                <w:sz w:val="20"/>
                <w:szCs w:val="20"/>
                <w:color w:val="auto"/>
              </w:rPr>
            </w:pPr>
            <w:r>
              <w:rPr>
                <w:rFonts w:ascii="Arial" w:cs="Arial" w:eastAsia="Arial" w:hAnsi="Arial"/>
                <w:sz w:val="18"/>
                <w:szCs w:val="18"/>
                <w:color w:val="auto"/>
                <w:w w:val="97"/>
              </w:rPr>
              <w:t>S-1/A</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August 11,</w:t>
            </w:r>
          </w:p>
        </w:tc>
        <w:tc>
          <w:tcPr>
            <w:tcW w:w="640" w:type="dxa"/>
            <w:vAlign w:val="bottom"/>
          </w:tcPr>
          <w:p>
            <w:pPr>
              <w:jc w:val="center"/>
              <w:ind w:left="158"/>
              <w:spacing w:after="0"/>
              <w:rPr>
                <w:sz w:val="20"/>
                <w:szCs w:val="20"/>
                <w:color w:val="auto"/>
              </w:rPr>
            </w:pPr>
            <w:r>
              <w:rPr>
                <w:rFonts w:ascii="Arial" w:cs="Arial" w:eastAsia="Arial" w:hAnsi="Arial"/>
                <w:sz w:val="18"/>
                <w:szCs w:val="18"/>
                <w:color w:val="auto"/>
              </w:rPr>
              <w:t>10.7</w:t>
            </w:r>
          </w:p>
        </w:tc>
      </w:tr>
      <w:tr>
        <w:trPr>
          <w:trHeight w:val="217"/>
        </w:trPr>
        <w:tc>
          <w:tcPr>
            <w:tcW w:w="6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640" w:type="dxa"/>
            <w:vAlign w:val="bottom"/>
          </w:tcPr>
          <w:p>
            <w:pPr>
              <w:spacing w:after="0"/>
              <w:rPr>
                <w:sz w:val="18"/>
                <w:szCs w:val="18"/>
                <w:color w:val="auto"/>
              </w:rPr>
            </w:pPr>
          </w:p>
        </w:tc>
      </w:tr>
      <w:tr>
        <w:trPr>
          <w:trHeight w:val="380"/>
        </w:trPr>
        <w:tc>
          <w:tcPr>
            <w:tcW w:w="660" w:type="dxa"/>
            <w:vAlign w:val="bottom"/>
          </w:tcPr>
          <w:p>
            <w:pPr>
              <w:jc w:val="center"/>
              <w:ind w:right="138"/>
              <w:spacing w:after="0"/>
              <w:rPr>
                <w:sz w:val="20"/>
                <w:szCs w:val="20"/>
                <w:color w:val="auto"/>
              </w:rPr>
            </w:pPr>
            <w:r>
              <w:rPr>
                <w:rFonts w:ascii="Arial" w:cs="Arial" w:eastAsia="Arial" w:hAnsi="Arial"/>
                <w:sz w:val="16"/>
                <w:szCs w:val="16"/>
                <w:color w:val="auto"/>
                <w:w w:val="99"/>
              </w:rPr>
              <w:t>S-1/A</w:t>
            </w:r>
          </w:p>
        </w:tc>
        <w:tc>
          <w:tcPr>
            <w:tcW w:w="1500" w:type="dxa"/>
            <w:vAlign w:val="bottom"/>
          </w:tcPr>
          <w:p>
            <w:pPr>
              <w:jc w:val="center"/>
              <w:spacing w:after="0"/>
              <w:rPr>
                <w:sz w:val="20"/>
                <w:szCs w:val="20"/>
                <w:color w:val="auto"/>
              </w:rPr>
            </w:pPr>
            <w:r>
              <w:rPr>
                <w:rFonts w:ascii="Arial" w:cs="Arial" w:eastAsia="Arial" w:hAnsi="Arial"/>
                <w:sz w:val="16"/>
                <w:szCs w:val="16"/>
                <w:color w:val="auto"/>
              </w:rPr>
              <w:t>August 11,</w:t>
            </w:r>
          </w:p>
        </w:tc>
        <w:tc>
          <w:tcPr>
            <w:tcW w:w="640" w:type="dxa"/>
            <w:vAlign w:val="bottom"/>
          </w:tcPr>
          <w:p>
            <w:pPr>
              <w:jc w:val="center"/>
              <w:ind w:left="158"/>
              <w:spacing w:after="0"/>
              <w:rPr>
                <w:sz w:val="20"/>
                <w:szCs w:val="20"/>
                <w:color w:val="auto"/>
              </w:rPr>
            </w:pPr>
            <w:r>
              <w:rPr>
                <w:rFonts w:ascii="Arial" w:cs="Arial" w:eastAsia="Arial" w:hAnsi="Arial"/>
                <w:sz w:val="16"/>
                <w:szCs w:val="16"/>
                <w:color w:val="auto"/>
              </w:rPr>
              <w:t>10.8</w:t>
            </w:r>
          </w:p>
        </w:tc>
      </w:tr>
      <w:tr>
        <w:trPr>
          <w:trHeight w:val="195"/>
        </w:trPr>
        <w:tc>
          <w:tcPr>
            <w:tcW w:w="6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2020</w:t>
            </w:r>
          </w:p>
        </w:tc>
        <w:tc>
          <w:tcPr>
            <w:tcW w:w="640" w:type="dxa"/>
            <w:vAlign w:val="bottom"/>
          </w:tcPr>
          <w:p>
            <w:pPr>
              <w:spacing w:after="0"/>
              <w:rPr>
                <w:sz w:val="16"/>
                <w:szCs w:val="16"/>
                <w:color w:val="auto"/>
              </w:rPr>
            </w:pPr>
          </w:p>
        </w:tc>
      </w:tr>
      <w:tr>
        <w:trPr>
          <w:trHeight w:val="818"/>
        </w:trPr>
        <w:tc>
          <w:tcPr>
            <w:tcW w:w="660" w:type="dxa"/>
            <w:vAlign w:val="bottom"/>
          </w:tcPr>
          <w:p>
            <w:pPr>
              <w:jc w:val="center"/>
              <w:ind w:right="138"/>
              <w:spacing w:after="0"/>
              <w:rPr>
                <w:sz w:val="20"/>
                <w:szCs w:val="20"/>
                <w:color w:val="auto"/>
              </w:rPr>
            </w:pPr>
            <w:r>
              <w:rPr>
                <w:rFonts w:ascii="Arial" w:cs="Arial" w:eastAsia="Arial" w:hAnsi="Arial"/>
                <w:sz w:val="16"/>
                <w:szCs w:val="16"/>
                <w:color w:val="auto"/>
                <w:w w:val="99"/>
              </w:rPr>
              <w:t>S-1/A</w:t>
            </w:r>
          </w:p>
        </w:tc>
        <w:tc>
          <w:tcPr>
            <w:tcW w:w="1500" w:type="dxa"/>
            <w:vAlign w:val="bottom"/>
          </w:tcPr>
          <w:p>
            <w:pPr>
              <w:jc w:val="center"/>
              <w:spacing w:after="0"/>
              <w:rPr>
                <w:sz w:val="20"/>
                <w:szCs w:val="20"/>
                <w:color w:val="auto"/>
              </w:rPr>
            </w:pPr>
            <w:r>
              <w:rPr>
                <w:rFonts w:ascii="Arial" w:cs="Arial" w:eastAsia="Arial" w:hAnsi="Arial"/>
                <w:sz w:val="16"/>
                <w:szCs w:val="16"/>
                <w:color w:val="auto"/>
              </w:rPr>
              <w:t>August 11,</w:t>
            </w:r>
          </w:p>
        </w:tc>
        <w:tc>
          <w:tcPr>
            <w:tcW w:w="640" w:type="dxa"/>
            <w:vAlign w:val="bottom"/>
          </w:tcPr>
          <w:p>
            <w:pPr>
              <w:jc w:val="center"/>
              <w:ind w:left="158"/>
              <w:spacing w:after="0"/>
              <w:rPr>
                <w:sz w:val="20"/>
                <w:szCs w:val="20"/>
                <w:color w:val="auto"/>
              </w:rPr>
            </w:pPr>
            <w:r>
              <w:rPr>
                <w:rFonts w:ascii="Arial" w:cs="Arial" w:eastAsia="Arial" w:hAnsi="Arial"/>
                <w:sz w:val="16"/>
                <w:szCs w:val="16"/>
                <w:color w:val="auto"/>
                <w:w w:val="99"/>
              </w:rPr>
              <w:t>10.12</w:t>
            </w:r>
          </w:p>
        </w:tc>
      </w:tr>
      <w:tr>
        <w:trPr>
          <w:trHeight w:val="195"/>
        </w:trPr>
        <w:tc>
          <w:tcPr>
            <w:tcW w:w="6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2020</w:t>
            </w:r>
          </w:p>
        </w:tc>
        <w:tc>
          <w:tcPr>
            <w:tcW w:w="640" w:type="dxa"/>
            <w:vAlign w:val="bottom"/>
          </w:tcPr>
          <w:p>
            <w:pPr>
              <w:spacing w:after="0"/>
              <w:rPr>
                <w:sz w:val="16"/>
                <w:szCs w:val="16"/>
                <w:color w:val="auto"/>
              </w:rPr>
            </w:pPr>
          </w:p>
        </w:tc>
      </w:tr>
      <w:tr>
        <w:trPr>
          <w:trHeight w:val="615"/>
        </w:trPr>
        <w:tc>
          <w:tcPr>
            <w:tcW w:w="660" w:type="dxa"/>
            <w:vAlign w:val="bottom"/>
          </w:tcPr>
          <w:p>
            <w:pPr>
              <w:jc w:val="center"/>
              <w:ind w:right="138"/>
              <w:spacing w:after="0"/>
              <w:rPr>
                <w:sz w:val="20"/>
                <w:szCs w:val="20"/>
                <w:color w:val="auto"/>
              </w:rPr>
            </w:pPr>
            <w:r>
              <w:rPr>
                <w:rFonts w:ascii="Arial" w:cs="Arial" w:eastAsia="Arial" w:hAnsi="Arial"/>
                <w:sz w:val="16"/>
                <w:szCs w:val="16"/>
                <w:color w:val="auto"/>
                <w:w w:val="99"/>
              </w:rPr>
              <w:t>S-1/A</w:t>
            </w:r>
          </w:p>
        </w:tc>
        <w:tc>
          <w:tcPr>
            <w:tcW w:w="1500" w:type="dxa"/>
            <w:vAlign w:val="bottom"/>
          </w:tcPr>
          <w:p>
            <w:pPr>
              <w:jc w:val="center"/>
              <w:spacing w:after="0"/>
              <w:rPr>
                <w:sz w:val="20"/>
                <w:szCs w:val="20"/>
                <w:color w:val="auto"/>
              </w:rPr>
            </w:pPr>
            <w:r>
              <w:rPr>
                <w:rFonts w:ascii="Arial" w:cs="Arial" w:eastAsia="Arial" w:hAnsi="Arial"/>
                <w:sz w:val="16"/>
                <w:szCs w:val="16"/>
                <w:color w:val="auto"/>
              </w:rPr>
              <w:t>August 11,</w:t>
            </w:r>
          </w:p>
        </w:tc>
        <w:tc>
          <w:tcPr>
            <w:tcW w:w="640" w:type="dxa"/>
            <w:vAlign w:val="bottom"/>
          </w:tcPr>
          <w:p>
            <w:pPr>
              <w:jc w:val="center"/>
              <w:ind w:left="158"/>
              <w:spacing w:after="0"/>
              <w:rPr>
                <w:sz w:val="20"/>
                <w:szCs w:val="20"/>
                <w:color w:val="auto"/>
              </w:rPr>
            </w:pPr>
            <w:r>
              <w:rPr>
                <w:rFonts w:ascii="Arial" w:cs="Arial" w:eastAsia="Arial" w:hAnsi="Arial"/>
                <w:sz w:val="16"/>
                <w:szCs w:val="16"/>
                <w:color w:val="auto"/>
                <w:w w:val="99"/>
              </w:rPr>
              <w:t>10.13</w:t>
            </w:r>
          </w:p>
        </w:tc>
      </w:tr>
      <w:tr>
        <w:trPr>
          <w:trHeight w:val="195"/>
        </w:trPr>
        <w:tc>
          <w:tcPr>
            <w:tcW w:w="6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2020</w:t>
            </w:r>
          </w:p>
        </w:tc>
        <w:tc>
          <w:tcPr>
            <w:tcW w:w="640" w:type="dxa"/>
            <w:vAlign w:val="bottom"/>
          </w:tcPr>
          <w:p>
            <w:pPr>
              <w:spacing w:after="0"/>
              <w:rPr>
                <w:sz w:val="16"/>
                <w:szCs w:val="16"/>
                <w:color w:val="auto"/>
              </w:rPr>
            </w:pPr>
          </w:p>
        </w:tc>
      </w:tr>
      <w:tr>
        <w:trPr>
          <w:trHeight w:val="386"/>
        </w:trPr>
        <w:tc>
          <w:tcPr>
            <w:tcW w:w="660" w:type="dxa"/>
            <w:vAlign w:val="bottom"/>
          </w:tcPr>
          <w:p>
            <w:pPr>
              <w:jc w:val="center"/>
              <w:ind w:right="138"/>
              <w:spacing w:after="0"/>
              <w:rPr>
                <w:sz w:val="20"/>
                <w:szCs w:val="20"/>
                <w:color w:val="auto"/>
              </w:rPr>
            </w:pPr>
            <w:r>
              <w:rPr>
                <w:rFonts w:ascii="Arial" w:cs="Arial" w:eastAsia="Arial" w:hAnsi="Arial"/>
                <w:sz w:val="16"/>
                <w:szCs w:val="16"/>
                <w:color w:val="auto"/>
                <w:w w:val="99"/>
              </w:rPr>
              <w:t>S-1/A</w:t>
            </w:r>
          </w:p>
        </w:tc>
        <w:tc>
          <w:tcPr>
            <w:tcW w:w="1500" w:type="dxa"/>
            <w:vAlign w:val="bottom"/>
          </w:tcPr>
          <w:p>
            <w:pPr>
              <w:jc w:val="center"/>
              <w:spacing w:after="0"/>
              <w:rPr>
                <w:sz w:val="20"/>
                <w:szCs w:val="20"/>
                <w:color w:val="auto"/>
              </w:rPr>
            </w:pPr>
            <w:r>
              <w:rPr>
                <w:rFonts w:ascii="Arial" w:cs="Arial" w:eastAsia="Arial" w:hAnsi="Arial"/>
                <w:sz w:val="16"/>
                <w:szCs w:val="16"/>
                <w:color w:val="auto"/>
              </w:rPr>
              <w:t>August 11,</w:t>
            </w:r>
          </w:p>
        </w:tc>
        <w:tc>
          <w:tcPr>
            <w:tcW w:w="640" w:type="dxa"/>
            <w:vAlign w:val="bottom"/>
          </w:tcPr>
          <w:p>
            <w:pPr>
              <w:jc w:val="center"/>
              <w:ind w:left="158"/>
              <w:spacing w:after="0"/>
              <w:rPr>
                <w:sz w:val="20"/>
                <w:szCs w:val="20"/>
                <w:color w:val="auto"/>
              </w:rPr>
            </w:pPr>
            <w:r>
              <w:rPr>
                <w:rFonts w:ascii="Arial" w:cs="Arial" w:eastAsia="Arial" w:hAnsi="Arial"/>
                <w:sz w:val="16"/>
                <w:szCs w:val="16"/>
                <w:color w:val="auto"/>
              </w:rPr>
              <w:t>10.3</w:t>
            </w:r>
          </w:p>
        </w:tc>
      </w:tr>
      <w:tr>
        <w:trPr>
          <w:trHeight w:val="195"/>
        </w:trPr>
        <w:tc>
          <w:tcPr>
            <w:tcW w:w="6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2020</w:t>
            </w:r>
          </w:p>
        </w:tc>
        <w:tc>
          <w:tcPr>
            <w:tcW w:w="640" w:type="dxa"/>
            <w:vAlign w:val="bottom"/>
          </w:tcPr>
          <w:p>
            <w:pPr>
              <w:spacing w:after="0"/>
              <w:rPr>
                <w:sz w:val="16"/>
                <w:szCs w:val="16"/>
                <w:color w:val="auto"/>
              </w:rPr>
            </w:pPr>
          </w:p>
        </w:tc>
      </w:tr>
      <w:tr>
        <w:trPr>
          <w:trHeight w:val="413"/>
        </w:trPr>
        <w:tc>
          <w:tcPr>
            <w:tcW w:w="660" w:type="dxa"/>
            <w:vAlign w:val="bottom"/>
          </w:tcPr>
          <w:p>
            <w:pPr>
              <w:jc w:val="center"/>
              <w:ind w:right="138"/>
              <w:spacing w:after="0"/>
              <w:rPr>
                <w:sz w:val="20"/>
                <w:szCs w:val="20"/>
                <w:color w:val="auto"/>
              </w:rPr>
            </w:pPr>
            <w:r>
              <w:rPr>
                <w:rFonts w:ascii="Arial" w:cs="Arial" w:eastAsia="Arial" w:hAnsi="Arial"/>
                <w:sz w:val="16"/>
                <w:szCs w:val="16"/>
                <w:color w:val="auto"/>
              </w:rPr>
              <w:t>10-Q</w:t>
            </w:r>
          </w:p>
        </w:tc>
        <w:tc>
          <w:tcPr>
            <w:tcW w:w="1500" w:type="dxa"/>
            <w:vAlign w:val="bottom"/>
          </w:tcPr>
          <w:p>
            <w:pPr>
              <w:jc w:val="center"/>
              <w:spacing w:after="0"/>
              <w:rPr>
                <w:sz w:val="20"/>
                <w:szCs w:val="20"/>
                <w:color w:val="auto"/>
              </w:rPr>
            </w:pPr>
            <w:r>
              <w:rPr>
                <w:rFonts w:ascii="Arial" w:cs="Arial" w:eastAsia="Arial" w:hAnsi="Arial"/>
                <w:sz w:val="16"/>
                <w:szCs w:val="16"/>
                <w:color w:val="auto"/>
              </w:rPr>
              <w:t>November 12,</w:t>
            </w:r>
          </w:p>
        </w:tc>
        <w:tc>
          <w:tcPr>
            <w:tcW w:w="640" w:type="dxa"/>
            <w:vAlign w:val="bottom"/>
          </w:tcPr>
          <w:p>
            <w:pPr>
              <w:jc w:val="center"/>
              <w:ind w:left="158"/>
              <w:spacing w:after="0"/>
              <w:rPr>
                <w:sz w:val="20"/>
                <w:szCs w:val="20"/>
                <w:color w:val="auto"/>
              </w:rPr>
            </w:pPr>
            <w:r>
              <w:rPr>
                <w:rFonts w:ascii="Arial" w:cs="Arial" w:eastAsia="Arial" w:hAnsi="Arial"/>
                <w:sz w:val="16"/>
                <w:szCs w:val="16"/>
                <w:color w:val="auto"/>
              </w:rPr>
              <w:t>10.9</w:t>
            </w:r>
          </w:p>
        </w:tc>
      </w:tr>
      <w:tr>
        <w:trPr>
          <w:trHeight w:val="195"/>
        </w:trPr>
        <w:tc>
          <w:tcPr>
            <w:tcW w:w="6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2020</w:t>
            </w:r>
          </w:p>
        </w:tc>
        <w:tc>
          <w:tcPr>
            <w:tcW w:w="640" w:type="dxa"/>
            <w:vAlign w:val="bottom"/>
          </w:tcPr>
          <w:p>
            <w:pPr>
              <w:spacing w:after="0"/>
              <w:rPr>
                <w:sz w:val="16"/>
                <w:szCs w:val="16"/>
                <w:color w:val="auto"/>
              </w:rPr>
            </w:pPr>
          </w:p>
        </w:tc>
      </w:tr>
      <w:tr>
        <w:trPr>
          <w:trHeight w:val="413"/>
        </w:trPr>
        <w:tc>
          <w:tcPr>
            <w:tcW w:w="660" w:type="dxa"/>
            <w:vAlign w:val="bottom"/>
          </w:tcPr>
          <w:p>
            <w:pPr>
              <w:jc w:val="center"/>
              <w:ind w:right="138"/>
              <w:spacing w:after="0"/>
              <w:rPr>
                <w:sz w:val="20"/>
                <w:szCs w:val="20"/>
                <w:color w:val="auto"/>
              </w:rPr>
            </w:pPr>
            <w:r>
              <w:rPr>
                <w:rFonts w:ascii="Arial" w:cs="Arial" w:eastAsia="Arial" w:hAnsi="Arial"/>
                <w:sz w:val="16"/>
                <w:szCs w:val="16"/>
                <w:color w:val="auto"/>
                <w:w w:val="99"/>
              </w:rPr>
              <w:t>S-1/A</w:t>
            </w:r>
          </w:p>
        </w:tc>
        <w:tc>
          <w:tcPr>
            <w:tcW w:w="1500" w:type="dxa"/>
            <w:vAlign w:val="bottom"/>
          </w:tcPr>
          <w:p>
            <w:pPr>
              <w:jc w:val="center"/>
              <w:spacing w:after="0"/>
              <w:rPr>
                <w:sz w:val="20"/>
                <w:szCs w:val="20"/>
                <w:color w:val="auto"/>
              </w:rPr>
            </w:pPr>
            <w:r>
              <w:rPr>
                <w:rFonts w:ascii="Arial" w:cs="Arial" w:eastAsia="Arial" w:hAnsi="Arial"/>
                <w:sz w:val="16"/>
                <w:szCs w:val="16"/>
                <w:color w:val="auto"/>
              </w:rPr>
              <w:t>August 11,</w:t>
            </w:r>
          </w:p>
        </w:tc>
        <w:tc>
          <w:tcPr>
            <w:tcW w:w="640" w:type="dxa"/>
            <w:vAlign w:val="bottom"/>
          </w:tcPr>
          <w:p>
            <w:pPr>
              <w:jc w:val="center"/>
              <w:ind w:left="158"/>
              <w:spacing w:after="0"/>
              <w:rPr>
                <w:sz w:val="20"/>
                <w:szCs w:val="20"/>
                <w:color w:val="auto"/>
              </w:rPr>
            </w:pPr>
            <w:r>
              <w:rPr>
                <w:rFonts w:ascii="Arial" w:cs="Arial" w:eastAsia="Arial" w:hAnsi="Arial"/>
                <w:sz w:val="16"/>
                <w:szCs w:val="16"/>
                <w:color w:val="auto"/>
              </w:rPr>
              <w:t>10.9</w:t>
            </w:r>
          </w:p>
        </w:tc>
      </w:tr>
      <w:tr>
        <w:trPr>
          <w:trHeight w:val="195"/>
        </w:trPr>
        <w:tc>
          <w:tcPr>
            <w:tcW w:w="6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2020</w:t>
            </w:r>
          </w:p>
        </w:tc>
        <w:tc>
          <w:tcPr>
            <w:tcW w:w="640" w:type="dxa"/>
            <w:vAlign w:val="bottom"/>
          </w:tcPr>
          <w:p>
            <w:pPr>
              <w:spacing w:after="0"/>
              <w:rPr>
                <w:sz w:val="16"/>
                <w:szCs w:val="16"/>
                <w:color w:val="auto"/>
              </w:rPr>
            </w:pPr>
          </w:p>
        </w:tc>
      </w:tr>
      <w:tr>
        <w:trPr>
          <w:trHeight w:val="615"/>
        </w:trPr>
        <w:tc>
          <w:tcPr>
            <w:tcW w:w="660" w:type="dxa"/>
            <w:vAlign w:val="bottom"/>
          </w:tcPr>
          <w:p>
            <w:pPr>
              <w:jc w:val="center"/>
              <w:ind w:right="138"/>
              <w:spacing w:after="0"/>
              <w:rPr>
                <w:sz w:val="20"/>
                <w:szCs w:val="20"/>
                <w:color w:val="auto"/>
              </w:rPr>
            </w:pPr>
            <w:r>
              <w:rPr>
                <w:rFonts w:ascii="Arial" w:cs="Arial" w:eastAsia="Arial" w:hAnsi="Arial"/>
                <w:sz w:val="16"/>
                <w:szCs w:val="16"/>
                <w:color w:val="auto"/>
                <w:w w:val="99"/>
              </w:rPr>
              <w:t>S-1/A</w:t>
            </w:r>
          </w:p>
        </w:tc>
        <w:tc>
          <w:tcPr>
            <w:tcW w:w="1500" w:type="dxa"/>
            <w:vAlign w:val="bottom"/>
          </w:tcPr>
          <w:p>
            <w:pPr>
              <w:jc w:val="center"/>
              <w:spacing w:after="0"/>
              <w:rPr>
                <w:sz w:val="20"/>
                <w:szCs w:val="20"/>
                <w:color w:val="auto"/>
              </w:rPr>
            </w:pPr>
            <w:r>
              <w:rPr>
                <w:rFonts w:ascii="Arial" w:cs="Arial" w:eastAsia="Arial" w:hAnsi="Arial"/>
                <w:sz w:val="16"/>
                <w:szCs w:val="16"/>
                <w:color w:val="auto"/>
              </w:rPr>
              <w:t>August 11,</w:t>
            </w:r>
          </w:p>
        </w:tc>
        <w:tc>
          <w:tcPr>
            <w:tcW w:w="640" w:type="dxa"/>
            <w:vAlign w:val="bottom"/>
          </w:tcPr>
          <w:p>
            <w:pPr>
              <w:jc w:val="center"/>
              <w:ind w:left="158"/>
              <w:spacing w:after="0"/>
              <w:rPr>
                <w:sz w:val="20"/>
                <w:szCs w:val="20"/>
                <w:color w:val="auto"/>
              </w:rPr>
            </w:pPr>
            <w:r>
              <w:rPr>
                <w:rFonts w:ascii="Arial" w:cs="Arial" w:eastAsia="Arial" w:hAnsi="Arial"/>
                <w:sz w:val="16"/>
                <w:szCs w:val="16"/>
                <w:color w:val="auto"/>
                <w:w w:val="99"/>
              </w:rPr>
              <w:t>10.10</w:t>
            </w:r>
          </w:p>
        </w:tc>
      </w:tr>
      <w:tr>
        <w:trPr>
          <w:trHeight w:val="195"/>
        </w:trPr>
        <w:tc>
          <w:tcPr>
            <w:tcW w:w="6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2020</w:t>
            </w:r>
          </w:p>
        </w:tc>
        <w:tc>
          <w:tcPr>
            <w:tcW w:w="640" w:type="dxa"/>
            <w:vAlign w:val="bottom"/>
          </w:tcPr>
          <w:p>
            <w:pPr>
              <w:spacing w:after="0"/>
              <w:rPr>
                <w:sz w:val="16"/>
                <w:szCs w:val="16"/>
                <w:color w:val="auto"/>
              </w:rPr>
            </w:pPr>
          </w:p>
        </w:tc>
      </w:tr>
      <w:tr>
        <w:trPr>
          <w:trHeight w:val="621"/>
        </w:trPr>
        <w:tc>
          <w:tcPr>
            <w:tcW w:w="660" w:type="dxa"/>
            <w:vAlign w:val="bottom"/>
          </w:tcPr>
          <w:p>
            <w:pPr>
              <w:jc w:val="center"/>
              <w:ind w:right="158"/>
              <w:spacing w:after="0"/>
              <w:rPr>
                <w:sz w:val="20"/>
                <w:szCs w:val="20"/>
                <w:color w:val="auto"/>
              </w:rPr>
            </w:pPr>
            <w:r>
              <w:rPr>
                <w:rFonts w:ascii="Arial" w:cs="Arial" w:eastAsia="Arial" w:hAnsi="Arial"/>
                <w:sz w:val="16"/>
                <w:szCs w:val="16"/>
                <w:color w:val="auto"/>
              </w:rPr>
              <w:t>S-1</w:t>
            </w:r>
          </w:p>
        </w:tc>
        <w:tc>
          <w:tcPr>
            <w:tcW w:w="1500" w:type="dxa"/>
            <w:vAlign w:val="bottom"/>
          </w:tcPr>
          <w:p>
            <w:pPr>
              <w:jc w:val="center"/>
              <w:spacing w:after="0"/>
              <w:rPr>
                <w:sz w:val="20"/>
                <w:szCs w:val="20"/>
                <w:color w:val="auto"/>
              </w:rPr>
            </w:pPr>
            <w:r>
              <w:rPr>
                <w:rFonts w:ascii="Arial" w:cs="Arial" w:eastAsia="Arial" w:hAnsi="Arial"/>
                <w:sz w:val="16"/>
                <w:szCs w:val="16"/>
                <w:color w:val="auto"/>
              </w:rPr>
              <w:t>July 27, 2020</w:t>
            </w:r>
          </w:p>
        </w:tc>
        <w:tc>
          <w:tcPr>
            <w:tcW w:w="640" w:type="dxa"/>
            <w:vAlign w:val="bottom"/>
          </w:tcPr>
          <w:p>
            <w:pPr>
              <w:jc w:val="center"/>
              <w:ind w:left="158"/>
              <w:spacing w:after="0"/>
              <w:rPr>
                <w:sz w:val="20"/>
                <w:szCs w:val="20"/>
                <w:color w:val="auto"/>
              </w:rPr>
            </w:pPr>
            <w:r>
              <w:rPr>
                <w:rFonts w:ascii="Arial" w:cs="Arial" w:eastAsia="Arial" w:hAnsi="Arial"/>
                <w:sz w:val="16"/>
                <w:szCs w:val="16"/>
                <w:color w:val="auto"/>
                <w:w w:val="99"/>
              </w:rPr>
              <w:t>10.10</w:t>
            </w:r>
          </w:p>
        </w:tc>
      </w:tr>
      <w:tr>
        <w:trPr>
          <w:trHeight w:val="1013"/>
        </w:trPr>
        <w:tc>
          <w:tcPr>
            <w:tcW w:w="660" w:type="dxa"/>
            <w:vAlign w:val="bottom"/>
          </w:tcPr>
          <w:p>
            <w:pPr>
              <w:jc w:val="center"/>
              <w:ind w:right="158"/>
              <w:spacing w:after="0"/>
              <w:rPr>
                <w:sz w:val="20"/>
                <w:szCs w:val="20"/>
                <w:color w:val="auto"/>
              </w:rPr>
            </w:pPr>
            <w:r>
              <w:rPr>
                <w:rFonts w:ascii="Arial" w:cs="Arial" w:eastAsia="Arial" w:hAnsi="Arial"/>
                <w:sz w:val="16"/>
                <w:szCs w:val="16"/>
                <w:color w:val="auto"/>
              </w:rPr>
              <w:t>S-1</w:t>
            </w:r>
          </w:p>
        </w:tc>
        <w:tc>
          <w:tcPr>
            <w:tcW w:w="1500" w:type="dxa"/>
            <w:vAlign w:val="bottom"/>
          </w:tcPr>
          <w:p>
            <w:pPr>
              <w:jc w:val="center"/>
              <w:spacing w:after="0"/>
              <w:rPr>
                <w:sz w:val="20"/>
                <w:szCs w:val="20"/>
                <w:color w:val="auto"/>
              </w:rPr>
            </w:pPr>
            <w:r>
              <w:rPr>
                <w:rFonts w:ascii="Arial" w:cs="Arial" w:eastAsia="Arial" w:hAnsi="Arial"/>
                <w:sz w:val="16"/>
                <w:szCs w:val="16"/>
                <w:color w:val="auto"/>
              </w:rPr>
              <w:t>July 27, 2020</w:t>
            </w:r>
          </w:p>
        </w:tc>
        <w:tc>
          <w:tcPr>
            <w:tcW w:w="640" w:type="dxa"/>
            <w:vAlign w:val="bottom"/>
          </w:tcPr>
          <w:p>
            <w:pPr>
              <w:jc w:val="center"/>
              <w:ind w:left="158"/>
              <w:spacing w:after="0"/>
              <w:rPr>
                <w:sz w:val="20"/>
                <w:szCs w:val="20"/>
                <w:color w:val="auto"/>
              </w:rPr>
            </w:pPr>
            <w:r>
              <w:rPr>
                <w:rFonts w:ascii="Arial" w:cs="Arial" w:eastAsia="Arial" w:hAnsi="Arial"/>
                <w:sz w:val="16"/>
                <w:szCs w:val="16"/>
                <w:color w:val="auto"/>
                <w:w w:val="99"/>
              </w:rPr>
              <w:t>10.11</w:t>
            </w:r>
          </w:p>
        </w:tc>
      </w:tr>
      <w:tr>
        <w:trPr>
          <w:trHeight w:val="1013"/>
        </w:trPr>
        <w:tc>
          <w:tcPr>
            <w:tcW w:w="660" w:type="dxa"/>
            <w:vAlign w:val="bottom"/>
          </w:tcPr>
          <w:p>
            <w:pPr>
              <w:jc w:val="center"/>
              <w:ind w:right="158"/>
              <w:spacing w:after="0"/>
              <w:rPr>
                <w:sz w:val="20"/>
                <w:szCs w:val="20"/>
                <w:color w:val="auto"/>
              </w:rPr>
            </w:pPr>
            <w:r>
              <w:rPr>
                <w:rFonts w:ascii="Arial" w:cs="Arial" w:eastAsia="Arial" w:hAnsi="Arial"/>
                <w:sz w:val="16"/>
                <w:szCs w:val="16"/>
                <w:color w:val="auto"/>
              </w:rPr>
              <w:t>S-1</w:t>
            </w:r>
          </w:p>
        </w:tc>
        <w:tc>
          <w:tcPr>
            <w:tcW w:w="1500" w:type="dxa"/>
            <w:vAlign w:val="bottom"/>
          </w:tcPr>
          <w:p>
            <w:pPr>
              <w:jc w:val="center"/>
              <w:spacing w:after="0"/>
              <w:rPr>
                <w:sz w:val="20"/>
                <w:szCs w:val="20"/>
                <w:color w:val="auto"/>
              </w:rPr>
            </w:pPr>
            <w:r>
              <w:rPr>
                <w:rFonts w:ascii="Arial" w:cs="Arial" w:eastAsia="Arial" w:hAnsi="Arial"/>
                <w:sz w:val="16"/>
                <w:szCs w:val="16"/>
                <w:color w:val="auto"/>
              </w:rPr>
              <w:t>July 27, 2020</w:t>
            </w:r>
          </w:p>
        </w:tc>
        <w:tc>
          <w:tcPr>
            <w:tcW w:w="640" w:type="dxa"/>
            <w:vAlign w:val="bottom"/>
          </w:tcPr>
          <w:p>
            <w:pPr>
              <w:jc w:val="center"/>
              <w:ind w:left="158"/>
              <w:spacing w:after="0"/>
              <w:rPr>
                <w:sz w:val="20"/>
                <w:szCs w:val="20"/>
                <w:color w:val="auto"/>
              </w:rPr>
            </w:pPr>
            <w:r>
              <w:rPr>
                <w:rFonts w:ascii="Arial" w:cs="Arial" w:eastAsia="Arial" w:hAnsi="Arial"/>
                <w:sz w:val="16"/>
                <w:szCs w:val="16"/>
                <w:color w:val="auto"/>
                <w:w w:val="99"/>
              </w:rPr>
              <w:t>10.12</w:t>
            </w:r>
          </w:p>
        </w:tc>
      </w:tr>
      <w:tr>
        <w:trPr>
          <w:trHeight w:val="1012"/>
        </w:trPr>
        <w:tc>
          <w:tcPr>
            <w:tcW w:w="660" w:type="dxa"/>
            <w:vAlign w:val="bottom"/>
          </w:tcPr>
          <w:p>
            <w:pPr>
              <w:jc w:val="center"/>
              <w:ind w:right="158"/>
              <w:spacing w:after="0"/>
              <w:rPr>
                <w:sz w:val="20"/>
                <w:szCs w:val="20"/>
                <w:color w:val="auto"/>
              </w:rPr>
            </w:pPr>
            <w:r>
              <w:rPr>
                <w:rFonts w:ascii="Arial" w:cs="Arial" w:eastAsia="Arial" w:hAnsi="Arial"/>
                <w:sz w:val="16"/>
                <w:szCs w:val="16"/>
                <w:color w:val="auto"/>
              </w:rPr>
              <w:t>S-1</w:t>
            </w:r>
          </w:p>
        </w:tc>
        <w:tc>
          <w:tcPr>
            <w:tcW w:w="1500" w:type="dxa"/>
            <w:vAlign w:val="bottom"/>
          </w:tcPr>
          <w:p>
            <w:pPr>
              <w:jc w:val="center"/>
              <w:spacing w:after="0"/>
              <w:rPr>
                <w:sz w:val="20"/>
                <w:szCs w:val="20"/>
                <w:color w:val="auto"/>
              </w:rPr>
            </w:pPr>
            <w:r>
              <w:rPr>
                <w:rFonts w:ascii="Arial" w:cs="Arial" w:eastAsia="Arial" w:hAnsi="Arial"/>
                <w:sz w:val="16"/>
                <w:szCs w:val="16"/>
                <w:color w:val="auto"/>
              </w:rPr>
              <w:t>July 27, 2020</w:t>
            </w:r>
          </w:p>
        </w:tc>
        <w:tc>
          <w:tcPr>
            <w:tcW w:w="640" w:type="dxa"/>
            <w:vAlign w:val="bottom"/>
          </w:tcPr>
          <w:p>
            <w:pPr>
              <w:jc w:val="center"/>
              <w:ind w:left="158"/>
              <w:spacing w:after="0"/>
              <w:rPr>
                <w:sz w:val="20"/>
                <w:szCs w:val="20"/>
                <w:color w:val="auto"/>
              </w:rPr>
            </w:pPr>
            <w:r>
              <w:rPr>
                <w:rFonts w:ascii="Arial" w:cs="Arial" w:eastAsia="Arial" w:hAnsi="Arial"/>
                <w:sz w:val="16"/>
                <w:szCs w:val="16"/>
                <w:color w:val="auto"/>
                <w:w w:val="99"/>
              </w:rPr>
              <w:t>10.13</w:t>
            </w:r>
          </w:p>
        </w:tc>
      </w:tr>
      <w:tr>
        <w:trPr>
          <w:trHeight w:val="1013"/>
        </w:trPr>
        <w:tc>
          <w:tcPr>
            <w:tcW w:w="660" w:type="dxa"/>
            <w:vAlign w:val="bottom"/>
          </w:tcPr>
          <w:p>
            <w:pPr>
              <w:jc w:val="center"/>
              <w:ind w:right="158"/>
              <w:spacing w:after="0"/>
              <w:rPr>
                <w:sz w:val="20"/>
                <w:szCs w:val="20"/>
                <w:color w:val="auto"/>
              </w:rPr>
            </w:pPr>
            <w:r>
              <w:rPr>
                <w:rFonts w:ascii="Arial" w:cs="Arial" w:eastAsia="Arial" w:hAnsi="Arial"/>
                <w:sz w:val="16"/>
                <w:szCs w:val="16"/>
                <w:color w:val="auto"/>
              </w:rPr>
              <w:t>S-1</w:t>
            </w:r>
          </w:p>
        </w:tc>
        <w:tc>
          <w:tcPr>
            <w:tcW w:w="1500" w:type="dxa"/>
            <w:vAlign w:val="bottom"/>
          </w:tcPr>
          <w:p>
            <w:pPr>
              <w:jc w:val="center"/>
              <w:spacing w:after="0"/>
              <w:rPr>
                <w:sz w:val="20"/>
                <w:szCs w:val="20"/>
                <w:color w:val="auto"/>
              </w:rPr>
            </w:pPr>
            <w:r>
              <w:rPr>
                <w:rFonts w:ascii="Arial" w:cs="Arial" w:eastAsia="Arial" w:hAnsi="Arial"/>
                <w:sz w:val="16"/>
                <w:szCs w:val="16"/>
                <w:color w:val="auto"/>
              </w:rPr>
              <w:t>July 27, 2020</w:t>
            </w:r>
          </w:p>
        </w:tc>
        <w:tc>
          <w:tcPr>
            <w:tcW w:w="640" w:type="dxa"/>
            <w:vAlign w:val="bottom"/>
          </w:tcPr>
          <w:p>
            <w:pPr>
              <w:jc w:val="center"/>
              <w:ind w:left="158"/>
              <w:spacing w:after="0"/>
              <w:rPr>
                <w:sz w:val="20"/>
                <w:szCs w:val="20"/>
                <w:color w:val="auto"/>
              </w:rPr>
            </w:pPr>
            <w:r>
              <w:rPr>
                <w:rFonts w:ascii="Arial" w:cs="Arial" w:eastAsia="Arial" w:hAnsi="Arial"/>
                <w:sz w:val="16"/>
                <w:szCs w:val="16"/>
                <w:color w:val="auto"/>
                <w:w w:val="99"/>
              </w:rPr>
              <w:t>10.14</w:t>
            </w:r>
          </w:p>
        </w:tc>
      </w:tr>
    </w:tbl>
    <w:p>
      <w:pPr>
        <w:sectPr>
          <w:pgSz w:w="11900" w:h="16838" w:orient="portrait"/>
          <w:cols w:equalWidth="0" w:num="2">
            <w:col w:w="5180" w:space="500"/>
            <w:col w:w="3799"/>
          </w:cols>
          <w:pgMar w:left="980" w:top="665" w:right="1440"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ind w:left="1320" w:right="80" w:hanging="1309"/>
        <w:spacing w:after="0" w:line="238"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60">
        <w:r>
          <w:rPr>
            <w:rFonts w:ascii="Arial" w:cs="Arial" w:eastAsia="Arial" w:hAnsi="Arial"/>
            <w:sz w:val="18"/>
            <w:szCs w:val="18"/>
            <w:u w:val="single" w:color="auto"/>
            <w:color w:val="0000EE"/>
          </w:rPr>
          <w:t>Second Amended and Restated Investors’</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Rights Agreement, dated August 9, 2019, by</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and among the Registrant and the other parties</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thereto.</w:t>
        </w:r>
      </w:hyperlink>
    </w:p>
    <w:p>
      <w:pPr>
        <w:spacing w:after="0" w:line="161"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color w:val="auto"/>
              </w:rPr>
              <w:t>10.20</w:t>
            </w:r>
          </w:p>
        </w:tc>
        <w:tc>
          <w:tcPr>
            <w:tcW w:w="3680" w:type="dxa"/>
            <w:vAlign w:val="bottom"/>
            <w:tcBorders>
              <w:bottom w:val="single" w:sz="8" w:color="0000EE"/>
            </w:tcBorders>
            <w:gridSpan w:val="15"/>
          </w:tcPr>
          <w:p>
            <w:pPr>
              <w:spacing w:after="0"/>
              <w:rPr>
                <w:rFonts w:ascii="Arial" w:cs="Arial" w:eastAsia="Arial" w:hAnsi="Arial"/>
                <w:sz w:val="18"/>
                <w:szCs w:val="18"/>
                <w:color w:val="0000EE"/>
                <w:w w:val="99"/>
              </w:rPr>
            </w:pPr>
            <w:hyperlink r:id="rId161">
              <w:r>
                <w:rPr>
                  <w:rFonts w:ascii="Arial" w:cs="Arial" w:eastAsia="Arial" w:hAnsi="Arial"/>
                  <w:sz w:val="18"/>
                  <w:szCs w:val="18"/>
                  <w:color w:val="0000EE"/>
                  <w:w w:val="99"/>
                </w:rPr>
                <w:t>Offer Letter, dated September 7, 2017, by and</w:t>
              </w:r>
            </w:hyperlink>
          </w:p>
        </w:tc>
        <w:tc>
          <w:tcPr>
            <w:tcW w:w="180" w:type="dxa"/>
            <w:vAlign w:val="bottom"/>
            <w:gridSpan w:val="6"/>
          </w:tcPr>
          <w:p>
            <w:pPr>
              <w:spacing w:after="0"/>
              <w:rPr>
                <w:sz w:val="17"/>
                <w:szCs w:val="17"/>
                <w:color w:val="auto"/>
              </w:rPr>
            </w:pPr>
          </w:p>
        </w:tc>
      </w:tr>
      <w:tr>
        <w:trPr>
          <w:trHeight w:val="183"/>
        </w:trPr>
        <w:tc>
          <w:tcPr>
            <w:tcW w:w="1320" w:type="dxa"/>
            <w:vAlign w:val="bottom"/>
          </w:tcPr>
          <w:p>
            <w:pPr>
              <w:spacing w:after="0"/>
              <w:rPr>
                <w:sz w:val="15"/>
                <w:szCs w:val="15"/>
                <w:color w:val="auto"/>
              </w:rPr>
            </w:pPr>
          </w:p>
        </w:tc>
        <w:tc>
          <w:tcPr>
            <w:tcW w:w="384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r:id="rId161">
              <w:r>
                <w:rPr>
                  <w:rFonts w:ascii="Arial" w:cs="Arial" w:eastAsia="Arial" w:hAnsi="Arial"/>
                  <w:sz w:val="18"/>
                  <w:szCs w:val="18"/>
                  <w:color w:val="0000EE"/>
                  <w:w w:val="99"/>
                </w:rPr>
                <w:t>between Harmony Biosciences, LLC and Jeffrey</w:t>
              </w:r>
            </w:hyperlink>
          </w:p>
        </w:tc>
        <w:tc>
          <w:tcPr>
            <w:tcW w:w="20" w:type="dxa"/>
            <w:vAlign w:val="bottom"/>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560" w:type="dxa"/>
            <w:vAlign w:val="bottom"/>
            <w:tcBorders>
              <w:bottom w:val="single" w:sz="8" w:color="0000EE"/>
            </w:tcBorders>
            <w:gridSpan w:val="2"/>
          </w:tcPr>
          <w:p>
            <w:pPr>
              <w:spacing w:after="0" w:line="182" w:lineRule="exact"/>
              <w:rPr>
                <w:rFonts w:ascii="Arial" w:cs="Arial" w:eastAsia="Arial" w:hAnsi="Arial"/>
                <w:sz w:val="18"/>
                <w:szCs w:val="18"/>
                <w:color w:val="0000EE"/>
                <w:w w:val="96"/>
              </w:rPr>
            </w:pPr>
            <w:hyperlink r:id="rId161">
              <w:r>
                <w:rPr>
                  <w:rFonts w:ascii="Arial" w:cs="Arial" w:eastAsia="Arial" w:hAnsi="Arial"/>
                  <w:sz w:val="18"/>
                  <w:szCs w:val="18"/>
                  <w:color w:val="0000EE"/>
                  <w:w w:val="96"/>
                </w:rPr>
                <w:t>Dierks.</w:t>
              </w:r>
            </w:hyperlink>
          </w:p>
        </w:tc>
        <w:tc>
          <w:tcPr>
            <w:tcW w:w="3300" w:type="dxa"/>
            <w:vAlign w:val="bottom"/>
            <w:gridSpan w:val="19"/>
          </w:tcPr>
          <w:p>
            <w:pPr>
              <w:spacing w:after="0"/>
              <w:rPr>
                <w:sz w:val="15"/>
                <w:szCs w:val="15"/>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10.21</w:t>
            </w:r>
          </w:p>
        </w:tc>
        <w:tc>
          <w:tcPr>
            <w:tcW w:w="3840" w:type="dxa"/>
            <w:vAlign w:val="bottom"/>
            <w:tcBorders>
              <w:bottom w:val="single" w:sz="8" w:color="0000EE"/>
            </w:tcBorders>
            <w:gridSpan w:val="20"/>
          </w:tcPr>
          <w:p>
            <w:pPr>
              <w:spacing w:after="0"/>
              <w:rPr>
                <w:rFonts w:ascii="Arial" w:cs="Arial" w:eastAsia="Arial" w:hAnsi="Arial"/>
                <w:sz w:val="18"/>
                <w:szCs w:val="18"/>
                <w:color w:val="0000EE"/>
                <w:w w:val="99"/>
              </w:rPr>
            </w:pPr>
            <w:hyperlink r:id="rId162">
              <w:r>
                <w:rPr>
                  <w:rFonts w:ascii="Arial" w:cs="Arial" w:eastAsia="Arial" w:hAnsi="Arial"/>
                  <w:sz w:val="18"/>
                  <w:szCs w:val="18"/>
                  <w:color w:val="0000EE"/>
                  <w:w w:val="99"/>
                </w:rPr>
                <w:t>Confidential Separation Agreement and General</w:t>
              </w:r>
            </w:hyperlink>
          </w:p>
        </w:tc>
        <w:tc>
          <w:tcPr>
            <w:tcW w:w="20" w:type="dxa"/>
            <w:vAlign w:val="bottom"/>
          </w:tcPr>
          <w:p>
            <w:pPr>
              <w:spacing w:after="0"/>
              <w:rPr>
                <w:sz w:val="24"/>
                <w:szCs w:val="24"/>
                <w:color w:val="auto"/>
              </w:rPr>
            </w:pPr>
          </w:p>
        </w:tc>
      </w:tr>
      <w:tr>
        <w:trPr>
          <w:trHeight w:val="183"/>
        </w:trPr>
        <w:tc>
          <w:tcPr>
            <w:tcW w:w="1320" w:type="dxa"/>
            <w:vAlign w:val="bottom"/>
          </w:tcPr>
          <w:p>
            <w:pPr>
              <w:spacing w:after="0"/>
              <w:rPr>
                <w:sz w:val="15"/>
                <w:szCs w:val="15"/>
                <w:color w:val="auto"/>
              </w:rPr>
            </w:pPr>
          </w:p>
        </w:tc>
        <w:tc>
          <w:tcPr>
            <w:tcW w:w="366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r:id="rId162">
              <w:r>
                <w:rPr>
                  <w:rFonts w:ascii="Arial" w:cs="Arial" w:eastAsia="Arial" w:hAnsi="Arial"/>
                  <w:sz w:val="18"/>
                  <w:szCs w:val="18"/>
                  <w:color w:val="0000EE"/>
                  <w:w w:val="99"/>
                </w:rPr>
                <w:t>Release, between Harmony Biosciences, LLC</w:t>
              </w:r>
            </w:hyperlink>
          </w:p>
        </w:tc>
        <w:tc>
          <w:tcPr>
            <w:tcW w:w="200" w:type="dxa"/>
            <w:vAlign w:val="bottom"/>
            <w:gridSpan w:val="7"/>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348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162">
              <w:r>
                <w:rPr>
                  <w:rFonts w:ascii="Arial" w:cs="Arial" w:eastAsia="Arial" w:hAnsi="Arial"/>
                  <w:sz w:val="18"/>
                  <w:szCs w:val="18"/>
                  <w:color w:val="0000EE"/>
                  <w:w w:val="99"/>
                </w:rPr>
                <w:t>and Susan L. Drexler, dated March 4, 2021.</w:t>
              </w:r>
            </w:hyperlink>
          </w:p>
        </w:tc>
        <w:tc>
          <w:tcPr>
            <w:tcW w:w="380" w:type="dxa"/>
            <w:vAlign w:val="bottom"/>
            <w:gridSpan w:val="9"/>
          </w:tcPr>
          <w:p>
            <w:pPr>
              <w:spacing w:after="0"/>
              <w:rPr>
                <w:sz w:val="15"/>
                <w:szCs w:val="15"/>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10.22</w:t>
            </w:r>
          </w:p>
        </w:tc>
        <w:tc>
          <w:tcPr>
            <w:tcW w:w="3740" w:type="dxa"/>
            <w:vAlign w:val="bottom"/>
            <w:tcBorders>
              <w:bottom w:val="single" w:sz="8" w:color="0000EE"/>
            </w:tcBorders>
            <w:gridSpan w:val="17"/>
          </w:tcPr>
          <w:p>
            <w:pPr>
              <w:spacing w:after="0"/>
              <w:rPr>
                <w:rFonts w:ascii="Arial" w:cs="Arial" w:eastAsia="Arial" w:hAnsi="Arial"/>
                <w:sz w:val="18"/>
                <w:szCs w:val="18"/>
                <w:color w:val="0000EE"/>
                <w:w w:val="99"/>
              </w:rPr>
            </w:pPr>
            <w:hyperlink r:id="rId163">
              <w:r>
                <w:rPr>
                  <w:rFonts w:ascii="Arial" w:cs="Arial" w:eastAsia="Arial" w:hAnsi="Arial"/>
                  <w:sz w:val="18"/>
                  <w:szCs w:val="18"/>
                  <w:color w:val="0000EE"/>
                  <w:w w:val="99"/>
                </w:rPr>
                <w:t>Employment Agreement, dated March 4, 2021,</w:t>
              </w:r>
            </w:hyperlink>
          </w:p>
        </w:tc>
        <w:tc>
          <w:tcPr>
            <w:tcW w:w="120" w:type="dxa"/>
            <w:vAlign w:val="bottom"/>
            <w:gridSpan w:val="4"/>
          </w:tcPr>
          <w:p>
            <w:pPr>
              <w:spacing w:after="0"/>
              <w:rPr>
                <w:sz w:val="24"/>
                <w:szCs w:val="24"/>
                <w:color w:val="auto"/>
              </w:rPr>
            </w:pPr>
          </w:p>
        </w:tc>
      </w:tr>
      <w:tr>
        <w:trPr>
          <w:trHeight w:val="183"/>
        </w:trPr>
        <w:tc>
          <w:tcPr>
            <w:tcW w:w="1320" w:type="dxa"/>
            <w:vAlign w:val="bottom"/>
          </w:tcPr>
          <w:p>
            <w:pPr>
              <w:spacing w:after="0"/>
              <w:rPr>
                <w:sz w:val="15"/>
                <w:szCs w:val="15"/>
                <w:color w:val="auto"/>
              </w:rPr>
            </w:pPr>
          </w:p>
        </w:tc>
        <w:tc>
          <w:tcPr>
            <w:tcW w:w="386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r:id="rId163">
              <w:r>
                <w:rPr>
                  <w:rFonts w:ascii="Arial" w:cs="Arial" w:eastAsia="Arial" w:hAnsi="Arial"/>
                  <w:sz w:val="18"/>
                  <w:szCs w:val="18"/>
                  <w:color w:val="0000EE"/>
                  <w:w w:val="99"/>
                </w:rPr>
                <w:t>between Harmony Biosciences, LLC and Sandip</w:t>
              </w:r>
            </w:hyperlink>
          </w:p>
        </w:tc>
      </w:tr>
      <w:tr>
        <w:trPr>
          <w:trHeight w:val="183"/>
        </w:trPr>
        <w:tc>
          <w:tcPr>
            <w:tcW w:w="1320" w:type="dxa"/>
            <w:vAlign w:val="bottom"/>
          </w:tcPr>
          <w:p>
            <w:pPr>
              <w:spacing w:after="0"/>
              <w:rPr>
                <w:sz w:val="15"/>
                <w:szCs w:val="15"/>
                <w:color w:val="auto"/>
              </w:rPr>
            </w:pPr>
          </w:p>
        </w:tc>
        <w:tc>
          <w:tcPr>
            <w:tcW w:w="3860" w:type="dxa"/>
            <w:vAlign w:val="bottom"/>
            <w:gridSpan w:val="21"/>
          </w:tcPr>
          <w:p>
            <w:pPr>
              <w:spacing w:after="0" w:line="182" w:lineRule="exact"/>
              <w:rPr>
                <w:rFonts w:ascii="Arial" w:cs="Arial" w:eastAsia="Arial" w:hAnsi="Arial"/>
                <w:sz w:val="18"/>
                <w:szCs w:val="18"/>
                <w:color w:val="0000EE"/>
              </w:rPr>
            </w:pPr>
            <w:hyperlink r:id="rId163">
              <w:r>
                <w:rPr>
                  <w:rFonts w:ascii="Arial" w:cs="Arial" w:eastAsia="Arial" w:hAnsi="Arial"/>
                  <w:sz w:val="18"/>
                  <w:szCs w:val="18"/>
                  <w:color w:val="0000EE"/>
                </w:rPr>
                <w:t>Kapadia.</w:t>
              </w:r>
            </w:hyperlink>
          </w:p>
        </w:tc>
      </w:tr>
      <w:tr>
        <w:trPr>
          <w:trHeight w:val="20"/>
        </w:trPr>
        <w:tc>
          <w:tcPr>
            <w:tcW w:w="13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10.23*</w:t>
            </w:r>
          </w:p>
        </w:tc>
        <w:tc>
          <w:tcPr>
            <w:tcW w:w="3420" w:type="dxa"/>
            <w:vAlign w:val="bottom"/>
            <w:tcBorders>
              <w:bottom w:val="single" w:sz="8" w:color="0000EE"/>
            </w:tcBorders>
            <w:gridSpan w:val="11"/>
          </w:tcPr>
          <w:p>
            <w:pPr>
              <w:spacing w:after="0"/>
              <w:rPr>
                <w:rFonts w:ascii="Arial" w:cs="Arial" w:eastAsia="Arial" w:hAnsi="Arial"/>
                <w:sz w:val="18"/>
                <w:szCs w:val="18"/>
                <w:color w:val="0000EE"/>
                <w:w w:val="99"/>
              </w:rPr>
            </w:pPr>
            <w:hyperlink r:id="rId164">
              <w:r>
                <w:rPr>
                  <w:rFonts w:ascii="Arial" w:cs="Arial" w:eastAsia="Arial" w:hAnsi="Arial"/>
                  <w:sz w:val="18"/>
                  <w:szCs w:val="18"/>
                  <w:color w:val="0000EE"/>
                  <w:w w:val="99"/>
                </w:rPr>
                <w:t>Promotion Increase Award Letter to Jeffrey</w:t>
              </w:r>
            </w:hyperlink>
          </w:p>
        </w:tc>
        <w:tc>
          <w:tcPr>
            <w:tcW w:w="440" w:type="dxa"/>
            <w:vAlign w:val="bottom"/>
            <w:gridSpan w:val="10"/>
          </w:tcPr>
          <w:p>
            <w:pPr>
              <w:spacing w:after="0"/>
              <w:rPr>
                <w:sz w:val="24"/>
                <w:szCs w:val="24"/>
                <w:color w:val="auto"/>
              </w:rPr>
            </w:pPr>
          </w:p>
        </w:tc>
      </w:tr>
      <w:tr>
        <w:trPr>
          <w:trHeight w:val="183"/>
        </w:trPr>
        <w:tc>
          <w:tcPr>
            <w:tcW w:w="1320" w:type="dxa"/>
            <w:vAlign w:val="bottom"/>
          </w:tcPr>
          <w:p>
            <w:pPr>
              <w:spacing w:after="0"/>
              <w:rPr>
                <w:sz w:val="15"/>
                <w:szCs w:val="15"/>
                <w:color w:val="auto"/>
              </w:rPr>
            </w:pPr>
          </w:p>
        </w:tc>
        <w:tc>
          <w:tcPr>
            <w:tcW w:w="3860" w:type="dxa"/>
            <w:vAlign w:val="bottom"/>
            <w:gridSpan w:val="21"/>
          </w:tcPr>
          <w:p>
            <w:pPr>
              <w:spacing w:after="0" w:line="182" w:lineRule="exact"/>
              <w:rPr>
                <w:rFonts w:ascii="Arial" w:cs="Arial" w:eastAsia="Arial" w:hAnsi="Arial"/>
                <w:sz w:val="18"/>
                <w:szCs w:val="18"/>
                <w:color w:val="0000EE"/>
              </w:rPr>
            </w:pPr>
            <w:hyperlink r:id="rId164">
              <w:r>
                <w:rPr>
                  <w:rFonts w:ascii="Arial" w:cs="Arial" w:eastAsia="Arial" w:hAnsi="Arial"/>
                  <w:sz w:val="18"/>
                  <w:szCs w:val="18"/>
                  <w:color w:val="0000EE"/>
                </w:rPr>
                <w:t>Dierks, dated June 9, 2021</w:t>
              </w:r>
              <w:r>
                <w:rPr>
                  <w:rFonts w:ascii="Arial" w:cs="Arial" w:eastAsia="Arial" w:hAnsi="Arial"/>
                  <w:sz w:val="18"/>
                  <w:szCs w:val="18"/>
                  <w:color w:val="000000"/>
                </w:rPr>
                <w:t>.</w:t>
              </w:r>
            </w:hyperlink>
          </w:p>
        </w:tc>
      </w:tr>
      <w:tr>
        <w:trPr>
          <w:trHeight w:val="20"/>
        </w:trPr>
        <w:tc>
          <w:tcPr>
            <w:tcW w:w="13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320" w:type="dxa"/>
            <w:vAlign w:val="bottom"/>
          </w:tcPr>
          <w:p>
            <w:pPr>
              <w:spacing w:after="0" w:line="182" w:lineRule="exact"/>
              <w:rPr>
                <w:sz w:val="20"/>
                <w:szCs w:val="20"/>
                <w:color w:val="auto"/>
              </w:rPr>
            </w:pPr>
            <w:r>
              <w:rPr>
                <w:rFonts w:ascii="Arial" w:cs="Arial" w:eastAsia="Arial" w:hAnsi="Arial"/>
                <w:sz w:val="18"/>
                <w:szCs w:val="18"/>
                <w:color w:val="auto"/>
              </w:rPr>
              <w:t>21.1</w:t>
            </w:r>
          </w:p>
        </w:tc>
        <w:tc>
          <w:tcPr>
            <w:tcW w:w="350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128">
              <w:r>
                <w:rPr>
                  <w:rFonts w:ascii="Arial" w:cs="Arial" w:eastAsia="Arial" w:hAnsi="Arial"/>
                  <w:sz w:val="18"/>
                  <w:szCs w:val="18"/>
                  <w:color w:val="0000EE"/>
                  <w:w w:val="99"/>
                </w:rPr>
                <w:t>List of Subsidiaries of Harmony Biosciences</w:t>
              </w:r>
            </w:hyperlink>
          </w:p>
        </w:tc>
        <w:tc>
          <w:tcPr>
            <w:tcW w:w="360" w:type="dxa"/>
            <w:vAlign w:val="bottom"/>
            <w:gridSpan w:val="8"/>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3860" w:type="dxa"/>
            <w:vAlign w:val="bottom"/>
            <w:gridSpan w:val="21"/>
          </w:tcPr>
          <w:p>
            <w:pPr>
              <w:spacing w:after="0" w:line="182" w:lineRule="exact"/>
              <w:rPr>
                <w:rFonts w:ascii="Arial" w:cs="Arial" w:eastAsia="Arial" w:hAnsi="Arial"/>
                <w:sz w:val="18"/>
                <w:szCs w:val="18"/>
                <w:color w:val="0000EE"/>
              </w:rPr>
            </w:pPr>
            <w:hyperlink w:anchor="page128">
              <w:r>
                <w:rPr>
                  <w:rFonts w:ascii="Arial" w:cs="Arial" w:eastAsia="Arial" w:hAnsi="Arial"/>
                  <w:sz w:val="18"/>
                  <w:szCs w:val="18"/>
                  <w:color w:val="0000EE"/>
                </w:rPr>
                <w:t>Holdings, Inc.</w:t>
              </w:r>
            </w:hyperlink>
          </w:p>
        </w:tc>
      </w:tr>
      <w:tr>
        <w:trPr>
          <w:trHeight w:val="20"/>
        </w:trPr>
        <w:tc>
          <w:tcPr>
            <w:tcW w:w="13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23.1</w:t>
            </w:r>
          </w:p>
        </w:tc>
        <w:tc>
          <w:tcPr>
            <w:tcW w:w="338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129">
              <w:r>
                <w:rPr>
                  <w:rFonts w:ascii="Arial" w:cs="Arial" w:eastAsia="Arial" w:hAnsi="Arial"/>
                  <w:sz w:val="18"/>
                  <w:szCs w:val="18"/>
                  <w:color w:val="0000EE"/>
                  <w:w w:val="99"/>
                </w:rPr>
                <w:t>Consent of Independent Registered Public</w:t>
              </w:r>
            </w:hyperlink>
          </w:p>
        </w:tc>
        <w:tc>
          <w:tcPr>
            <w:tcW w:w="480" w:type="dxa"/>
            <w:vAlign w:val="bottom"/>
            <w:gridSpan w:val="11"/>
          </w:tcPr>
          <w:p>
            <w:pPr>
              <w:spacing w:after="0"/>
              <w:rPr>
                <w:sz w:val="24"/>
                <w:szCs w:val="24"/>
                <w:color w:val="auto"/>
              </w:rPr>
            </w:pPr>
          </w:p>
        </w:tc>
      </w:tr>
      <w:tr>
        <w:trPr>
          <w:trHeight w:val="183"/>
        </w:trPr>
        <w:tc>
          <w:tcPr>
            <w:tcW w:w="1320" w:type="dxa"/>
            <w:vAlign w:val="bottom"/>
          </w:tcPr>
          <w:p>
            <w:pPr>
              <w:spacing w:after="0"/>
              <w:rPr>
                <w:sz w:val="15"/>
                <w:szCs w:val="15"/>
                <w:color w:val="auto"/>
              </w:rPr>
            </w:pPr>
          </w:p>
        </w:tc>
        <w:tc>
          <w:tcPr>
            <w:tcW w:w="1300" w:type="dxa"/>
            <w:vAlign w:val="bottom"/>
            <w:tcBorders>
              <w:bottom w:val="single" w:sz="8" w:color="0000EE"/>
            </w:tcBorders>
            <w:gridSpan w:val="5"/>
          </w:tcPr>
          <w:p>
            <w:pPr>
              <w:spacing w:after="0" w:line="182" w:lineRule="exact"/>
              <w:rPr>
                <w:rFonts w:ascii="Arial" w:cs="Arial" w:eastAsia="Arial" w:hAnsi="Arial"/>
                <w:sz w:val="18"/>
                <w:szCs w:val="18"/>
                <w:color w:val="0000EE"/>
                <w:w w:val="98"/>
              </w:rPr>
            </w:pPr>
            <w:hyperlink w:anchor="page129">
              <w:r>
                <w:rPr>
                  <w:rFonts w:ascii="Arial" w:cs="Arial" w:eastAsia="Arial" w:hAnsi="Arial"/>
                  <w:sz w:val="18"/>
                  <w:szCs w:val="18"/>
                  <w:color w:val="0000EE"/>
                  <w:w w:val="98"/>
                </w:rPr>
                <w:t>Accounting Firm</w:t>
              </w:r>
            </w:hyperlink>
          </w:p>
        </w:tc>
        <w:tc>
          <w:tcPr>
            <w:tcW w:w="2560" w:type="dxa"/>
            <w:vAlign w:val="bottom"/>
            <w:gridSpan w:val="16"/>
          </w:tcPr>
          <w:p>
            <w:pPr>
              <w:spacing w:after="0"/>
              <w:rPr>
                <w:sz w:val="15"/>
                <w:szCs w:val="15"/>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31.1</w:t>
            </w:r>
          </w:p>
        </w:tc>
        <w:tc>
          <w:tcPr>
            <w:tcW w:w="378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130">
              <w:r>
                <w:rPr>
                  <w:rFonts w:ascii="Arial" w:cs="Arial" w:eastAsia="Arial" w:hAnsi="Arial"/>
                  <w:sz w:val="18"/>
                  <w:szCs w:val="18"/>
                  <w:color w:val="0000EE"/>
                  <w:w w:val="99"/>
                </w:rPr>
                <w:t>Certification of Chief Executive Officer pursuant</w:t>
              </w:r>
            </w:hyperlink>
          </w:p>
        </w:tc>
        <w:tc>
          <w:tcPr>
            <w:tcW w:w="80" w:type="dxa"/>
            <w:vAlign w:val="bottom"/>
            <w:gridSpan w:val="3"/>
          </w:tcPr>
          <w:p>
            <w:pPr>
              <w:spacing w:after="0"/>
              <w:rPr>
                <w:sz w:val="24"/>
                <w:szCs w:val="24"/>
                <w:color w:val="auto"/>
              </w:rPr>
            </w:pPr>
          </w:p>
        </w:tc>
      </w:tr>
      <w:tr>
        <w:trPr>
          <w:trHeight w:val="183"/>
        </w:trPr>
        <w:tc>
          <w:tcPr>
            <w:tcW w:w="1320" w:type="dxa"/>
            <w:vAlign w:val="bottom"/>
          </w:tcPr>
          <w:p>
            <w:pPr>
              <w:spacing w:after="0"/>
              <w:rPr>
                <w:sz w:val="15"/>
                <w:szCs w:val="15"/>
                <w:color w:val="auto"/>
              </w:rPr>
            </w:pPr>
          </w:p>
        </w:tc>
        <w:tc>
          <w:tcPr>
            <w:tcW w:w="3860" w:type="dxa"/>
            <w:vAlign w:val="bottom"/>
            <w:gridSpan w:val="21"/>
          </w:tcPr>
          <w:p>
            <w:pPr>
              <w:spacing w:after="0" w:line="182" w:lineRule="exact"/>
              <w:rPr>
                <w:rFonts w:ascii="Arial" w:cs="Arial" w:eastAsia="Arial" w:hAnsi="Arial"/>
                <w:sz w:val="18"/>
                <w:szCs w:val="18"/>
                <w:color w:val="0000EE"/>
              </w:rPr>
            </w:pPr>
            <w:hyperlink w:anchor="page130">
              <w:r>
                <w:rPr>
                  <w:rFonts w:ascii="Arial" w:cs="Arial" w:eastAsia="Arial" w:hAnsi="Arial"/>
                  <w:sz w:val="18"/>
                  <w:szCs w:val="18"/>
                  <w:color w:val="0000EE"/>
                </w:rPr>
                <w:t>to Rules 13a-14(a) and 15d-14(a) of the</w:t>
              </w:r>
            </w:hyperlink>
          </w:p>
        </w:tc>
      </w:tr>
      <w:tr>
        <w:trPr>
          <w:trHeight w:val="20"/>
        </w:trPr>
        <w:tc>
          <w:tcPr>
            <w:tcW w:w="13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60" w:type="dxa"/>
            <w:vAlign w:val="bottom"/>
            <w:gridSpan w:val="6"/>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320" w:type="dxa"/>
            <w:vAlign w:val="bottom"/>
          </w:tcPr>
          <w:p>
            <w:pPr>
              <w:spacing w:after="0"/>
              <w:rPr>
                <w:sz w:val="15"/>
                <w:szCs w:val="15"/>
                <w:color w:val="auto"/>
              </w:rPr>
            </w:pPr>
          </w:p>
        </w:tc>
        <w:tc>
          <w:tcPr>
            <w:tcW w:w="374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130">
              <w:r>
                <w:rPr>
                  <w:rFonts w:ascii="Arial" w:cs="Arial" w:eastAsia="Arial" w:hAnsi="Arial"/>
                  <w:sz w:val="18"/>
                  <w:szCs w:val="18"/>
                  <w:color w:val="0000EE"/>
                  <w:w w:val="99"/>
                </w:rPr>
                <w:t>Securities Exchange Act of 1934, as amended,</w:t>
              </w:r>
            </w:hyperlink>
          </w:p>
        </w:tc>
        <w:tc>
          <w:tcPr>
            <w:tcW w:w="120" w:type="dxa"/>
            <w:vAlign w:val="bottom"/>
            <w:gridSpan w:val="4"/>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3860" w:type="dxa"/>
            <w:vAlign w:val="bottom"/>
            <w:gridSpan w:val="21"/>
          </w:tcPr>
          <w:p>
            <w:pPr>
              <w:spacing w:after="0" w:line="182" w:lineRule="exact"/>
              <w:rPr>
                <w:rFonts w:ascii="Arial" w:cs="Arial" w:eastAsia="Arial" w:hAnsi="Arial"/>
                <w:sz w:val="18"/>
                <w:szCs w:val="18"/>
                <w:color w:val="0000EE"/>
              </w:rPr>
            </w:pPr>
            <w:hyperlink w:anchor="page130">
              <w:r>
                <w:rPr>
                  <w:rFonts w:ascii="Arial" w:cs="Arial" w:eastAsia="Arial" w:hAnsi="Arial"/>
                  <w:sz w:val="18"/>
                  <w:szCs w:val="18"/>
                  <w:color w:val="0000EE"/>
                </w:rPr>
                <w:t>as adopted pursuant to Section 302 of the</w:t>
              </w:r>
            </w:hyperlink>
          </w:p>
        </w:tc>
      </w:tr>
      <w:tr>
        <w:trPr>
          <w:trHeight w:val="183"/>
        </w:trPr>
        <w:tc>
          <w:tcPr>
            <w:tcW w:w="1320" w:type="dxa"/>
            <w:vAlign w:val="bottom"/>
          </w:tcPr>
          <w:p>
            <w:pPr>
              <w:spacing w:after="0"/>
              <w:rPr>
                <w:sz w:val="15"/>
                <w:szCs w:val="15"/>
                <w:color w:val="auto"/>
              </w:rPr>
            </w:pPr>
          </w:p>
        </w:tc>
        <w:tc>
          <w:tcPr>
            <w:tcW w:w="23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w:anchor="page130">
              <w:r>
                <w:rPr>
                  <w:rFonts w:ascii="Arial" w:cs="Arial" w:eastAsia="Arial" w:hAnsi="Arial"/>
                  <w:sz w:val="18"/>
                  <w:szCs w:val="18"/>
                  <w:color w:val="0000EE"/>
                  <w:w w:val="99"/>
                </w:rPr>
                <w:t>Sarbanes-Oxley Act of 2002.</w:t>
              </w:r>
            </w:hyperlink>
          </w:p>
        </w:tc>
        <w:tc>
          <w:tcPr>
            <w:tcW w:w="1040" w:type="dxa"/>
            <w:vAlign w:val="bottom"/>
            <w:tcBorders>
              <w:top w:val="single" w:sz="8" w:color="0000EE"/>
            </w:tcBorders>
            <w:gridSpan w:val="2"/>
          </w:tcPr>
          <w:p>
            <w:pPr>
              <w:spacing w:after="0"/>
              <w:rPr>
                <w:sz w:val="15"/>
                <w:szCs w:val="15"/>
                <w:color w:val="auto"/>
              </w:rPr>
            </w:pPr>
          </w:p>
        </w:tc>
        <w:tc>
          <w:tcPr>
            <w:tcW w:w="520" w:type="dxa"/>
            <w:vAlign w:val="bottom"/>
            <w:gridSpan w:val="12"/>
          </w:tcPr>
          <w:p>
            <w:pPr>
              <w:spacing w:after="0"/>
              <w:rPr>
                <w:sz w:val="15"/>
                <w:szCs w:val="15"/>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31.2</w:t>
            </w:r>
          </w:p>
        </w:tc>
        <w:tc>
          <w:tcPr>
            <w:tcW w:w="372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131">
              <w:r>
                <w:rPr>
                  <w:rFonts w:ascii="Arial" w:cs="Arial" w:eastAsia="Arial" w:hAnsi="Arial"/>
                  <w:sz w:val="18"/>
                  <w:szCs w:val="18"/>
                  <w:color w:val="0000EE"/>
                  <w:w w:val="99"/>
                </w:rPr>
                <w:t>Certification of Chief Financial Officer pursuant</w:t>
              </w:r>
            </w:hyperlink>
          </w:p>
        </w:tc>
        <w:tc>
          <w:tcPr>
            <w:tcW w:w="140" w:type="dxa"/>
            <w:vAlign w:val="bottom"/>
            <w:gridSpan w:val="5"/>
          </w:tcPr>
          <w:p>
            <w:pPr>
              <w:spacing w:after="0"/>
              <w:rPr>
                <w:sz w:val="24"/>
                <w:szCs w:val="24"/>
                <w:color w:val="auto"/>
              </w:rPr>
            </w:pPr>
          </w:p>
        </w:tc>
      </w:tr>
      <w:tr>
        <w:trPr>
          <w:trHeight w:val="183"/>
        </w:trPr>
        <w:tc>
          <w:tcPr>
            <w:tcW w:w="1320" w:type="dxa"/>
            <w:vAlign w:val="bottom"/>
          </w:tcPr>
          <w:p>
            <w:pPr>
              <w:spacing w:after="0"/>
              <w:rPr>
                <w:sz w:val="15"/>
                <w:szCs w:val="15"/>
                <w:color w:val="auto"/>
              </w:rPr>
            </w:pPr>
          </w:p>
        </w:tc>
        <w:tc>
          <w:tcPr>
            <w:tcW w:w="3860" w:type="dxa"/>
            <w:vAlign w:val="bottom"/>
            <w:gridSpan w:val="21"/>
          </w:tcPr>
          <w:p>
            <w:pPr>
              <w:spacing w:after="0" w:line="182" w:lineRule="exact"/>
              <w:rPr>
                <w:rFonts w:ascii="Arial" w:cs="Arial" w:eastAsia="Arial" w:hAnsi="Arial"/>
                <w:sz w:val="18"/>
                <w:szCs w:val="18"/>
                <w:color w:val="0000EE"/>
              </w:rPr>
            </w:pPr>
            <w:hyperlink w:anchor="page131">
              <w:r>
                <w:rPr>
                  <w:rFonts w:ascii="Arial" w:cs="Arial" w:eastAsia="Arial" w:hAnsi="Arial"/>
                  <w:sz w:val="18"/>
                  <w:szCs w:val="18"/>
                  <w:color w:val="0000EE"/>
                </w:rPr>
                <w:t>to Rules 13a-14(a) and 15d-14(a) of the</w:t>
              </w:r>
            </w:hyperlink>
          </w:p>
        </w:tc>
      </w:tr>
      <w:tr>
        <w:trPr>
          <w:trHeight w:val="20"/>
        </w:trPr>
        <w:tc>
          <w:tcPr>
            <w:tcW w:w="13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720" w:type="dxa"/>
            <w:vAlign w:val="bottom"/>
            <w:gridSpan w:val="7"/>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320" w:type="dxa"/>
            <w:vAlign w:val="bottom"/>
          </w:tcPr>
          <w:p>
            <w:pPr>
              <w:spacing w:after="0"/>
              <w:rPr>
                <w:sz w:val="15"/>
                <w:szCs w:val="15"/>
                <w:color w:val="auto"/>
              </w:rPr>
            </w:pPr>
          </w:p>
        </w:tc>
        <w:tc>
          <w:tcPr>
            <w:tcW w:w="374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131">
              <w:r>
                <w:rPr>
                  <w:rFonts w:ascii="Arial" w:cs="Arial" w:eastAsia="Arial" w:hAnsi="Arial"/>
                  <w:sz w:val="18"/>
                  <w:szCs w:val="18"/>
                  <w:color w:val="0000EE"/>
                  <w:w w:val="99"/>
                </w:rPr>
                <w:t>Securities Exchange Act of 1934, as amended,</w:t>
              </w:r>
            </w:hyperlink>
          </w:p>
        </w:tc>
        <w:tc>
          <w:tcPr>
            <w:tcW w:w="120" w:type="dxa"/>
            <w:vAlign w:val="bottom"/>
            <w:gridSpan w:val="4"/>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3860" w:type="dxa"/>
            <w:vAlign w:val="bottom"/>
            <w:gridSpan w:val="21"/>
          </w:tcPr>
          <w:p>
            <w:pPr>
              <w:spacing w:after="0" w:line="182" w:lineRule="exact"/>
              <w:rPr>
                <w:rFonts w:ascii="Arial" w:cs="Arial" w:eastAsia="Arial" w:hAnsi="Arial"/>
                <w:sz w:val="18"/>
                <w:szCs w:val="18"/>
                <w:color w:val="0000EE"/>
              </w:rPr>
            </w:pPr>
            <w:hyperlink w:anchor="page131">
              <w:r>
                <w:rPr>
                  <w:rFonts w:ascii="Arial" w:cs="Arial" w:eastAsia="Arial" w:hAnsi="Arial"/>
                  <w:sz w:val="18"/>
                  <w:szCs w:val="18"/>
                  <w:color w:val="0000EE"/>
                </w:rPr>
                <w:t>as adopted pursuant to Section 302 of the</w:t>
              </w:r>
            </w:hyperlink>
          </w:p>
        </w:tc>
      </w:tr>
      <w:tr>
        <w:trPr>
          <w:trHeight w:val="183"/>
        </w:trPr>
        <w:tc>
          <w:tcPr>
            <w:tcW w:w="1320" w:type="dxa"/>
            <w:vAlign w:val="bottom"/>
          </w:tcPr>
          <w:p>
            <w:pPr>
              <w:spacing w:after="0"/>
              <w:rPr>
                <w:sz w:val="15"/>
                <w:szCs w:val="15"/>
                <w:color w:val="auto"/>
              </w:rPr>
            </w:pPr>
          </w:p>
        </w:tc>
        <w:tc>
          <w:tcPr>
            <w:tcW w:w="23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w:anchor="page131">
              <w:r>
                <w:rPr>
                  <w:rFonts w:ascii="Arial" w:cs="Arial" w:eastAsia="Arial" w:hAnsi="Arial"/>
                  <w:sz w:val="18"/>
                  <w:szCs w:val="18"/>
                  <w:color w:val="0000EE"/>
                  <w:w w:val="99"/>
                </w:rPr>
                <w:t>Sarbanes-Oxley Act of 2002.</w:t>
              </w:r>
            </w:hyperlink>
          </w:p>
        </w:tc>
        <w:tc>
          <w:tcPr>
            <w:tcW w:w="1040" w:type="dxa"/>
            <w:vAlign w:val="bottom"/>
            <w:tcBorders>
              <w:top w:val="single" w:sz="8" w:color="0000EE"/>
            </w:tcBorders>
            <w:gridSpan w:val="2"/>
          </w:tcPr>
          <w:p>
            <w:pPr>
              <w:spacing w:after="0"/>
              <w:rPr>
                <w:sz w:val="15"/>
                <w:szCs w:val="15"/>
                <w:color w:val="auto"/>
              </w:rPr>
            </w:pPr>
          </w:p>
        </w:tc>
        <w:tc>
          <w:tcPr>
            <w:tcW w:w="520" w:type="dxa"/>
            <w:vAlign w:val="bottom"/>
            <w:gridSpan w:val="12"/>
          </w:tcPr>
          <w:p>
            <w:pPr>
              <w:spacing w:after="0"/>
              <w:rPr>
                <w:sz w:val="15"/>
                <w:szCs w:val="15"/>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32.1**</w:t>
            </w:r>
          </w:p>
        </w:tc>
        <w:tc>
          <w:tcPr>
            <w:tcW w:w="378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132">
              <w:r>
                <w:rPr>
                  <w:rFonts w:ascii="Arial" w:cs="Arial" w:eastAsia="Arial" w:hAnsi="Arial"/>
                  <w:sz w:val="18"/>
                  <w:szCs w:val="18"/>
                  <w:color w:val="0000EE"/>
                  <w:w w:val="99"/>
                </w:rPr>
                <w:t>Certification of Chief Executive Officer pursuant</w:t>
              </w:r>
            </w:hyperlink>
          </w:p>
        </w:tc>
        <w:tc>
          <w:tcPr>
            <w:tcW w:w="80" w:type="dxa"/>
            <w:vAlign w:val="bottom"/>
            <w:gridSpan w:val="3"/>
          </w:tcPr>
          <w:p>
            <w:pPr>
              <w:spacing w:after="0"/>
              <w:rPr>
                <w:sz w:val="24"/>
                <w:szCs w:val="24"/>
                <w:color w:val="auto"/>
              </w:rPr>
            </w:pPr>
          </w:p>
        </w:tc>
      </w:tr>
      <w:tr>
        <w:trPr>
          <w:trHeight w:val="183"/>
        </w:trPr>
        <w:tc>
          <w:tcPr>
            <w:tcW w:w="1320" w:type="dxa"/>
            <w:vAlign w:val="bottom"/>
          </w:tcPr>
          <w:p>
            <w:pPr>
              <w:spacing w:after="0"/>
              <w:rPr>
                <w:sz w:val="15"/>
                <w:szCs w:val="15"/>
                <w:color w:val="auto"/>
              </w:rPr>
            </w:pPr>
          </w:p>
        </w:tc>
        <w:tc>
          <w:tcPr>
            <w:tcW w:w="382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132">
              <w:r>
                <w:rPr>
                  <w:rFonts w:ascii="Arial" w:cs="Arial" w:eastAsia="Arial" w:hAnsi="Arial"/>
                  <w:sz w:val="18"/>
                  <w:szCs w:val="18"/>
                  <w:color w:val="0000EE"/>
                  <w:w w:val="99"/>
                </w:rPr>
                <w:t>to 18 U.S.C. Section 1350, as adopted pursuant</w:t>
              </w:r>
            </w:hyperlink>
          </w:p>
        </w:tc>
        <w:tc>
          <w:tcPr>
            <w:tcW w:w="40" w:type="dxa"/>
            <w:vAlign w:val="bottom"/>
            <w:gridSpan w:val="2"/>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3860" w:type="dxa"/>
            <w:vAlign w:val="bottom"/>
            <w:gridSpan w:val="21"/>
          </w:tcPr>
          <w:p>
            <w:pPr>
              <w:spacing w:after="0" w:line="182" w:lineRule="exact"/>
              <w:rPr>
                <w:rFonts w:ascii="Arial" w:cs="Arial" w:eastAsia="Arial" w:hAnsi="Arial"/>
                <w:sz w:val="18"/>
                <w:szCs w:val="18"/>
                <w:color w:val="0000EE"/>
              </w:rPr>
            </w:pPr>
            <w:hyperlink w:anchor="page132">
              <w:r>
                <w:rPr>
                  <w:rFonts w:ascii="Arial" w:cs="Arial" w:eastAsia="Arial" w:hAnsi="Arial"/>
                  <w:sz w:val="18"/>
                  <w:szCs w:val="18"/>
                  <w:color w:val="0000EE"/>
                </w:rPr>
                <w:t>to Section 906 of the Sarbanes-Oxley Act of</w:t>
              </w:r>
            </w:hyperlink>
          </w:p>
        </w:tc>
      </w:tr>
      <w:tr>
        <w:trPr>
          <w:trHeight w:val="183"/>
        </w:trPr>
        <w:tc>
          <w:tcPr>
            <w:tcW w:w="1320" w:type="dxa"/>
            <w:vAlign w:val="bottom"/>
          </w:tcPr>
          <w:p>
            <w:pPr>
              <w:spacing w:after="0"/>
              <w:rPr>
                <w:sz w:val="15"/>
                <w:szCs w:val="15"/>
                <w:color w:val="auto"/>
              </w:rPr>
            </w:pPr>
          </w:p>
        </w:tc>
        <w:tc>
          <w:tcPr>
            <w:tcW w:w="4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3"/>
              </w:rPr>
            </w:pPr>
            <w:hyperlink w:anchor="page132">
              <w:r>
                <w:rPr>
                  <w:rFonts w:ascii="Arial" w:cs="Arial" w:eastAsia="Arial" w:hAnsi="Arial"/>
                  <w:sz w:val="18"/>
                  <w:szCs w:val="18"/>
                  <w:color w:val="0000EE"/>
                  <w:w w:val="93"/>
                </w:rPr>
                <w:t>2002.</w:t>
              </w:r>
            </w:hyperlink>
          </w:p>
        </w:tc>
        <w:tc>
          <w:tcPr>
            <w:tcW w:w="1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8"/>
                <w:szCs w:val="18"/>
                <w:color w:val="auto"/>
              </w:rPr>
              <w:t>32.2**</w:t>
            </w:r>
          </w:p>
        </w:tc>
        <w:tc>
          <w:tcPr>
            <w:tcW w:w="372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133">
              <w:r>
                <w:rPr>
                  <w:rFonts w:ascii="Arial" w:cs="Arial" w:eastAsia="Arial" w:hAnsi="Arial"/>
                  <w:sz w:val="18"/>
                  <w:szCs w:val="18"/>
                  <w:color w:val="0000EE"/>
                  <w:w w:val="99"/>
                </w:rPr>
                <w:t>Certification of Chief Financial Officer pursuant</w:t>
              </w:r>
            </w:hyperlink>
          </w:p>
        </w:tc>
        <w:tc>
          <w:tcPr>
            <w:tcW w:w="140" w:type="dxa"/>
            <w:vAlign w:val="bottom"/>
            <w:gridSpan w:val="5"/>
          </w:tcPr>
          <w:p>
            <w:pPr>
              <w:spacing w:after="0"/>
              <w:rPr>
                <w:sz w:val="24"/>
                <w:szCs w:val="24"/>
                <w:color w:val="auto"/>
              </w:rPr>
            </w:pPr>
          </w:p>
        </w:tc>
      </w:tr>
      <w:tr>
        <w:trPr>
          <w:trHeight w:val="183"/>
        </w:trPr>
        <w:tc>
          <w:tcPr>
            <w:tcW w:w="1320" w:type="dxa"/>
            <w:vAlign w:val="bottom"/>
          </w:tcPr>
          <w:p>
            <w:pPr>
              <w:spacing w:after="0"/>
              <w:rPr>
                <w:sz w:val="15"/>
                <w:szCs w:val="15"/>
                <w:color w:val="auto"/>
              </w:rPr>
            </w:pPr>
          </w:p>
        </w:tc>
        <w:tc>
          <w:tcPr>
            <w:tcW w:w="382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133">
              <w:r>
                <w:rPr>
                  <w:rFonts w:ascii="Arial" w:cs="Arial" w:eastAsia="Arial" w:hAnsi="Arial"/>
                  <w:sz w:val="18"/>
                  <w:szCs w:val="18"/>
                  <w:color w:val="0000EE"/>
                  <w:w w:val="99"/>
                </w:rPr>
                <w:t>to 18 U.S.C. Section 1350, as adopted pursuant</w:t>
              </w:r>
            </w:hyperlink>
          </w:p>
        </w:tc>
        <w:tc>
          <w:tcPr>
            <w:tcW w:w="40" w:type="dxa"/>
            <w:vAlign w:val="bottom"/>
            <w:gridSpan w:val="2"/>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3860" w:type="dxa"/>
            <w:vAlign w:val="bottom"/>
            <w:gridSpan w:val="21"/>
          </w:tcPr>
          <w:p>
            <w:pPr>
              <w:spacing w:after="0" w:line="182" w:lineRule="exact"/>
              <w:rPr>
                <w:rFonts w:ascii="Arial" w:cs="Arial" w:eastAsia="Arial" w:hAnsi="Arial"/>
                <w:sz w:val="18"/>
                <w:szCs w:val="18"/>
                <w:color w:val="0000EE"/>
              </w:rPr>
            </w:pPr>
            <w:hyperlink w:anchor="page133">
              <w:r>
                <w:rPr>
                  <w:rFonts w:ascii="Arial" w:cs="Arial" w:eastAsia="Arial" w:hAnsi="Arial"/>
                  <w:sz w:val="18"/>
                  <w:szCs w:val="18"/>
                  <w:color w:val="0000EE"/>
                </w:rPr>
                <w:t>to Section 906 of the Sarbanes-Oxley Act of</w:t>
              </w:r>
            </w:hyperlink>
          </w:p>
        </w:tc>
      </w:tr>
      <w:tr>
        <w:trPr>
          <w:trHeight w:val="183"/>
        </w:trPr>
        <w:tc>
          <w:tcPr>
            <w:tcW w:w="1320" w:type="dxa"/>
            <w:vAlign w:val="bottom"/>
          </w:tcPr>
          <w:p>
            <w:pPr>
              <w:spacing w:after="0"/>
              <w:rPr>
                <w:sz w:val="15"/>
                <w:szCs w:val="15"/>
                <w:color w:val="auto"/>
              </w:rPr>
            </w:pPr>
          </w:p>
        </w:tc>
        <w:tc>
          <w:tcPr>
            <w:tcW w:w="4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3"/>
              </w:rPr>
            </w:pPr>
            <w:hyperlink w:anchor="page133">
              <w:r>
                <w:rPr>
                  <w:rFonts w:ascii="Arial" w:cs="Arial" w:eastAsia="Arial" w:hAnsi="Arial"/>
                  <w:sz w:val="18"/>
                  <w:szCs w:val="18"/>
                  <w:color w:val="0000EE"/>
                  <w:w w:val="93"/>
                </w:rPr>
                <w:t>2002.</w:t>
              </w:r>
            </w:hyperlink>
          </w:p>
        </w:tc>
        <w:tc>
          <w:tcPr>
            <w:tcW w:w="1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215" w:lineRule="exact"/>
        <w:rPr>
          <w:sz w:val="20"/>
          <w:szCs w:val="20"/>
          <w:color w:val="auto"/>
        </w:rPr>
      </w:pPr>
    </w:p>
    <w:p>
      <w:pPr>
        <w:ind w:left="1320" w:right="60" w:hanging="1311"/>
        <w:spacing w:after="0" w:line="236" w:lineRule="auto"/>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following financial statements from the Company’s Yearly Report on Form 10-K for the fiscal year ended December 31, 2020 formatted in Inline XBRL: (i) Balance Sheets, (ii) Statements of Operations, (iii) Statements of Convertible Preferred Stock and Stockholders’ Equity (Deficit) and (vi) Notes to Financial Statements, tagged as blocks of text and including detailed tags.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ind w:left="80"/>
        <w:spacing w:after="0"/>
        <w:tabs>
          <w:tab w:leader="none" w:pos="880" w:val="left"/>
          <w:tab w:leader="none" w:pos="2360" w:val="left"/>
        </w:tabs>
        <w:rPr>
          <w:sz w:val="20"/>
          <w:szCs w:val="20"/>
          <w:color w:val="auto"/>
        </w:rPr>
      </w:pPr>
      <w:r>
        <w:rPr>
          <w:rFonts w:ascii="Arial" w:cs="Arial" w:eastAsia="Arial" w:hAnsi="Arial"/>
          <w:sz w:val="16"/>
          <w:szCs w:val="16"/>
          <w:color w:val="auto"/>
        </w:rPr>
        <w:t>S-1</w:t>
      </w:r>
      <w:r>
        <w:rPr>
          <w:sz w:val="20"/>
          <w:szCs w:val="20"/>
          <w:color w:val="auto"/>
        </w:rPr>
        <w:tab/>
      </w:r>
      <w:r>
        <w:rPr>
          <w:rFonts w:ascii="Arial" w:cs="Arial" w:eastAsia="Arial" w:hAnsi="Arial"/>
          <w:sz w:val="16"/>
          <w:szCs w:val="16"/>
          <w:color w:val="auto"/>
        </w:rPr>
        <w:t>July 27, 2020</w:t>
      </w:r>
      <w:r>
        <w:rPr>
          <w:sz w:val="20"/>
          <w:szCs w:val="20"/>
          <w:color w:val="auto"/>
        </w:rPr>
        <w:tab/>
      </w:r>
      <w:r>
        <w:rPr>
          <w:rFonts w:ascii="Arial" w:cs="Arial" w:eastAsia="Arial" w:hAnsi="Arial"/>
          <w:sz w:val="15"/>
          <w:szCs w:val="15"/>
          <w:color w:val="auto"/>
        </w:rPr>
        <w:t>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9"/>
              </w:rPr>
              <w:t>10-K</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March 25,</w:t>
            </w:r>
          </w:p>
        </w:tc>
        <w:tc>
          <w:tcPr>
            <w:tcW w:w="740" w:type="dxa"/>
            <w:vAlign w:val="bottom"/>
          </w:tcPr>
          <w:p>
            <w:pPr>
              <w:jc w:val="center"/>
              <w:ind w:left="190"/>
              <w:spacing w:after="0"/>
              <w:rPr>
                <w:sz w:val="20"/>
                <w:szCs w:val="20"/>
                <w:color w:val="auto"/>
              </w:rPr>
            </w:pPr>
            <w:r>
              <w:rPr>
                <w:rFonts w:ascii="Arial" w:cs="Arial" w:eastAsia="Arial" w:hAnsi="Arial"/>
                <w:sz w:val="18"/>
                <w:szCs w:val="18"/>
                <w:color w:val="auto"/>
              </w:rPr>
              <w:t>10.20</w:t>
            </w:r>
          </w:p>
        </w:tc>
      </w:tr>
      <w:tr>
        <w:trPr>
          <w:trHeight w:val="217"/>
        </w:trPr>
        <w:tc>
          <w:tcPr>
            <w:tcW w:w="6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2021</w:t>
            </w:r>
          </w:p>
        </w:tc>
        <w:tc>
          <w:tcPr>
            <w:tcW w:w="740" w:type="dxa"/>
            <w:vAlign w:val="bottom"/>
          </w:tcPr>
          <w:p>
            <w:pPr>
              <w:spacing w:after="0"/>
              <w:rPr>
                <w:sz w:val="18"/>
                <w:szCs w:val="18"/>
                <w:color w:val="auto"/>
              </w:rPr>
            </w:pPr>
          </w:p>
        </w:tc>
      </w:tr>
      <w:tr>
        <w:trPr>
          <w:trHeight w:val="593"/>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March 10,</w:t>
            </w:r>
          </w:p>
        </w:tc>
        <w:tc>
          <w:tcPr>
            <w:tcW w:w="740" w:type="dxa"/>
            <w:vAlign w:val="bottom"/>
          </w:tcPr>
          <w:p>
            <w:pPr>
              <w:jc w:val="center"/>
              <w:ind w:left="170"/>
              <w:spacing w:after="0"/>
              <w:rPr>
                <w:sz w:val="20"/>
                <w:szCs w:val="20"/>
                <w:color w:val="auto"/>
              </w:rPr>
            </w:pPr>
            <w:r>
              <w:rPr>
                <w:rFonts w:ascii="Arial" w:cs="Arial" w:eastAsia="Arial" w:hAnsi="Arial"/>
                <w:sz w:val="18"/>
                <w:szCs w:val="18"/>
                <w:color w:val="auto"/>
              </w:rPr>
              <w:t>10.1</w:t>
            </w:r>
          </w:p>
        </w:tc>
      </w:tr>
      <w:tr>
        <w:trPr>
          <w:trHeight w:val="217"/>
        </w:trPr>
        <w:tc>
          <w:tcPr>
            <w:tcW w:w="6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2021</w:t>
            </w:r>
          </w:p>
        </w:tc>
        <w:tc>
          <w:tcPr>
            <w:tcW w:w="740" w:type="dxa"/>
            <w:vAlign w:val="bottom"/>
          </w:tcPr>
          <w:p>
            <w:pPr>
              <w:spacing w:after="0"/>
              <w:rPr>
                <w:sz w:val="18"/>
                <w:szCs w:val="18"/>
                <w:color w:val="auto"/>
              </w:rPr>
            </w:pPr>
          </w:p>
        </w:tc>
      </w:tr>
      <w:tr>
        <w:trPr>
          <w:trHeight w:val="593"/>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March 15,</w:t>
            </w:r>
          </w:p>
        </w:tc>
        <w:tc>
          <w:tcPr>
            <w:tcW w:w="740" w:type="dxa"/>
            <w:vAlign w:val="bottom"/>
          </w:tcPr>
          <w:p>
            <w:pPr>
              <w:jc w:val="center"/>
              <w:ind w:left="170"/>
              <w:spacing w:after="0"/>
              <w:rPr>
                <w:sz w:val="20"/>
                <w:szCs w:val="20"/>
                <w:color w:val="auto"/>
              </w:rPr>
            </w:pPr>
            <w:r>
              <w:rPr>
                <w:rFonts w:ascii="Arial" w:cs="Arial" w:eastAsia="Arial" w:hAnsi="Arial"/>
                <w:sz w:val="18"/>
                <w:szCs w:val="18"/>
                <w:color w:val="auto"/>
              </w:rPr>
              <w:t>10.1</w:t>
            </w:r>
          </w:p>
        </w:tc>
      </w:tr>
      <w:tr>
        <w:trPr>
          <w:trHeight w:val="217"/>
        </w:trPr>
        <w:tc>
          <w:tcPr>
            <w:tcW w:w="6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2021</w:t>
            </w:r>
          </w:p>
        </w:tc>
        <w:tc>
          <w:tcPr>
            <w:tcW w:w="740" w:type="dxa"/>
            <w:vAlign w:val="bottom"/>
          </w:tcPr>
          <w:p>
            <w:pPr>
              <w:spacing w:after="0"/>
              <w:rPr>
                <w:sz w:val="18"/>
                <w:szCs w:val="18"/>
                <w:color w:val="auto"/>
              </w:rPr>
            </w:pPr>
          </w:p>
        </w:tc>
      </w:tr>
      <w:tr>
        <w:trPr>
          <w:trHeight w:val="593"/>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10-Q</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August 10,</w:t>
            </w:r>
          </w:p>
        </w:tc>
        <w:tc>
          <w:tcPr>
            <w:tcW w:w="740" w:type="dxa"/>
            <w:vAlign w:val="bottom"/>
          </w:tcPr>
          <w:p>
            <w:pPr>
              <w:jc w:val="center"/>
              <w:ind w:left="170"/>
              <w:spacing w:after="0"/>
              <w:rPr>
                <w:sz w:val="20"/>
                <w:szCs w:val="20"/>
                <w:color w:val="auto"/>
              </w:rPr>
            </w:pPr>
            <w:r>
              <w:rPr>
                <w:rFonts w:ascii="Arial" w:cs="Arial" w:eastAsia="Arial" w:hAnsi="Arial"/>
                <w:sz w:val="18"/>
                <w:szCs w:val="18"/>
                <w:color w:val="auto"/>
              </w:rPr>
              <w:t>10.1</w:t>
            </w:r>
          </w:p>
        </w:tc>
      </w:tr>
      <w:tr>
        <w:trPr>
          <w:trHeight w:val="203"/>
        </w:trPr>
        <w:tc>
          <w:tcPr>
            <w:tcW w:w="68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rPr>
              <w:t>2021</w:t>
            </w:r>
          </w:p>
        </w:tc>
        <w:tc>
          <w:tcPr>
            <w:tcW w:w="740" w:type="dxa"/>
            <w:vAlign w:val="bottom"/>
          </w:tcPr>
          <w:p>
            <w:pPr>
              <w:spacing w:after="0"/>
              <w:rPr>
                <w:sz w:val="17"/>
                <w:szCs w:val="17"/>
                <w:color w:val="auto"/>
              </w:rPr>
            </w:pPr>
          </w:p>
        </w:tc>
      </w:tr>
    </w:tbl>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5180" w:space="500"/>
            <w:col w:w="3820"/>
          </w:cols>
          <w:pgMar w:left="980" w:top="665" w:right="141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592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438"/>
        </w:trPr>
        <w:tc>
          <w:tcPr>
            <w:tcW w:w="1280" w:type="dxa"/>
            <w:vAlign w:val="bottom"/>
          </w:tcPr>
          <w:p>
            <w:pPr>
              <w:spacing w:after="0"/>
              <w:rPr>
                <w:sz w:val="20"/>
                <w:szCs w:val="20"/>
                <w:color w:val="auto"/>
              </w:rPr>
            </w:pPr>
            <w:r>
              <w:rPr>
                <w:rFonts w:ascii="Arial" w:cs="Arial" w:eastAsia="Arial" w:hAnsi="Arial"/>
                <w:sz w:val="18"/>
                <w:szCs w:val="18"/>
                <w:color w:val="auto"/>
              </w:rPr>
              <w:t>104</w:t>
            </w:r>
          </w:p>
        </w:tc>
        <w:tc>
          <w:tcPr>
            <w:tcW w:w="5920" w:type="dxa"/>
            <w:vAlign w:val="bottom"/>
          </w:tcPr>
          <w:p>
            <w:pPr>
              <w:ind w:left="40"/>
              <w:spacing w:after="0"/>
              <w:rPr>
                <w:sz w:val="20"/>
                <w:szCs w:val="20"/>
                <w:color w:val="auto"/>
              </w:rPr>
            </w:pPr>
            <w:r>
              <w:rPr>
                <w:rFonts w:ascii="Arial" w:cs="Arial" w:eastAsia="Arial" w:hAnsi="Arial"/>
                <w:sz w:val="18"/>
                <w:szCs w:val="18"/>
                <w:color w:val="auto"/>
              </w:rPr>
              <w:t>Cover Page Interactive Data File (formatted as</w:t>
            </w:r>
          </w:p>
        </w:tc>
        <w:tc>
          <w:tcPr>
            <w:tcW w:w="2300" w:type="dxa"/>
            <w:vAlign w:val="bottom"/>
          </w:tcPr>
          <w:p>
            <w:pPr>
              <w:ind w:left="2180"/>
              <w:spacing w:after="0"/>
              <w:rPr>
                <w:sz w:val="20"/>
                <w:szCs w:val="20"/>
                <w:color w:val="auto"/>
              </w:rPr>
            </w:pPr>
            <w:r>
              <w:rPr>
                <w:rFonts w:ascii="Arial" w:cs="Arial" w:eastAsia="Arial" w:hAnsi="Arial"/>
                <w:sz w:val="18"/>
                <w:szCs w:val="18"/>
                <w:color w:val="auto"/>
                <w:w w:val="82"/>
              </w:rPr>
              <w:t>X</w:t>
            </w:r>
          </w:p>
        </w:tc>
      </w:tr>
      <w:tr>
        <w:trPr>
          <w:trHeight w:val="217"/>
        </w:trPr>
        <w:tc>
          <w:tcPr>
            <w:tcW w:w="1280" w:type="dxa"/>
            <w:vAlign w:val="bottom"/>
          </w:tcPr>
          <w:p>
            <w:pPr>
              <w:spacing w:after="0"/>
              <w:rPr>
                <w:sz w:val="18"/>
                <w:szCs w:val="18"/>
                <w:color w:val="auto"/>
              </w:rPr>
            </w:pPr>
          </w:p>
        </w:tc>
        <w:tc>
          <w:tcPr>
            <w:tcW w:w="5920" w:type="dxa"/>
            <w:vAlign w:val="bottom"/>
          </w:tcPr>
          <w:p>
            <w:pPr>
              <w:ind w:left="40"/>
              <w:spacing w:after="0"/>
              <w:rPr>
                <w:sz w:val="20"/>
                <w:szCs w:val="20"/>
                <w:color w:val="auto"/>
              </w:rPr>
            </w:pPr>
            <w:r>
              <w:rPr>
                <w:rFonts w:ascii="Arial" w:cs="Arial" w:eastAsia="Arial" w:hAnsi="Arial"/>
                <w:sz w:val="18"/>
                <w:szCs w:val="18"/>
                <w:color w:val="auto"/>
              </w:rPr>
              <w:t>Inline XBRL and contained in Exhibit 101)</w:t>
            </w:r>
          </w:p>
        </w:tc>
        <w:tc>
          <w:tcPr>
            <w:tcW w:w="23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316865</wp:posOffset>
            </wp:positionV>
            <wp:extent cx="15684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12" w:lineRule="exact"/>
        <w:rPr>
          <w:sz w:val="20"/>
          <w:szCs w:val="20"/>
          <w:color w:val="auto"/>
        </w:rPr>
      </w:pPr>
    </w:p>
    <w:p>
      <w:pPr>
        <w:ind w:left="340" w:hanging="332"/>
        <w:spacing w:after="0" w:line="238"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certification is deemed furnished, and not filed, with the Securities and Exchange Commission and is not to be incorporated by reference into any filing of Harmony Biosciences Holdings,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5" w:lineRule="exact"/>
        <w:rPr>
          <w:sz w:val="20"/>
          <w:szCs w:val="20"/>
          <w:color w:val="auto"/>
        </w:rPr>
      </w:pPr>
    </w:p>
    <w:p>
      <w:pPr>
        <w:ind w:left="380" w:right="360" w:hanging="372"/>
        <w:spacing w:after="0" w:line="246" w:lineRule="auto"/>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Certain portions of this document that constitute confidential information have been redacted in accordance with Regulation S-K, Item 601(b)(10)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3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640"/>
          </w:cols>
          <w:pgMar w:left="980" w:top="648" w:right="127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12"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42"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HARMONY BIOSCIENCES HOLDINGS, INC.</w:t>
      </w:r>
    </w:p>
    <w:p>
      <w:pPr>
        <w:spacing w:after="0" w:line="328" w:lineRule="exact"/>
        <w:rPr>
          <w:sz w:val="20"/>
          <w:szCs w:val="20"/>
          <w:color w:val="auto"/>
        </w:rPr>
      </w:pPr>
    </w:p>
    <w:p>
      <w:pPr>
        <w:ind w:left="466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C.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-1905</wp:posOffset>
            </wp:positionV>
            <wp:extent cx="29489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ind w:left="4660"/>
        <w:spacing w:after="0"/>
        <w:rPr>
          <w:sz w:val="20"/>
          <w:szCs w:val="20"/>
          <w:color w:val="auto"/>
        </w:rPr>
      </w:pPr>
      <w:r>
        <w:rPr>
          <w:rFonts w:ascii="Arial" w:cs="Arial" w:eastAsia="Arial" w:hAnsi="Arial"/>
          <w:sz w:val="18"/>
          <w:szCs w:val="18"/>
          <w:color w:val="auto"/>
        </w:rPr>
        <w:t>Name: John C. Jacobs</w:t>
      </w:r>
    </w:p>
    <w:p>
      <w:pPr>
        <w:spacing w:after="0" w:line="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Title:</w:t>
      </w:r>
    </w:p>
    <w:p>
      <w:pPr>
        <w:ind w:left="5300"/>
        <w:spacing w:after="0"/>
        <w:rPr>
          <w:sz w:val="20"/>
          <w:szCs w:val="20"/>
          <w:color w:val="auto"/>
        </w:rPr>
      </w:pPr>
      <w:r>
        <w:rPr>
          <w:rFonts w:ascii="Arial" w:cs="Arial" w:eastAsia="Arial" w:hAnsi="Arial"/>
          <w:sz w:val="18"/>
          <w:szCs w:val="18"/>
          <w:color w:val="auto"/>
        </w:rPr>
        <w:t>President, Chief Executive Officer and Director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28, 2022</w:t>
      </w:r>
    </w:p>
    <w:p>
      <w:pPr>
        <w:spacing w:after="0" w:line="234" w:lineRule="exact"/>
        <w:rPr>
          <w:sz w:val="20"/>
          <w:szCs w:val="20"/>
          <w:color w:val="auto"/>
        </w:rPr>
      </w:pPr>
    </w:p>
    <w:p>
      <w:pPr>
        <w:ind w:right="460"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Signature</w:t>
            </w:r>
          </w:p>
        </w:tc>
        <w:tc>
          <w:tcPr>
            <w:tcW w:w="200" w:type="dxa"/>
            <w:vAlign w:val="bottom"/>
          </w:tcPr>
          <w:p>
            <w:pPr>
              <w:spacing w:after="0"/>
              <w:rPr>
                <w:sz w:val="19"/>
                <w:szCs w:val="19"/>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w:t>
            </w:r>
          </w:p>
        </w:tc>
        <w:tc>
          <w:tcPr>
            <w:tcW w:w="200" w:type="dxa"/>
            <w:vAlign w:val="bottom"/>
          </w:tcPr>
          <w:p>
            <w:pPr>
              <w:spacing w:after="0"/>
              <w:rPr>
                <w:sz w:val="19"/>
                <w:szCs w:val="19"/>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r>
      <w:tr>
        <w:trPr>
          <w:trHeight w:val="398"/>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John C. Jacobs</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President, Chief Executive Officer, and 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28, 2022</w:t>
            </w:r>
          </w:p>
        </w:tc>
      </w:tr>
      <w:tr>
        <w:trPr>
          <w:trHeight w:val="211"/>
        </w:trPr>
        <w:tc>
          <w:tcPr>
            <w:tcW w:w="2500" w:type="dxa"/>
            <w:vAlign w:val="bottom"/>
          </w:tcPr>
          <w:p>
            <w:pPr>
              <w:jc w:val="center"/>
              <w:spacing w:after="0"/>
              <w:rPr>
                <w:sz w:val="20"/>
                <w:szCs w:val="20"/>
                <w:color w:val="auto"/>
              </w:rPr>
            </w:pPr>
            <w:r>
              <w:rPr>
                <w:rFonts w:ascii="Arial" w:cs="Arial" w:eastAsia="Arial" w:hAnsi="Arial"/>
                <w:sz w:val="18"/>
                <w:szCs w:val="18"/>
                <w:color w:val="auto"/>
                <w:w w:val="99"/>
              </w:rPr>
              <w:t>John C. Jacobs</w:t>
            </w:r>
          </w:p>
        </w:tc>
        <w:tc>
          <w:tcPr>
            <w:tcW w:w="200" w:type="dxa"/>
            <w:vAlign w:val="bottom"/>
          </w:tcPr>
          <w:p>
            <w:pPr>
              <w:spacing w:after="0"/>
              <w:rPr>
                <w:sz w:val="18"/>
                <w:szCs w:val="18"/>
                <w:color w:val="auto"/>
              </w:rPr>
            </w:pPr>
          </w:p>
        </w:tc>
        <w:tc>
          <w:tcPr>
            <w:tcW w:w="4740" w:type="dxa"/>
            <w:vAlign w:val="bottom"/>
            <w:gridSpan w:val="2"/>
          </w:tcPr>
          <w:p>
            <w:pPr>
              <w:jc w:val="center"/>
              <w:ind w:right="200"/>
              <w:spacing w:after="0" w:line="197" w:lineRule="exact"/>
              <w:rPr>
                <w:sz w:val="20"/>
                <w:szCs w:val="20"/>
                <w:color w:val="auto"/>
              </w:rPr>
            </w:pPr>
            <w:r>
              <w:rPr>
                <w:rFonts w:ascii="Arial" w:cs="Arial" w:eastAsia="Arial" w:hAnsi="Arial"/>
                <w:sz w:val="18"/>
                <w:szCs w:val="18"/>
                <w:color w:val="auto"/>
                <w:w w:val="99"/>
              </w:rPr>
              <w:t>(Principal Executive Officer)</w:t>
            </w:r>
          </w:p>
        </w:tc>
        <w:tc>
          <w:tcPr>
            <w:tcW w:w="2480" w:type="dxa"/>
            <w:vAlign w:val="bottom"/>
          </w:tcPr>
          <w:p>
            <w:pPr>
              <w:spacing w:after="0"/>
              <w:rPr>
                <w:sz w:val="18"/>
                <w:szCs w:val="18"/>
                <w:color w:val="auto"/>
              </w:rPr>
            </w:pPr>
          </w:p>
        </w:tc>
      </w:tr>
      <w:tr>
        <w:trPr>
          <w:trHeight w:val="390"/>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Sandip Kapadia</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rPr>
              <w:t>Chief Financial Officer (Principal</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28, 2022</w:t>
            </w:r>
          </w:p>
        </w:tc>
      </w:tr>
      <w:tr>
        <w:trPr>
          <w:trHeight w:val="211"/>
        </w:trPr>
        <w:tc>
          <w:tcPr>
            <w:tcW w:w="2500" w:type="dxa"/>
            <w:vAlign w:val="bottom"/>
          </w:tcPr>
          <w:p>
            <w:pPr>
              <w:jc w:val="center"/>
              <w:spacing w:after="0"/>
              <w:rPr>
                <w:sz w:val="20"/>
                <w:szCs w:val="20"/>
                <w:color w:val="auto"/>
              </w:rPr>
            </w:pPr>
            <w:r>
              <w:rPr>
                <w:rFonts w:ascii="Arial" w:cs="Arial" w:eastAsia="Arial" w:hAnsi="Arial"/>
                <w:sz w:val="18"/>
                <w:szCs w:val="18"/>
                <w:color w:val="auto"/>
                <w:w w:val="99"/>
              </w:rPr>
              <w:t>Sandip Kapadia</w:t>
            </w:r>
          </w:p>
        </w:tc>
        <w:tc>
          <w:tcPr>
            <w:tcW w:w="200" w:type="dxa"/>
            <w:vAlign w:val="bottom"/>
          </w:tcPr>
          <w:p>
            <w:pPr>
              <w:spacing w:after="0"/>
              <w:rPr>
                <w:sz w:val="18"/>
                <w:szCs w:val="18"/>
                <w:color w:val="auto"/>
              </w:rPr>
            </w:pPr>
          </w:p>
        </w:tc>
        <w:tc>
          <w:tcPr>
            <w:tcW w:w="4740" w:type="dxa"/>
            <w:vAlign w:val="bottom"/>
            <w:gridSpan w:val="2"/>
          </w:tcPr>
          <w:p>
            <w:pPr>
              <w:jc w:val="center"/>
              <w:ind w:right="200"/>
              <w:spacing w:after="0" w:line="197" w:lineRule="exact"/>
              <w:rPr>
                <w:sz w:val="20"/>
                <w:szCs w:val="20"/>
                <w:color w:val="auto"/>
              </w:rPr>
            </w:pPr>
            <w:r>
              <w:rPr>
                <w:rFonts w:ascii="Arial" w:cs="Arial" w:eastAsia="Arial" w:hAnsi="Arial"/>
                <w:sz w:val="18"/>
                <w:szCs w:val="18"/>
                <w:color w:val="auto"/>
              </w:rPr>
              <w:t>Financial Officer and Principal Accounting Officer)</w:t>
            </w:r>
          </w:p>
        </w:tc>
        <w:tc>
          <w:tcPr>
            <w:tcW w:w="2480" w:type="dxa"/>
            <w:vAlign w:val="bottom"/>
          </w:tcPr>
          <w:p>
            <w:pPr>
              <w:spacing w:after="0"/>
              <w:rPr>
                <w:sz w:val="18"/>
                <w:szCs w:val="18"/>
                <w:color w:val="auto"/>
              </w:rPr>
            </w:pPr>
          </w:p>
        </w:tc>
      </w:tr>
      <w:tr>
        <w:trPr>
          <w:trHeight w:val="391"/>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Jeffrey S. Aronin</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rPr>
              <w:t>Chairman of the Board</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28, 2022</w:t>
            </w:r>
          </w:p>
        </w:tc>
      </w:tr>
      <w:tr>
        <w:trPr>
          <w:trHeight w:val="210"/>
        </w:trPr>
        <w:tc>
          <w:tcPr>
            <w:tcW w:w="2500" w:type="dxa"/>
            <w:vAlign w:val="bottom"/>
          </w:tcPr>
          <w:p>
            <w:pPr>
              <w:jc w:val="center"/>
              <w:spacing w:after="0"/>
              <w:rPr>
                <w:sz w:val="20"/>
                <w:szCs w:val="20"/>
                <w:color w:val="auto"/>
              </w:rPr>
            </w:pPr>
            <w:r>
              <w:rPr>
                <w:rFonts w:ascii="Arial" w:cs="Arial" w:eastAsia="Arial" w:hAnsi="Arial"/>
                <w:sz w:val="18"/>
                <w:szCs w:val="18"/>
                <w:color w:val="auto"/>
              </w:rPr>
              <w:t>Jeffrey S. Aronin</w:t>
            </w:r>
          </w:p>
        </w:tc>
        <w:tc>
          <w:tcPr>
            <w:tcW w:w="2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391"/>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Antonio Gracias</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28, 2022</w:t>
            </w:r>
          </w:p>
        </w:tc>
      </w:tr>
      <w:tr>
        <w:trPr>
          <w:trHeight w:val="210"/>
        </w:trPr>
        <w:tc>
          <w:tcPr>
            <w:tcW w:w="2500" w:type="dxa"/>
            <w:vAlign w:val="bottom"/>
          </w:tcPr>
          <w:p>
            <w:pPr>
              <w:jc w:val="center"/>
              <w:spacing w:after="0"/>
              <w:rPr>
                <w:sz w:val="20"/>
                <w:szCs w:val="20"/>
                <w:color w:val="auto"/>
              </w:rPr>
            </w:pPr>
            <w:r>
              <w:rPr>
                <w:rFonts w:ascii="Arial" w:cs="Arial" w:eastAsia="Arial" w:hAnsi="Arial"/>
                <w:sz w:val="18"/>
                <w:szCs w:val="18"/>
                <w:color w:val="auto"/>
                <w:w w:val="99"/>
              </w:rPr>
              <w:t>Antonio Gracias</w:t>
            </w:r>
          </w:p>
        </w:tc>
        <w:tc>
          <w:tcPr>
            <w:tcW w:w="2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391"/>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 Mark Graf</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28, 2022</w:t>
            </w:r>
          </w:p>
        </w:tc>
      </w:tr>
      <w:tr>
        <w:trPr>
          <w:trHeight w:val="210"/>
        </w:trPr>
        <w:tc>
          <w:tcPr>
            <w:tcW w:w="2500" w:type="dxa"/>
            <w:vAlign w:val="bottom"/>
          </w:tcPr>
          <w:p>
            <w:pPr>
              <w:jc w:val="center"/>
              <w:spacing w:after="0"/>
              <w:rPr>
                <w:sz w:val="20"/>
                <w:szCs w:val="20"/>
                <w:color w:val="auto"/>
              </w:rPr>
            </w:pPr>
            <w:r>
              <w:rPr>
                <w:rFonts w:ascii="Arial" w:cs="Arial" w:eastAsia="Arial" w:hAnsi="Arial"/>
                <w:sz w:val="18"/>
                <w:szCs w:val="18"/>
                <w:color w:val="auto"/>
                <w:w w:val="98"/>
              </w:rPr>
              <w:t>R. Mark Graf</w:t>
            </w:r>
          </w:p>
        </w:tc>
        <w:tc>
          <w:tcPr>
            <w:tcW w:w="2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391"/>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Jack Bech Nielsen</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28, 2022</w:t>
            </w:r>
          </w:p>
        </w:tc>
      </w:tr>
      <w:tr>
        <w:trPr>
          <w:trHeight w:val="210"/>
        </w:trPr>
        <w:tc>
          <w:tcPr>
            <w:tcW w:w="2500" w:type="dxa"/>
            <w:vAlign w:val="bottom"/>
          </w:tcPr>
          <w:p>
            <w:pPr>
              <w:jc w:val="center"/>
              <w:spacing w:after="0"/>
              <w:rPr>
                <w:sz w:val="20"/>
                <w:szCs w:val="20"/>
                <w:color w:val="auto"/>
              </w:rPr>
            </w:pPr>
            <w:r>
              <w:rPr>
                <w:rFonts w:ascii="Arial" w:cs="Arial" w:eastAsia="Arial" w:hAnsi="Arial"/>
                <w:sz w:val="18"/>
                <w:szCs w:val="18"/>
                <w:color w:val="auto"/>
                <w:w w:val="99"/>
              </w:rPr>
              <w:t>Jack Bech Nielsen</w:t>
            </w:r>
          </w:p>
        </w:tc>
        <w:tc>
          <w:tcPr>
            <w:tcW w:w="2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391"/>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Juan A. Sabater</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28, 2022</w:t>
            </w:r>
          </w:p>
        </w:tc>
      </w:tr>
      <w:tr>
        <w:trPr>
          <w:trHeight w:val="210"/>
        </w:trPr>
        <w:tc>
          <w:tcPr>
            <w:tcW w:w="2500" w:type="dxa"/>
            <w:vAlign w:val="bottom"/>
          </w:tcPr>
          <w:p>
            <w:pPr>
              <w:jc w:val="center"/>
              <w:spacing w:after="0"/>
              <w:rPr>
                <w:sz w:val="20"/>
                <w:szCs w:val="20"/>
                <w:color w:val="auto"/>
              </w:rPr>
            </w:pPr>
            <w:r>
              <w:rPr>
                <w:rFonts w:ascii="Arial" w:cs="Arial" w:eastAsia="Arial" w:hAnsi="Arial"/>
                <w:sz w:val="18"/>
                <w:szCs w:val="18"/>
                <w:color w:val="auto"/>
              </w:rPr>
              <w:t>Juan A. Sabater</w:t>
            </w:r>
          </w:p>
        </w:tc>
        <w:tc>
          <w:tcPr>
            <w:tcW w:w="2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391"/>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Gary Sender</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28, 2022</w:t>
            </w:r>
          </w:p>
        </w:tc>
      </w:tr>
      <w:tr>
        <w:trPr>
          <w:trHeight w:val="210"/>
        </w:trPr>
        <w:tc>
          <w:tcPr>
            <w:tcW w:w="2500" w:type="dxa"/>
            <w:vAlign w:val="bottom"/>
          </w:tcPr>
          <w:p>
            <w:pPr>
              <w:jc w:val="center"/>
              <w:spacing w:after="0"/>
              <w:rPr>
                <w:sz w:val="20"/>
                <w:szCs w:val="20"/>
                <w:color w:val="auto"/>
              </w:rPr>
            </w:pPr>
            <w:r>
              <w:rPr>
                <w:rFonts w:ascii="Arial" w:cs="Arial" w:eastAsia="Arial" w:hAnsi="Arial"/>
                <w:sz w:val="18"/>
                <w:szCs w:val="18"/>
                <w:color w:val="auto"/>
                <w:w w:val="99"/>
              </w:rPr>
              <w:t>Gary Sender</w:t>
            </w:r>
          </w:p>
        </w:tc>
        <w:tc>
          <w:tcPr>
            <w:tcW w:w="2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391"/>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Linda Szyper</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28, 2022</w:t>
            </w:r>
          </w:p>
        </w:tc>
      </w:tr>
      <w:tr>
        <w:trPr>
          <w:trHeight w:val="210"/>
        </w:trPr>
        <w:tc>
          <w:tcPr>
            <w:tcW w:w="2500" w:type="dxa"/>
            <w:vAlign w:val="bottom"/>
          </w:tcPr>
          <w:p>
            <w:pPr>
              <w:jc w:val="center"/>
              <w:spacing w:after="0"/>
              <w:rPr>
                <w:sz w:val="20"/>
                <w:szCs w:val="20"/>
                <w:color w:val="auto"/>
              </w:rPr>
            </w:pPr>
            <w:r>
              <w:rPr>
                <w:rFonts w:ascii="Arial" w:cs="Arial" w:eastAsia="Arial" w:hAnsi="Arial"/>
                <w:sz w:val="18"/>
                <w:szCs w:val="18"/>
                <w:color w:val="auto"/>
              </w:rPr>
              <w:t>Linda Szyper</w:t>
            </w:r>
          </w:p>
        </w:tc>
        <w:tc>
          <w:tcPr>
            <w:tcW w:w="2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391"/>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Andreas Wicki</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28, 2022</w:t>
            </w:r>
          </w:p>
        </w:tc>
      </w:tr>
      <w:tr>
        <w:trPr>
          <w:trHeight w:val="210"/>
        </w:trPr>
        <w:tc>
          <w:tcPr>
            <w:tcW w:w="2500" w:type="dxa"/>
            <w:vAlign w:val="bottom"/>
          </w:tcPr>
          <w:p>
            <w:pPr>
              <w:jc w:val="center"/>
              <w:spacing w:after="0"/>
              <w:rPr>
                <w:sz w:val="20"/>
                <w:szCs w:val="20"/>
                <w:color w:val="auto"/>
              </w:rPr>
            </w:pPr>
            <w:r>
              <w:rPr>
                <w:rFonts w:ascii="Arial" w:cs="Arial" w:eastAsia="Arial" w:hAnsi="Arial"/>
                <w:sz w:val="18"/>
                <w:szCs w:val="18"/>
                <w:color w:val="auto"/>
                <w:w w:val="99"/>
              </w:rPr>
              <w:t>Andreas Wicki</w:t>
            </w:r>
          </w:p>
        </w:tc>
        <w:tc>
          <w:tcPr>
            <w:tcW w:w="2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7" w:name="page128"/>
    <w:bookmarkEnd w:id="127"/>
    <w:p>
      <w:pPr>
        <w:jc w:val="right"/>
        <w:spacing w:after="0"/>
        <w:rPr>
          <w:sz w:val="20"/>
          <w:szCs w:val="20"/>
          <w:color w:val="auto"/>
        </w:rPr>
      </w:pPr>
      <w:r>
        <w:rPr>
          <w:rFonts w:ascii="Arial" w:cs="Arial" w:eastAsia="Arial" w:hAnsi="Arial"/>
          <w:sz w:val="19"/>
          <w:szCs w:val="19"/>
          <w:b w:val="1"/>
          <w:bCs w:val="1"/>
          <w:color w:val="auto"/>
        </w:rPr>
        <w:t>Exhibit 21.1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180" w:type="dxa"/>
            <w:vAlign w:val="bottom"/>
          </w:tcPr>
          <w:p>
            <w:pPr>
              <w:spacing w:after="0"/>
              <w:rPr>
                <w:sz w:val="21"/>
                <w:szCs w:val="21"/>
                <w:color w:val="auto"/>
              </w:rPr>
            </w:pPr>
          </w:p>
        </w:tc>
        <w:tc>
          <w:tcPr>
            <w:tcW w:w="7740" w:type="dxa"/>
            <w:vAlign w:val="bottom"/>
          </w:tcPr>
          <w:p>
            <w:pPr>
              <w:ind w:left="700"/>
              <w:spacing w:after="0"/>
              <w:rPr>
                <w:sz w:val="20"/>
                <w:szCs w:val="20"/>
                <w:color w:val="auto"/>
              </w:rPr>
            </w:pPr>
            <w:r>
              <w:rPr>
                <w:rFonts w:ascii="Arial" w:cs="Arial" w:eastAsia="Arial" w:hAnsi="Arial"/>
                <w:sz w:val="19"/>
                <w:szCs w:val="19"/>
                <w:b w:val="1"/>
                <w:bCs w:val="1"/>
                <w:color w:val="auto"/>
              </w:rPr>
              <w:t>Subsidiaries of Harmony Biosciences Holdings, Inc.</w:t>
            </w:r>
          </w:p>
        </w:tc>
      </w:tr>
      <w:tr>
        <w:trPr>
          <w:trHeight w:val="330"/>
        </w:trPr>
        <w:tc>
          <w:tcPr>
            <w:tcW w:w="2180" w:type="dxa"/>
            <w:vAlign w:val="bottom"/>
          </w:tcPr>
          <w:p>
            <w:pPr>
              <w:spacing w:after="0"/>
              <w:rPr>
                <w:sz w:val="20"/>
                <w:szCs w:val="20"/>
                <w:color w:val="auto"/>
              </w:rPr>
            </w:pPr>
            <w:r>
              <w:rPr>
                <w:rFonts w:ascii="Arial" w:cs="Arial" w:eastAsia="Arial" w:hAnsi="Arial"/>
                <w:sz w:val="16"/>
                <w:szCs w:val="16"/>
                <w:b w:val="1"/>
                <w:bCs w:val="1"/>
                <w:color w:val="auto"/>
              </w:rPr>
              <w:t>Subsidiary</w:t>
            </w:r>
          </w:p>
        </w:tc>
        <w:tc>
          <w:tcPr>
            <w:tcW w:w="7740" w:type="dxa"/>
            <w:vAlign w:val="bottom"/>
          </w:tcPr>
          <w:p>
            <w:pPr>
              <w:jc w:val="center"/>
              <w:ind w:right="2455"/>
              <w:spacing w:after="0"/>
              <w:rPr>
                <w:sz w:val="20"/>
                <w:szCs w:val="20"/>
                <w:color w:val="auto"/>
              </w:rPr>
            </w:pPr>
            <w:r>
              <w:rPr>
                <w:rFonts w:ascii="Arial" w:cs="Arial" w:eastAsia="Arial" w:hAnsi="Arial"/>
                <w:sz w:val="16"/>
                <w:szCs w:val="16"/>
                <w:b w:val="1"/>
                <w:bCs w:val="1"/>
                <w:color w:val="auto"/>
                <w:w w:val="92"/>
              </w:rPr>
              <w:t>Jurisdiction</w:t>
            </w:r>
          </w:p>
        </w:tc>
      </w:tr>
      <w:tr>
        <w:trPr>
          <w:trHeight w:val="212"/>
        </w:trPr>
        <w:tc>
          <w:tcPr>
            <w:tcW w:w="2180" w:type="dxa"/>
            <w:vAlign w:val="bottom"/>
          </w:tcPr>
          <w:p>
            <w:pPr>
              <w:spacing w:after="0"/>
              <w:rPr>
                <w:sz w:val="20"/>
                <w:szCs w:val="20"/>
                <w:color w:val="auto"/>
              </w:rPr>
            </w:pPr>
            <w:r>
              <w:rPr>
                <w:rFonts w:ascii="Arial" w:cs="Arial" w:eastAsia="Arial" w:hAnsi="Arial"/>
                <w:sz w:val="16"/>
                <w:szCs w:val="16"/>
                <w:color w:val="auto"/>
              </w:rPr>
              <w:t>Harmony Biosciences,</w:t>
            </w:r>
          </w:p>
        </w:tc>
        <w:tc>
          <w:tcPr>
            <w:tcW w:w="7740" w:type="dxa"/>
            <w:vAlign w:val="bottom"/>
          </w:tcPr>
          <w:p>
            <w:pPr>
              <w:spacing w:after="0"/>
              <w:rPr>
                <w:sz w:val="18"/>
                <w:szCs w:val="18"/>
                <w:color w:val="auto"/>
              </w:rPr>
            </w:pPr>
          </w:p>
        </w:tc>
      </w:tr>
      <w:tr>
        <w:trPr>
          <w:trHeight w:val="206"/>
        </w:trPr>
        <w:tc>
          <w:tcPr>
            <w:tcW w:w="2180" w:type="dxa"/>
            <w:vAlign w:val="bottom"/>
          </w:tcPr>
          <w:p>
            <w:pPr>
              <w:spacing w:after="0"/>
              <w:rPr>
                <w:sz w:val="20"/>
                <w:szCs w:val="20"/>
                <w:color w:val="auto"/>
              </w:rPr>
            </w:pPr>
            <w:r>
              <w:rPr>
                <w:rFonts w:ascii="Arial" w:cs="Arial" w:eastAsia="Arial" w:hAnsi="Arial"/>
                <w:sz w:val="16"/>
                <w:szCs w:val="16"/>
                <w:color w:val="auto"/>
              </w:rPr>
              <w:t>LLC</w:t>
            </w:r>
          </w:p>
        </w:tc>
        <w:tc>
          <w:tcPr>
            <w:tcW w:w="7740" w:type="dxa"/>
            <w:vAlign w:val="bottom"/>
          </w:tcPr>
          <w:p>
            <w:pPr>
              <w:jc w:val="center"/>
              <w:ind w:right="2435"/>
              <w:spacing w:after="0"/>
              <w:rPr>
                <w:sz w:val="20"/>
                <w:szCs w:val="20"/>
                <w:color w:val="auto"/>
              </w:rPr>
            </w:pPr>
            <w:r>
              <w:rPr>
                <w:rFonts w:ascii="Arial" w:cs="Arial" w:eastAsia="Arial" w:hAnsi="Arial"/>
                <w:sz w:val="16"/>
                <w:szCs w:val="16"/>
                <w:color w:val="auto"/>
                <w:w w:val="91"/>
              </w:rPr>
              <w:t>Delaware</w:t>
            </w:r>
          </w:p>
        </w:tc>
      </w:tr>
      <w:tr>
        <w:trPr>
          <w:trHeight w:val="782"/>
        </w:trPr>
        <w:tc>
          <w:tcPr>
            <w:tcW w:w="218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1" w:right="999" w:bottom="1440" w:gutter="0" w:footer="0" w:header="0"/>
        </w:sectPr>
      </w:pPr>
    </w:p>
    <w:bookmarkStart w:id="128" w:name="page129"/>
    <w:bookmarkEnd w:id="128"/>
    <w:p>
      <w:pPr>
        <w:jc w:val="right"/>
        <w:spacing w:after="0"/>
        <w:rPr>
          <w:sz w:val="20"/>
          <w:szCs w:val="20"/>
          <w:color w:val="auto"/>
        </w:rPr>
      </w:pPr>
      <w:r>
        <w:rPr>
          <w:rFonts w:ascii="Arial" w:cs="Arial" w:eastAsia="Arial" w:hAnsi="Arial"/>
          <w:sz w:val="16"/>
          <w:szCs w:val="16"/>
          <w:b w:val="1"/>
          <w:bCs w:val="1"/>
          <w:color w:val="auto"/>
        </w:rPr>
        <w:t>Exhibit 23.1</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3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333-260905 on Form S-3 and Registration Statement No. 333-248243 on Form S-8 of our reports dated February 28, 2022, relating to the financial statements of Harmony Biosciences Holdings, Inc. and the effectiveness of Harmony Biosciences Holdings, Inc.’s internal control over financial reporting appearing in this Annual Report on Form 10-K for the year ended December 31, 2021.</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Chicago, Illinois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C. Jacobs, certify that:</w:t>
      </w:r>
    </w:p>
    <w:p>
      <w:pPr>
        <w:spacing w:after="0" w:line="225" w:lineRule="exact"/>
        <w:rPr>
          <w:sz w:val="20"/>
          <w:szCs w:val="20"/>
          <w:color w:val="auto"/>
        </w:rPr>
      </w:pPr>
    </w:p>
    <w:p>
      <w:pPr>
        <w:ind w:left="700" w:hanging="341"/>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Harmony Biosciences Holdings, Inc.;</w:t>
      </w:r>
    </w:p>
    <w:p>
      <w:pPr>
        <w:spacing w:after="0" w:line="225" w:lineRule="exact"/>
        <w:rPr>
          <w:rFonts w:ascii="Arial" w:cs="Arial" w:eastAsia="Arial" w:hAnsi="Arial"/>
          <w:sz w:val="18"/>
          <w:szCs w:val="18"/>
          <w:color w:val="auto"/>
        </w:rPr>
      </w:pPr>
    </w:p>
    <w:p>
      <w:pPr>
        <w:jc w:val="both"/>
        <w:ind w:left="700" w:hanging="341"/>
        <w:spacing w:after="0" w:line="263"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00" w:right="240" w:hanging="341"/>
        <w:spacing w:after="0" w:line="263"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700" w:hanging="341"/>
        <w:spacing w:after="0" w:line="263"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420" w:hanging="359"/>
        <w:spacing w:after="0" w:line="259" w:lineRule="auto"/>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420" w:hanging="359"/>
        <w:spacing w:after="0" w:line="259" w:lineRule="auto"/>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420" w:hanging="359"/>
        <w:spacing w:after="0" w:line="263" w:lineRule="auto"/>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420" w:hanging="359"/>
        <w:spacing w:after="0" w:line="259" w:lineRule="auto"/>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700" w:right="320" w:hanging="341"/>
        <w:spacing w:after="0" w:line="263"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420" w:right="340" w:hanging="359"/>
        <w:spacing w:after="0" w:line="263" w:lineRule="auto"/>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420" w:right="160" w:hanging="359"/>
        <w:spacing w:after="0" w:line="277" w:lineRule="auto"/>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9240" w:type="dxa"/>
            <w:vAlign w:val="bottom"/>
            <w:gridSpan w:val="2"/>
          </w:tcPr>
          <w:p>
            <w:pPr>
              <w:spacing w:after="0"/>
              <w:rPr>
                <w:sz w:val="20"/>
                <w:szCs w:val="20"/>
                <w:color w:val="auto"/>
              </w:rPr>
            </w:pPr>
            <w:r>
              <w:rPr>
                <w:rFonts w:ascii="Arial" w:cs="Arial" w:eastAsia="Arial" w:hAnsi="Arial"/>
                <w:sz w:val="18"/>
                <w:szCs w:val="18"/>
                <w:color w:val="auto"/>
              </w:rPr>
              <w:t>February 28, 2022</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 Jacobs</w:t>
            </w:r>
          </w:p>
        </w:tc>
        <w:tc>
          <w:tcPr>
            <w:tcW w:w="4880" w:type="dxa"/>
            <w:vAlign w:val="bottom"/>
          </w:tcPr>
          <w:p>
            <w:pPr>
              <w:spacing w:after="0"/>
              <w:rPr>
                <w:sz w:val="20"/>
                <w:szCs w:val="20"/>
                <w:color w:val="auto"/>
              </w:rPr>
            </w:pPr>
          </w:p>
        </w:tc>
      </w:tr>
      <w:tr>
        <w:trPr>
          <w:trHeight w:val="411"/>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9240" w:type="dxa"/>
            <w:vAlign w:val="bottom"/>
            <w:gridSpan w:val="2"/>
          </w:tcPr>
          <w:p>
            <w:pPr>
              <w:spacing w:after="0"/>
              <w:rPr>
                <w:sz w:val="20"/>
                <w:szCs w:val="20"/>
                <w:color w:val="auto"/>
              </w:rPr>
            </w:pPr>
            <w:r>
              <w:rPr>
                <w:rFonts w:ascii="Arial" w:cs="Arial" w:eastAsia="Arial" w:hAnsi="Arial"/>
                <w:sz w:val="18"/>
                <w:szCs w:val="18"/>
                <w:color w:val="auto"/>
              </w:rPr>
              <w:t>John C. Jacobs</w:t>
            </w:r>
          </w:p>
        </w:tc>
      </w:tr>
      <w:tr>
        <w:trPr>
          <w:trHeight w:val="216"/>
        </w:trPr>
        <w:tc>
          <w:tcPr>
            <w:tcW w:w="68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680" w:type="dxa"/>
            <w:vAlign w:val="bottom"/>
          </w:tcPr>
          <w:p>
            <w:pPr>
              <w:spacing w:after="0"/>
              <w:rPr>
                <w:sz w:val="20"/>
                <w:szCs w:val="20"/>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6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Sandip Kapadia, certify that:</w:t>
      </w:r>
    </w:p>
    <w:p>
      <w:pPr>
        <w:spacing w:after="0" w:line="225" w:lineRule="exact"/>
        <w:rPr>
          <w:sz w:val="20"/>
          <w:szCs w:val="20"/>
          <w:color w:val="auto"/>
        </w:rPr>
      </w:pPr>
    </w:p>
    <w:p>
      <w:pPr>
        <w:ind w:left="700" w:hanging="341"/>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Harmony Biosciences Holdings, Inc.;</w:t>
      </w:r>
    </w:p>
    <w:p>
      <w:pPr>
        <w:spacing w:after="0" w:line="225" w:lineRule="exact"/>
        <w:rPr>
          <w:rFonts w:ascii="Arial" w:cs="Arial" w:eastAsia="Arial" w:hAnsi="Arial"/>
          <w:sz w:val="18"/>
          <w:szCs w:val="18"/>
          <w:color w:val="auto"/>
        </w:rPr>
      </w:pPr>
    </w:p>
    <w:p>
      <w:pPr>
        <w:jc w:val="both"/>
        <w:ind w:left="700" w:hanging="341"/>
        <w:spacing w:after="0" w:line="263"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00" w:right="240" w:hanging="341"/>
        <w:spacing w:after="0" w:line="263"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700" w:hanging="341"/>
        <w:spacing w:after="0" w:line="263"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420" w:hanging="359"/>
        <w:spacing w:after="0" w:line="259" w:lineRule="auto"/>
        <w:tabs>
          <w:tab w:leader="none" w:pos="14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420" w:hanging="359"/>
        <w:spacing w:after="0" w:line="259" w:lineRule="auto"/>
        <w:tabs>
          <w:tab w:leader="none" w:pos="14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420" w:hanging="359"/>
        <w:spacing w:after="0" w:line="263" w:lineRule="auto"/>
        <w:tabs>
          <w:tab w:leader="none" w:pos="14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420" w:hanging="359"/>
        <w:spacing w:after="0" w:line="259" w:lineRule="auto"/>
        <w:tabs>
          <w:tab w:leader="none" w:pos="14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700" w:right="340" w:hanging="341"/>
        <w:spacing w:after="0" w:line="263"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420" w:right="340" w:hanging="359"/>
        <w:spacing w:after="0" w:line="263" w:lineRule="auto"/>
        <w:tabs>
          <w:tab w:leader="none" w:pos="14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420" w:right="160" w:hanging="359"/>
        <w:spacing w:after="0" w:line="277" w:lineRule="auto"/>
        <w:tabs>
          <w:tab w:leader="none" w:pos="14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9260" w:type="dxa"/>
            <w:vAlign w:val="bottom"/>
            <w:gridSpan w:val="2"/>
          </w:tcPr>
          <w:p>
            <w:pPr>
              <w:spacing w:after="0"/>
              <w:rPr>
                <w:sz w:val="20"/>
                <w:szCs w:val="20"/>
                <w:color w:val="auto"/>
              </w:rPr>
            </w:pPr>
            <w:r>
              <w:rPr>
                <w:rFonts w:ascii="Arial" w:cs="Arial" w:eastAsia="Arial" w:hAnsi="Arial"/>
                <w:sz w:val="18"/>
                <w:szCs w:val="18"/>
                <w:color w:val="auto"/>
              </w:rPr>
              <w:t>February 28, 2022</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Sandip Kapadia</w:t>
            </w:r>
          </w:p>
        </w:tc>
        <w:tc>
          <w:tcPr>
            <w:tcW w:w="4960" w:type="dxa"/>
            <w:vAlign w:val="bottom"/>
          </w:tcPr>
          <w:p>
            <w:pPr>
              <w:spacing w:after="0"/>
              <w:rPr>
                <w:sz w:val="20"/>
                <w:szCs w:val="20"/>
                <w:color w:val="auto"/>
              </w:rPr>
            </w:pPr>
          </w:p>
        </w:tc>
      </w:tr>
      <w:tr>
        <w:trPr>
          <w:trHeight w:val="411"/>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9260" w:type="dxa"/>
            <w:vAlign w:val="bottom"/>
            <w:gridSpan w:val="2"/>
          </w:tcPr>
          <w:p>
            <w:pPr>
              <w:spacing w:after="0"/>
              <w:rPr>
                <w:sz w:val="20"/>
                <w:szCs w:val="20"/>
                <w:color w:val="auto"/>
              </w:rPr>
            </w:pPr>
            <w:r>
              <w:rPr>
                <w:rFonts w:ascii="Arial" w:cs="Arial" w:eastAsia="Arial" w:hAnsi="Arial"/>
                <w:sz w:val="18"/>
                <w:szCs w:val="18"/>
                <w:color w:val="auto"/>
              </w:rPr>
              <w:t>Sandip Kapadia</w:t>
            </w:r>
          </w:p>
        </w:tc>
      </w:tr>
      <w:tr>
        <w:trPr>
          <w:trHeight w:val="216"/>
        </w:trPr>
        <w:tc>
          <w:tcPr>
            <w:tcW w:w="66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60" w:type="dxa"/>
            <w:vAlign w:val="bottom"/>
          </w:tcPr>
          <w:p>
            <w:pPr>
              <w:spacing w:after="0"/>
              <w:rPr>
                <w:sz w:val="20"/>
                <w:szCs w:val="20"/>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(Principal Financial Officer and Accounting Officer)</w:t>
            </w:r>
          </w:p>
        </w:tc>
      </w:tr>
      <w:tr>
        <w:trPr>
          <w:trHeight w:val="776"/>
        </w:trPr>
        <w:tc>
          <w:tcPr>
            <w:tcW w:w="6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connection with the Annual Report on Form 10-K of Harmony Biosciences Holdings, Inc. (the “Company”) for the year ended December 31, 2021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91" w:lineRule="exact"/>
        <w:rPr>
          <w:sz w:val="20"/>
          <w:szCs w:val="20"/>
          <w:color w:val="auto"/>
        </w:rPr>
      </w:pPr>
    </w:p>
    <w:p>
      <w:pPr>
        <w:ind w:left="660" w:right="20" w:hanging="328"/>
        <w:spacing w:after="0" w:line="24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660" w:right="80" w:hanging="328"/>
        <w:spacing w:after="0" w:line="24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2022</w:t>
      </w: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C.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-1905</wp:posOffset>
            </wp:positionV>
            <wp:extent cx="28289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Name: John C. Jacobs</w:t>
      </w:r>
    </w:p>
    <w:p>
      <w:pPr>
        <w:ind w:left="580"/>
        <w:spacing w:after="0" w:line="234" w:lineRule="auto"/>
        <w:rPr>
          <w:sz w:val="20"/>
          <w:szCs w:val="20"/>
          <w:color w:val="auto"/>
        </w:rPr>
      </w:pPr>
      <w:r>
        <w:rPr>
          <w:rFonts w:ascii="Arial" w:cs="Arial" w:eastAsia="Arial" w:hAnsi="Arial"/>
          <w:sz w:val="18"/>
          <w:szCs w:val="18"/>
          <w:color w:val="auto"/>
        </w:rPr>
        <w:t>President, Chief Executive Officer, and Director</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0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In connection with the Annual Report on Form 10-K of Harmony Biosciences Holdings, Inc. (the “Company”) for the year ended December 31, 2021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91" w:lineRule="exact"/>
        <w:rPr>
          <w:sz w:val="20"/>
          <w:szCs w:val="20"/>
          <w:color w:val="auto"/>
        </w:rPr>
      </w:pPr>
    </w:p>
    <w:p>
      <w:pPr>
        <w:ind w:left="700" w:right="220" w:hanging="341"/>
        <w:spacing w:after="0" w:line="246"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700" w:right="40" w:hanging="341"/>
        <w:spacing w:after="0" w:line="246"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February 28, 2022</w:t>
      </w: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Sandip Kapadia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-1905</wp:posOffset>
            </wp:positionV>
            <wp:extent cx="27774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Name: Sandip Kapadia</w:t>
      </w:r>
    </w:p>
    <w:p>
      <w:pPr>
        <w:ind w:left="600"/>
        <w:spacing w:after="0" w:line="234" w:lineRule="auto"/>
        <w:rPr>
          <w:sz w:val="20"/>
          <w:szCs w:val="20"/>
          <w:color w:val="auto"/>
        </w:rPr>
      </w:pPr>
      <w:r>
        <w:rPr>
          <w:rFonts w:ascii="Arial" w:cs="Arial" w:eastAsia="Arial" w:hAnsi="Arial"/>
          <w:sz w:val="18"/>
          <w:szCs w:val="18"/>
          <w:color w:val="auto"/>
        </w:rPr>
        <w:t>Chief Financial Officer</w:t>
      </w:r>
    </w:p>
    <w:p>
      <w:pPr>
        <w:ind w:left="600"/>
        <w:spacing w:after="0" w:line="235" w:lineRule="auto"/>
        <w:rPr>
          <w:sz w:val="20"/>
          <w:szCs w:val="20"/>
          <w:color w:val="auto"/>
        </w:rPr>
      </w:pPr>
      <w:r>
        <w:rPr>
          <w:rFonts w:ascii="Arial" w:cs="Arial" w:eastAsia="Arial" w:hAnsi="Arial"/>
          <w:sz w:val="18"/>
          <w:szCs w:val="18"/>
          <w:color w:val="auto"/>
        </w:rPr>
        <w:t>(Principal Financial Officer and Principal Accounting</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Officer)</w:t>
      </w:r>
    </w:p>
    <w:p>
      <w:pPr>
        <w:spacing w:after="0" w:line="198" w:lineRule="exact"/>
        <w:rPr>
          <w:sz w:val="20"/>
          <w:szCs w:val="20"/>
          <w:color w:val="auto"/>
        </w:rPr>
      </w:pPr>
    </w:p>
    <w:p>
      <w:pPr>
        <w:ind w:right="920"/>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3"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lvl w:ilvl="1">
      <w:lvlJc w:val="left"/>
      <w:lvlText w:val="o"/>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1)"/>
      <w:numFmt w:val="lowerRoman"/>
      <w:start w:val="2"/>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1)"/>
      <w:numFmt w:val="lowerLetter"/>
      <w:start w:val="2"/>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decimal"/>
      <w:start w:val="3"/>
    </w:lvl>
  </w:abstractNum>
  <w:abstractNum w:abstractNumId="53">
    <w:nsid w:val="47398C89"/>
    <w:multiLevelType w:val="hybridMultilevel"/>
    <w:lvl w:ilvl="0">
      <w:lvlJc w:val="left"/>
      <w:lvlText w:val="%1."/>
      <w:numFmt w:val="decimal"/>
      <w:start w:val="12"/>
    </w:lvl>
  </w:abstractNum>
  <w:abstractNum w:abstractNumId="54">
    <w:nsid w:val="354FE9F9"/>
    <w:multiLevelType w:val="hybridMultilevel"/>
    <w:lvl w:ilvl="0">
      <w:lvlJc w:val="left"/>
      <w:lvlText w:val="%1."/>
      <w:numFmt w:val="decimal"/>
      <w:start w:val="13"/>
    </w:lvl>
  </w:abstractNum>
  <w:abstractNum w:abstractNumId="55">
    <w:nsid w:val="15B5AF5C"/>
    <w:multiLevelType w:val="hybridMultilevel"/>
    <w:lvl w:ilvl="0">
      <w:lvlJc w:val="left"/>
      <w:lvlText w:val="%1"/>
      <w:numFmt w:val="decimal"/>
      <w:start w:val="10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59"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37" Type="http://schemas.openxmlformats.org/officeDocument/2006/relationships/hyperlink" Target="https://www.sec.gov/Archives/edgar/data/0001802665/000119312520226978/d97999dex31.htm" TargetMode="External"/><Relationship Id="rId138" Type="http://schemas.openxmlformats.org/officeDocument/2006/relationships/hyperlink" Target="https://www.sec.gov/Archives/edgar/data/0001802665/000119312520226978/d97999dex32.htm" TargetMode="External"/><Relationship Id="rId139" Type="http://schemas.openxmlformats.org/officeDocument/2006/relationships/hyperlink" Target="https://www.sec.gov/Archives/edgar/data/0001802665/000119312520211023/d755703dex41.htm" TargetMode="External"/><Relationship Id="rId140" Type="http://schemas.openxmlformats.org/officeDocument/2006/relationships/hyperlink" Target="https://www.sec.gov/Archives/edgar/data/0001802665/000156459021015274/hrmy-ex43_1166.htm" TargetMode="External"/><Relationship Id="rId141" Type="http://schemas.openxmlformats.org/officeDocument/2006/relationships/hyperlink" Target="https://www.sec.gov/Archives/edgar/data/0001802665/000156459021042897/hrmy-ex102_391.htm" TargetMode="External"/><Relationship Id="rId142" Type="http://schemas.openxmlformats.org/officeDocument/2006/relationships/hyperlink" Target="https://www.sec.gov/Archives/edgar/data/0001802665/000156459021042897/hrmy-ex103_392.htm" TargetMode="External"/><Relationship Id="rId143" Type="http://schemas.openxmlformats.org/officeDocument/2006/relationships/hyperlink" Target="https://www.sec.gov/Archives/edgar/data/0001802665/000119312520227079/d91238dex102.htm" TargetMode="External"/><Relationship Id="rId144" Type="http://schemas.openxmlformats.org/officeDocument/2006/relationships/hyperlink" Target="https://www.sec.gov/Archives/edgar/data/0001802665/000119312520227079/d91238dex103.htm" TargetMode="External"/><Relationship Id="rId145" Type="http://schemas.openxmlformats.org/officeDocument/2006/relationships/hyperlink" Target="https://www.sec.gov/Archives/edgar/data/0001802665/000119312520215643/d755703dex106.htm" TargetMode="External"/><Relationship Id="rId146" Type="http://schemas.openxmlformats.org/officeDocument/2006/relationships/hyperlink" Target="https://www.sec.gov/Archives/edgar/data/0001802665/000119312520215643/d755703dex107.htm" TargetMode="External"/><Relationship Id="rId147" Type="http://schemas.openxmlformats.org/officeDocument/2006/relationships/hyperlink" Target="https://www.sec.gov/Archives/edgar/data/0001802665/000119312520215643/d755703dex108.htm" TargetMode="External"/><Relationship Id="rId148" Type="http://schemas.openxmlformats.org/officeDocument/2006/relationships/hyperlink" Target="https://www.sec.gov/Archives/edgar/data/0001802665/000119312520215643/d755703dex1012.htm" TargetMode="External"/><Relationship Id="rId149" Type="http://schemas.openxmlformats.org/officeDocument/2006/relationships/hyperlink" Target="https://www.sec.gov/Archives/edgar/data/0001802665/000119312520215643/d755703dex1013.htm" TargetMode="External"/><Relationship Id="rId150" Type="http://schemas.openxmlformats.org/officeDocument/2006/relationships/hyperlink" Target="https://www.sec.gov/Archives/edgar/data/0001802665/000119312520215643/d755703dex103.htm" TargetMode="External"/><Relationship Id="rId151" Type="http://schemas.openxmlformats.org/officeDocument/2006/relationships/hyperlink" Target="https://www.sec.gov/Archives/edgar/data/0001802665/000156459020053320/hrmy-ex109_551.htm" TargetMode="External"/><Relationship Id="rId152" Type="http://schemas.openxmlformats.org/officeDocument/2006/relationships/hyperlink" Target="https://www.sec.gov/Archives/edgar/data/0001802665/000119312520215643/d755703dex109.htm" TargetMode="External"/><Relationship Id="rId153" Type="http://schemas.openxmlformats.org/officeDocument/2006/relationships/hyperlink" Target="https://www.sec.gov/Archives/edgar/data/0001802665/000119312520215643/d755703dex1010.htm" TargetMode="External"/><Relationship Id="rId154" Type="http://schemas.openxmlformats.org/officeDocument/2006/relationships/hyperlink" Target="https://www.sec.gov/Archives/edgar/data/0001802665/000119312520199773/d755703dex1010.htm" TargetMode="External"/><Relationship Id="rId155" Type="http://schemas.openxmlformats.org/officeDocument/2006/relationships/hyperlink" Target="https://www.sec.gov/Archives/edgar/data/0001802665/000119312520199773/d755703dex1011.htm" TargetMode="External"/><Relationship Id="rId156" Type="http://schemas.openxmlformats.org/officeDocument/2006/relationships/hyperlink" Target="https://www.sec.gov/Archives/edgar/data/0001802665/000119312520199773/d755703dex1012.htm" TargetMode="External"/><Relationship Id="rId157" Type="http://schemas.openxmlformats.org/officeDocument/2006/relationships/hyperlink" Target="https://www.sec.gov/Archives/edgar/data/0001802665/000119312520199773/d755703dex1013.htm" TargetMode="External"/><Relationship Id="rId158" Type="http://schemas.openxmlformats.org/officeDocument/2006/relationships/hyperlink" Target="https://www.sec.gov/Archives/edgar/data/0001802665/000119312520199773/d755703dex1014.htm" TargetMode="External"/><Relationship Id="rId160" Type="http://schemas.openxmlformats.org/officeDocument/2006/relationships/hyperlink" Target="https://www.sec.gov/Archives/edgar/data/0001802665/000119312520199773/d755703dex1015.htm" TargetMode="External"/><Relationship Id="rId161" Type="http://schemas.openxmlformats.org/officeDocument/2006/relationships/hyperlink" Target="https://www.sec.gov/Archives/edgar/data/0001802665/000156459021015274/hrmy-ex1020_1164.htm" TargetMode="External"/><Relationship Id="rId162" Type="http://schemas.openxmlformats.org/officeDocument/2006/relationships/hyperlink" Target="https://www.sec.gov/Archives/edgar/data/0001802665/000119312521076202/d141546dex101.htm" TargetMode="External"/><Relationship Id="rId163" Type="http://schemas.openxmlformats.org/officeDocument/2006/relationships/hyperlink" Target="https://www.sec.gov/Archives/edgar/data/0001802665/000119312521080566/d138171dex101.htm" TargetMode="External"/><Relationship Id="rId164" Type="http://schemas.openxmlformats.org/officeDocument/2006/relationships/hyperlink" Target="https://www.sec.gov/Archives/edgar/data/0001802665/000156459021042897/hrmy-ex101_17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2022-02-28T08:08:31Z</dcterms:created>
  <dcterms:modified xsi:type="dcterms:W3CDTF">2022-02-28T08:08:31Z</dcterms:modified>
</cp:coreProperties>
</file>