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31" w:lineRule="auto"/>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71755</wp:posOffset>
            </wp:positionV>
            <wp:extent cx="140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9" w:lineRule="exact"/>
        <w:rPr>
          <w:sz w:val="24"/>
          <w:szCs w:val="24"/>
          <w:color w:val="auto"/>
        </w:rPr>
      </w:pPr>
    </w:p>
    <w:p>
      <w:pPr>
        <w:ind w:left="60"/>
        <w:spacing w:after="0"/>
        <w:rPr>
          <w:sz w:val="20"/>
          <w:szCs w:val="20"/>
          <w:color w:val="auto"/>
        </w:rPr>
      </w:pPr>
      <w:r>
        <w:rPr>
          <w:rFonts w:ascii="Arial" w:cs="Arial" w:eastAsia="Arial" w:hAnsi="Arial"/>
          <w:sz w:val="14"/>
          <w:szCs w:val="14"/>
          <w:color w:val="auto"/>
        </w:rPr>
        <w:t>(Mark One)</w:t>
      </w:r>
    </w:p>
    <w:p>
      <w:pPr>
        <w:spacing w:after="0" w:line="12" w:lineRule="exact"/>
        <w:rPr>
          <w:sz w:val="24"/>
          <w:szCs w:val="24"/>
          <w:color w:val="auto"/>
        </w:rPr>
      </w:pPr>
    </w:p>
    <w:p>
      <w:pPr>
        <w:ind w:left="480" w:hanging="430"/>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Quarterly Period Ended June 30, 2024</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95" w:lineRule="exact"/>
        <w:rPr>
          <w:sz w:val="24"/>
          <w:szCs w:val="24"/>
          <w:color w:val="auto"/>
        </w:rPr>
      </w:pPr>
    </w:p>
    <w:p>
      <w:pPr>
        <w:ind w:left="480" w:hanging="430"/>
        <w:spacing w:after="0"/>
        <w:tabs>
          <w:tab w:leader="none" w:pos="4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3080" w:type="dxa"/>
        <w:tblCellMar>
          <w:top w:w="0" w:type="dxa"/>
          <w:left w:w="0" w:type="dxa"/>
          <w:bottom w:w="0" w:type="dxa"/>
          <w:right w:w="0" w:type="dxa"/>
        </w:tblCellMar>
      </w:tblPr>
      <w:tr>
        <w:trPr>
          <w:trHeight w:val="162"/>
        </w:trPr>
        <w:tc>
          <w:tcPr>
            <w:tcW w:w="2680" w:type="dxa"/>
            <w:vAlign w:val="bottom"/>
            <w:gridSpan w:val="3"/>
          </w:tcPr>
          <w:p>
            <w:pPr>
              <w:spacing w:after="0"/>
              <w:rPr>
                <w:sz w:val="20"/>
                <w:szCs w:val="20"/>
                <w:color w:val="auto"/>
              </w:rPr>
            </w:pPr>
            <w:r>
              <w:rPr>
                <w:rFonts w:ascii="Arial" w:cs="Arial" w:eastAsia="Arial" w:hAnsi="Arial"/>
                <w:sz w:val="14"/>
                <w:szCs w:val="14"/>
                <w:color w:val="auto"/>
              </w:rPr>
              <w:t>For the transition period from</w:t>
            </w:r>
          </w:p>
        </w:tc>
        <w:tc>
          <w:tcPr>
            <w:tcW w:w="160" w:type="dxa"/>
            <w:vAlign w:val="bottom"/>
          </w:tcPr>
          <w:p>
            <w:pPr>
              <w:ind w:left="40"/>
              <w:spacing w:after="0"/>
              <w:rPr>
                <w:sz w:val="20"/>
                <w:szCs w:val="20"/>
                <w:color w:val="auto"/>
              </w:rPr>
            </w:pPr>
            <w:r>
              <w:rPr>
                <w:rFonts w:ascii="Arial" w:cs="Arial" w:eastAsia="Arial" w:hAnsi="Arial"/>
                <w:sz w:val="14"/>
                <w:szCs w:val="14"/>
                <w:color w:val="auto"/>
                <w:w w:val="85"/>
              </w:rPr>
              <w:t>to</w:t>
            </w:r>
          </w:p>
        </w:tc>
      </w:tr>
      <w:tr>
        <w:trPr>
          <w:trHeight w:val="190"/>
        </w:trPr>
        <w:tc>
          <w:tcPr>
            <w:tcW w:w="2680" w:type="dxa"/>
            <w:vAlign w:val="bottom"/>
            <w:gridSpan w:val="3"/>
          </w:tcPr>
          <w:p>
            <w:pPr>
              <w:ind w:left="240"/>
              <w:spacing w:after="0"/>
              <w:rPr>
                <w:sz w:val="20"/>
                <w:szCs w:val="20"/>
                <w:color w:val="auto"/>
              </w:rPr>
            </w:pPr>
            <w:r>
              <w:rPr>
                <w:rFonts w:ascii="Arial" w:cs="Arial" w:eastAsia="Arial" w:hAnsi="Arial"/>
                <w:sz w:val="14"/>
                <w:szCs w:val="14"/>
                <w:color w:val="auto"/>
              </w:rPr>
              <w:t>Commission File Number: 001-39450</w:t>
            </w:r>
          </w:p>
        </w:tc>
        <w:tc>
          <w:tcPr>
            <w:tcW w:w="160" w:type="dxa"/>
            <w:vAlign w:val="bottom"/>
          </w:tcPr>
          <w:p>
            <w:pPr>
              <w:spacing w:after="0"/>
              <w:rPr>
                <w:sz w:val="16"/>
                <w:szCs w:val="16"/>
                <w:color w:val="auto"/>
              </w:rPr>
            </w:pPr>
          </w:p>
        </w:tc>
      </w:tr>
      <w:tr>
        <w:trPr>
          <w:trHeight w:val="69"/>
        </w:trPr>
        <w:tc>
          <w:tcPr>
            <w:tcW w:w="320" w:type="dxa"/>
            <w:vAlign w:val="bottom"/>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HARMONY BIOSCIENCES HOLDINGS,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48895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1" w:lineRule="exact"/>
        <w:rPr>
          <w:sz w:val="24"/>
          <w:szCs w:val="24"/>
          <w:color w:val="auto"/>
        </w:rPr>
      </w:pPr>
    </w:p>
    <w:tbl>
      <w:tblPr>
        <w:tblLayout w:type="fixed"/>
        <w:tblInd w:w="280" w:type="dxa"/>
        <w:tblCellMar>
          <w:top w:w="0" w:type="dxa"/>
          <w:left w:w="0" w:type="dxa"/>
          <w:bottom w:w="0" w:type="dxa"/>
          <w:right w:w="0" w:type="dxa"/>
        </w:tblCellMar>
      </w:tblP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Delaware</w:t>
            </w:r>
          </w:p>
        </w:tc>
        <w:tc>
          <w:tcPr>
            <w:tcW w:w="2080" w:type="dxa"/>
            <w:vAlign w:val="bottom"/>
          </w:tcPr>
          <w:p>
            <w:pPr>
              <w:jc w:val="right"/>
              <w:ind w:right="108"/>
              <w:spacing w:after="0"/>
              <w:rPr>
                <w:sz w:val="20"/>
                <w:szCs w:val="20"/>
                <w:color w:val="auto"/>
              </w:rPr>
            </w:pPr>
            <w:r>
              <w:rPr>
                <w:rFonts w:ascii="Arial" w:cs="Arial" w:eastAsia="Arial" w:hAnsi="Arial"/>
                <w:sz w:val="14"/>
                <w:szCs w:val="14"/>
                <w:b w:val="1"/>
                <w:bCs w:val="1"/>
                <w:color w:val="auto"/>
              </w:rPr>
              <w:t>82-2279923</w:t>
            </w:r>
          </w:p>
        </w:tc>
      </w:tr>
      <w:tr>
        <w:trPr>
          <w:trHeight w:val="162"/>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(State or other jurisdiction of</w:t>
            </w:r>
          </w:p>
        </w:tc>
        <w:tc>
          <w:tcPr>
            <w:tcW w:w="2080" w:type="dxa"/>
            <w:vAlign w:val="bottom"/>
          </w:tcPr>
          <w:p>
            <w:pPr>
              <w:jc w:val="center"/>
              <w:ind w:left="868"/>
              <w:spacing w:after="0"/>
              <w:rPr>
                <w:sz w:val="20"/>
                <w:szCs w:val="20"/>
                <w:color w:val="auto"/>
              </w:rPr>
            </w:pPr>
            <w:r>
              <w:rPr>
                <w:rFonts w:ascii="Arial" w:cs="Arial" w:eastAsia="Arial" w:hAnsi="Arial"/>
                <w:sz w:val="14"/>
                <w:szCs w:val="14"/>
                <w:color w:val="auto"/>
              </w:rPr>
              <w:t>(I.R.S. Employer</w:t>
            </w:r>
          </w:p>
        </w:tc>
      </w:tr>
      <w:tr>
        <w:trPr>
          <w:trHeight w:val="190"/>
        </w:trPr>
        <w:tc>
          <w:tcPr>
            <w:tcW w:w="4940" w:type="dxa"/>
            <w:vAlign w:val="bottom"/>
          </w:tcPr>
          <w:p>
            <w:pPr>
              <w:jc w:val="center"/>
              <w:ind w:right="868"/>
              <w:spacing w:after="0"/>
              <w:rPr>
                <w:sz w:val="20"/>
                <w:szCs w:val="20"/>
                <w:color w:val="auto"/>
              </w:rPr>
            </w:pPr>
            <w:r>
              <w:rPr>
                <w:rFonts w:ascii="Arial" w:cs="Arial" w:eastAsia="Arial" w:hAnsi="Arial"/>
                <w:sz w:val="14"/>
                <w:szCs w:val="14"/>
                <w:color w:val="auto"/>
              </w:rPr>
              <w:t>incorporation or organization)</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Identification No.)</w:t>
            </w:r>
          </w:p>
        </w:tc>
      </w:tr>
      <w:tr>
        <w:trPr>
          <w:trHeight w:val="309"/>
        </w:trPr>
        <w:tc>
          <w:tcPr>
            <w:tcW w:w="4940" w:type="dxa"/>
            <w:vAlign w:val="bottom"/>
          </w:tcPr>
          <w:p>
            <w:pPr>
              <w:jc w:val="center"/>
              <w:ind w:right="868"/>
              <w:spacing w:after="0"/>
              <w:rPr>
                <w:sz w:val="20"/>
                <w:szCs w:val="20"/>
                <w:color w:val="auto"/>
              </w:rPr>
            </w:pPr>
            <w:r>
              <w:rPr>
                <w:rFonts w:ascii="Arial" w:cs="Arial" w:eastAsia="Arial" w:hAnsi="Arial"/>
                <w:sz w:val="14"/>
                <w:szCs w:val="14"/>
                <w:b w:val="1"/>
                <w:bCs w:val="1"/>
                <w:color w:val="auto"/>
              </w:rPr>
              <w:t>630 W. Germantown Pike, Suite 215, Plymouth Meeting, PA</w:t>
            </w:r>
          </w:p>
        </w:tc>
        <w:tc>
          <w:tcPr>
            <w:tcW w:w="2080" w:type="dxa"/>
            <w:vAlign w:val="bottom"/>
          </w:tcPr>
          <w:p>
            <w:pPr>
              <w:jc w:val="right"/>
              <w:ind w:right="288"/>
              <w:spacing w:after="0"/>
              <w:rPr>
                <w:sz w:val="20"/>
                <w:szCs w:val="20"/>
                <w:color w:val="auto"/>
              </w:rPr>
            </w:pPr>
            <w:r>
              <w:rPr>
                <w:rFonts w:ascii="Arial" w:cs="Arial" w:eastAsia="Arial" w:hAnsi="Arial"/>
                <w:sz w:val="14"/>
                <w:szCs w:val="14"/>
                <w:b w:val="1"/>
                <w:bCs w:val="1"/>
                <w:color w:val="auto"/>
              </w:rPr>
              <w:t>19462</w:t>
            </w:r>
          </w:p>
        </w:tc>
      </w:tr>
      <w:tr>
        <w:trPr>
          <w:trHeight w:val="190"/>
        </w:trPr>
        <w:tc>
          <w:tcPr>
            <w:tcW w:w="4940" w:type="dxa"/>
            <w:vAlign w:val="bottom"/>
          </w:tcPr>
          <w:p>
            <w:pPr>
              <w:jc w:val="center"/>
              <w:ind w:right="848"/>
              <w:spacing w:after="0"/>
              <w:rPr>
                <w:sz w:val="20"/>
                <w:szCs w:val="20"/>
                <w:color w:val="auto"/>
              </w:rPr>
            </w:pPr>
            <w:r>
              <w:rPr>
                <w:rFonts w:ascii="Arial" w:cs="Arial" w:eastAsia="Arial" w:hAnsi="Arial"/>
                <w:sz w:val="14"/>
                <w:szCs w:val="14"/>
                <w:color w:val="auto"/>
              </w:rPr>
              <w:t>(Address of principal executive offices)</w:t>
            </w:r>
          </w:p>
        </w:tc>
        <w:tc>
          <w:tcPr>
            <w:tcW w:w="2080" w:type="dxa"/>
            <w:vAlign w:val="bottom"/>
          </w:tcPr>
          <w:p>
            <w:pPr>
              <w:jc w:val="center"/>
              <w:ind w:left="888"/>
              <w:spacing w:after="0"/>
              <w:rPr>
                <w:sz w:val="20"/>
                <w:szCs w:val="20"/>
                <w:color w:val="auto"/>
              </w:rPr>
            </w:pPr>
            <w:r>
              <w:rPr>
                <w:rFonts w:ascii="Arial" w:cs="Arial" w:eastAsia="Arial" w:hAnsi="Arial"/>
                <w:sz w:val="14"/>
                <w:szCs w:val="14"/>
                <w:color w:val="auto"/>
              </w:rPr>
              <w:t>(Zip Code)</w:t>
            </w:r>
          </w:p>
        </w:tc>
      </w:tr>
    </w:tbl>
    <w:p>
      <w:pPr>
        <w:spacing w:after="0" w:line="1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(484) 539-9800</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00" w:lineRule="exact"/>
        <w:rPr>
          <w:sz w:val="24"/>
          <w:szCs w:val="24"/>
          <w:color w:val="auto"/>
        </w:rPr>
      </w:pPr>
    </w:p>
    <w:p>
      <w:pPr>
        <w:spacing w:after="0" w:line="287" w:lineRule="exact"/>
        <w:rPr>
          <w:sz w:val="24"/>
          <w:szCs w:val="24"/>
          <w:color w:val="auto"/>
        </w:rPr>
      </w:pPr>
    </w:p>
    <w:tbl>
      <w:tblPr>
        <w:tblLayout w:type="fixed"/>
        <w:tblInd w:w="6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Trading</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71"/>
        </w:trPr>
        <w:tc>
          <w:tcPr>
            <w:tcW w:w="3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Title of each class</w:t>
            </w:r>
          </w:p>
        </w:tc>
        <w:tc>
          <w:tcPr>
            <w:tcW w:w="1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Symbol(s)</w:t>
            </w:r>
          </w:p>
        </w:tc>
        <w:tc>
          <w:tcPr>
            <w:tcW w:w="34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46"/>
        </w:trPr>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Common Stock, par value $0.00001 value per share</w:t>
            </w:r>
          </w:p>
        </w:tc>
        <w:tc>
          <w:tcPr>
            <w:tcW w:w="160" w:type="dxa"/>
            <w:vAlign w:val="bottom"/>
          </w:tcPr>
          <w:p>
            <w:pPr>
              <w:spacing w:after="0"/>
              <w:rPr>
                <w:sz w:val="12"/>
                <w:szCs w:val="12"/>
                <w:color w:val="auto"/>
              </w:rPr>
            </w:pPr>
          </w:p>
        </w:tc>
        <w:tc>
          <w:tcPr>
            <w:tcW w:w="170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HRMY</w:t>
            </w:r>
          </w:p>
        </w:tc>
        <w:tc>
          <w:tcPr>
            <w:tcW w:w="160" w:type="dxa"/>
            <w:vAlign w:val="bottom"/>
          </w:tcPr>
          <w:p>
            <w:pPr>
              <w:spacing w:after="0"/>
              <w:rPr>
                <w:sz w:val="12"/>
                <w:szCs w:val="12"/>
                <w:color w:val="auto"/>
              </w:rPr>
            </w:pPr>
          </w:p>
        </w:tc>
        <w:tc>
          <w:tcPr>
            <w:tcW w:w="344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The Nasdaq Stock Market LLC</w:t>
            </w:r>
          </w:p>
        </w:tc>
      </w:tr>
      <w:tr>
        <w:trPr>
          <w:trHeight w:val="190"/>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tcPr>
          <w:p>
            <w:pPr>
              <w:jc w:val="center"/>
              <w:spacing w:after="0"/>
              <w:rPr>
                <w:sz w:val="20"/>
                <w:szCs w:val="20"/>
                <w:color w:val="auto"/>
              </w:rPr>
            </w:pPr>
            <w:r>
              <w:rPr>
                <w:rFonts w:ascii="Arial" w:cs="Arial" w:eastAsia="Arial" w:hAnsi="Arial"/>
                <w:sz w:val="14"/>
                <w:szCs w:val="14"/>
                <w:color w:val="auto"/>
              </w:rPr>
              <w:t>(Nasdaq Global Market)</w:t>
            </w:r>
          </w:p>
        </w:tc>
      </w:tr>
    </w:tbl>
    <w:p>
      <w:pPr>
        <w:spacing w:after="0" w:line="134" w:lineRule="exact"/>
        <w:rPr>
          <w:sz w:val="24"/>
          <w:szCs w:val="24"/>
          <w:color w:val="auto"/>
        </w:rPr>
      </w:pPr>
    </w:p>
    <w:p>
      <w:pPr>
        <w:ind w:left="60" w:right="159"/>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199"/>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left="60" w:right="259"/>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3"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5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260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200" w:type="dxa"/>
            <w:vAlign w:val="bottom"/>
          </w:tcPr>
          <w:p>
            <w:pPr>
              <w:ind w:left="234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5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4200" w:type="dxa"/>
            <w:vAlign w:val="bottom"/>
          </w:tcPr>
          <w:p>
            <w:pPr>
              <w:ind w:left="234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14" w:lineRule="exact"/>
        <w:rPr>
          <w:sz w:val="24"/>
          <w:szCs w:val="24"/>
          <w:color w:val="auto"/>
        </w:rPr>
      </w:pPr>
    </w:p>
    <w:p>
      <w:pPr>
        <w:ind w:left="60" w:right="159"/>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spacing w:after="0" w:line="161" w:lineRule="exact"/>
        <w:tabs>
          <w:tab w:leader="none" w:pos="79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left="60" w:right="499" w:firstLine="648"/>
        <w:spacing w:after="0" w:line="285" w:lineRule="auto"/>
        <w:rPr>
          <w:sz w:val="20"/>
          <w:szCs w:val="20"/>
          <w:color w:val="auto"/>
        </w:rPr>
      </w:pPr>
      <w:r>
        <w:rPr>
          <w:rFonts w:ascii="Arial" w:cs="Arial" w:eastAsia="Arial" w:hAnsi="Arial"/>
          <w:sz w:val="14"/>
          <w:szCs w:val="14"/>
          <w:color w:val="auto"/>
        </w:rPr>
        <w:t>As of August 2, 2024, there were 56,834,745 shares of the registrant’s common stock, par value $0.00001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534670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157480</wp:posOffset>
            </wp:positionV>
            <wp:extent cx="56578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00" w:type="dxa"/>
            <w:vAlign w:val="bottom"/>
            <w:gridSpan w:val="7"/>
            <w:vMerge w:val="restart"/>
          </w:tcPr>
          <w:p>
            <w:pPr>
              <w:spacing w:after="0"/>
              <w:rPr>
                <w:sz w:val="20"/>
                <w:szCs w:val="20"/>
                <w:color w:val="auto"/>
              </w:rPr>
            </w:pPr>
            <w:r>
              <w:rPr>
                <w:rFonts w:ascii="Arial" w:cs="Arial" w:eastAsia="Arial" w:hAnsi="Arial"/>
                <w:sz w:val="18"/>
                <w:szCs w:val="18"/>
                <w:color w:val="0000EE"/>
                <w:w w:val="99"/>
              </w:rPr>
              <w:t>Part I. Financial Information</w:t>
            </w:r>
          </w:p>
        </w:tc>
        <w:tc>
          <w:tcPr>
            <w:tcW w:w="5900" w:type="dxa"/>
            <w:vAlign w:val="bottom"/>
            <w:gridSpan w:val="14"/>
            <w:vMerge w:val="restart"/>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0"/>
        </w:trPr>
        <w:tc>
          <w:tcPr>
            <w:tcW w:w="2200" w:type="dxa"/>
            <w:vAlign w:val="bottom"/>
            <w:tcBorders>
              <w:bottom w:val="single" w:sz="8" w:color="0000EE"/>
            </w:tcBorders>
            <w:gridSpan w:val="7"/>
            <w:vMerge w:val="continue"/>
          </w:tcPr>
          <w:p>
            <w:pPr>
              <w:spacing w:after="0"/>
              <w:rPr>
                <w:sz w:val="13"/>
                <w:szCs w:val="13"/>
                <w:color w:val="auto"/>
              </w:rPr>
            </w:pPr>
          </w:p>
        </w:tc>
        <w:tc>
          <w:tcPr>
            <w:tcW w:w="5900" w:type="dxa"/>
            <w:vAlign w:val="bottom"/>
            <w:gridSpan w:val="14"/>
            <w:vMerge w:val="continue"/>
          </w:tcPr>
          <w:p>
            <w:pPr>
              <w:spacing w:after="0"/>
              <w:rPr>
                <w:sz w:val="13"/>
                <w:szCs w:val="13"/>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7780" w:type="dxa"/>
            <w:vAlign w:val="bottom"/>
            <w:gridSpan w:val="20"/>
          </w:tcPr>
          <w:p>
            <w:pPr>
              <w:spacing w:after="0" w:line="196" w:lineRule="exact"/>
              <w:rPr>
                <w:sz w:val="20"/>
                <w:szCs w:val="20"/>
                <w:color w:val="auto"/>
              </w:rPr>
            </w:pPr>
            <w:r>
              <w:rPr>
                <w:rFonts w:ascii="Arial" w:cs="Arial" w:eastAsia="Arial" w:hAnsi="Arial"/>
                <w:sz w:val="18"/>
                <w:szCs w:val="18"/>
                <w:color w:val="0000EE"/>
              </w:rPr>
              <w:t>Item 1. Financial Statements</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196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5"/>
              </w:rPr>
              <w:t>Condensed Consolidated</w:t>
            </w:r>
          </w:p>
        </w:tc>
        <w:tc>
          <w:tcPr>
            <w:tcW w:w="5500" w:type="dxa"/>
            <w:vAlign w:val="bottom"/>
            <w:gridSpan w:val="11"/>
          </w:tcPr>
          <w:p>
            <w:pPr>
              <w:ind w:left="120"/>
              <w:spacing w:after="0" w:line="182" w:lineRule="exact"/>
              <w:rPr>
                <w:sz w:val="20"/>
                <w:szCs w:val="20"/>
                <w:color w:val="auto"/>
              </w:rPr>
            </w:pPr>
            <w:r>
              <w:rPr>
                <w:rFonts w:ascii="Arial" w:cs="Arial" w:eastAsia="Arial" w:hAnsi="Arial"/>
                <w:sz w:val="18"/>
                <w:szCs w:val="18"/>
                <w:color w:val="0000EE"/>
              </w:rPr>
              <w:t>Balance Sheets (Unaudited)</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Operations and Comprehensive Income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Condensed Consolidated Statements of Stockholders’ Equity (Unaudited)</w:t>
            </w:r>
          </w:p>
        </w:tc>
        <w:tc>
          <w:tcPr>
            <w:tcW w:w="60" w:type="dxa"/>
            <w:vAlign w:val="bottom"/>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6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Condensed Consolidated Statements of Cash Flows (Unaudited)</w:t>
            </w:r>
          </w:p>
        </w:tc>
        <w:tc>
          <w:tcPr>
            <w:tcW w:w="150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60" w:type="dxa"/>
            <w:vAlign w:val="bottom"/>
            <w:gridSpan w:val="19"/>
          </w:tcPr>
          <w:p>
            <w:pPr>
              <w:spacing w:after="0" w:line="182" w:lineRule="exact"/>
              <w:rPr>
                <w:sz w:val="20"/>
                <w:szCs w:val="20"/>
                <w:color w:val="auto"/>
              </w:rPr>
            </w:pPr>
            <w:r>
              <w:rPr>
                <w:rFonts w:ascii="Arial" w:cs="Arial" w:eastAsia="Arial" w:hAnsi="Arial"/>
                <w:sz w:val="18"/>
                <w:szCs w:val="18"/>
                <w:color w:val="0000EE"/>
              </w:rPr>
              <w:t>Notes to Condensed Consolidated Financial Statements (Unaudited)</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vMerge w:val="restart"/>
          </w:tcPr>
          <w:p>
            <w:pPr>
              <w:spacing w:after="0" w:line="202" w:lineRule="exact"/>
              <w:rPr>
                <w:sz w:val="20"/>
                <w:szCs w:val="20"/>
                <w:color w:val="auto"/>
              </w:rPr>
            </w:pPr>
            <w:r>
              <w:rPr>
                <w:rFonts w:ascii="Arial" w:cs="Arial" w:eastAsia="Arial" w:hAnsi="Arial"/>
                <w:sz w:val="18"/>
                <w:szCs w:val="18"/>
                <w:color w:val="0000EE"/>
                <w:w w:val="85"/>
              </w:rPr>
              <w:t>Item</w:t>
            </w: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7460" w:type="dxa"/>
            <w:vAlign w:val="bottom"/>
            <w:gridSpan w:val="19"/>
          </w:tcPr>
          <w:p>
            <w:pPr>
              <w:ind w:left="80"/>
              <w:spacing w:after="0" w:line="182" w:lineRule="exact"/>
              <w:rPr>
                <w:sz w:val="20"/>
                <w:szCs w:val="20"/>
                <w:color w:val="auto"/>
              </w:rPr>
            </w:pPr>
            <w:r>
              <w:rPr>
                <w:rFonts w:ascii="Arial" w:cs="Arial" w:eastAsia="Arial" w:hAnsi="Arial"/>
                <w:sz w:val="18"/>
                <w:szCs w:val="18"/>
                <w:color w:val="0000EE"/>
              </w:rPr>
              <w:t>2. Management’s Discussion and Analysis of Financial Condition and Results of Operations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6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Item 3. Quantitative and Qualitative Disclosures About Market Risk</w:t>
            </w:r>
          </w:p>
        </w:tc>
        <w:tc>
          <w:tcPr>
            <w:tcW w:w="100" w:type="dxa"/>
            <w:vAlign w:val="bottom"/>
            <w:gridSpan w:val="2"/>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30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Item 4. Controls and Procedures</w:t>
            </w:r>
          </w:p>
        </w:tc>
        <w:tc>
          <w:tcPr>
            <w:tcW w:w="180" w:type="dxa"/>
            <w:vAlign w:val="bottom"/>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0"/>
              </w:rPr>
              <w:t>Part</w:t>
            </w:r>
          </w:p>
        </w:tc>
        <w:tc>
          <w:tcPr>
            <w:tcW w:w="1660" w:type="dxa"/>
            <w:vAlign w:val="bottom"/>
            <w:tcBorders>
              <w:top w:val="single" w:sz="8" w:color="0000EE"/>
              <w:bottom w:val="single" w:sz="8" w:color="0000EE"/>
            </w:tcBorders>
            <w:gridSpan w:val="4"/>
          </w:tcPr>
          <w:p>
            <w:pPr>
              <w:ind w:left="60"/>
              <w:spacing w:after="0" w:line="182" w:lineRule="exact"/>
              <w:rPr>
                <w:sz w:val="20"/>
                <w:szCs w:val="20"/>
                <w:color w:val="auto"/>
              </w:rPr>
            </w:pPr>
            <w:r>
              <w:rPr>
                <w:rFonts w:ascii="Arial" w:cs="Arial" w:eastAsia="Arial" w:hAnsi="Arial"/>
                <w:sz w:val="18"/>
                <w:szCs w:val="18"/>
                <w:color w:val="0000EE"/>
                <w:w w:val="98"/>
              </w:rPr>
              <w:t>II. Other Information</w:t>
            </w:r>
          </w:p>
        </w:tc>
        <w:tc>
          <w:tcPr>
            <w:tcW w:w="920" w:type="dxa"/>
            <w:vAlign w:val="bottom"/>
            <w:tcBorders>
              <w:top w:val="single" w:sz="8" w:color="0000EE"/>
            </w:tcBorders>
            <w:gridSpan w:val="7"/>
          </w:tcPr>
          <w:p>
            <w:pPr>
              <w:spacing w:after="0"/>
              <w:rPr>
                <w:sz w:val="15"/>
                <w:szCs w:val="15"/>
                <w:color w:val="auto"/>
              </w:rPr>
            </w:pPr>
          </w:p>
        </w:tc>
        <w:tc>
          <w:tcPr>
            <w:tcW w:w="5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7780" w:type="dxa"/>
            <w:vAlign w:val="bottom"/>
            <w:gridSpan w:val="20"/>
          </w:tcPr>
          <w:p>
            <w:pPr>
              <w:spacing w:after="0" w:line="182" w:lineRule="exact"/>
              <w:rPr>
                <w:sz w:val="20"/>
                <w:szCs w:val="20"/>
                <w:color w:val="auto"/>
              </w:rPr>
            </w:pPr>
            <w:r>
              <w:rPr>
                <w:rFonts w:ascii="Arial" w:cs="Arial" w:eastAsia="Arial" w:hAnsi="Arial"/>
                <w:sz w:val="18"/>
                <w:szCs w:val="18"/>
                <w:color w:val="0000EE"/>
              </w:rPr>
              <w:t>Item 1. Legal Proceedings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1A. Risk Factors</w:t>
            </w:r>
          </w:p>
        </w:tc>
        <w:tc>
          <w:tcPr>
            <w:tcW w:w="420" w:type="dxa"/>
            <w:vAlign w:val="bottom"/>
            <w:gridSpan w:val="2"/>
          </w:tcPr>
          <w:p>
            <w:pPr>
              <w:spacing w:after="0"/>
              <w:rPr>
                <w:sz w:val="15"/>
                <w:szCs w:val="15"/>
                <w:color w:val="auto"/>
              </w:rPr>
            </w:pPr>
          </w:p>
        </w:tc>
        <w:tc>
          <w:tcPr>
            <w:tcW w:w="600" w:type="dxa"/>
            <w:vAlign w:val="bottom"/>
            <w:gridSpan w:val="2"/>
          </w:tcPr>
          <w:p>
            <w:pPr>
              <w:spacing w:after="0"/>
              <w:rPr>
                <w:sz w:val="15"/>
                <w:szCs w:val="15"/>
                <w:color w:val="auto"/>
              </w:rPr>
            </w:pPr>
          </w:p>
        </w:tc>
        <w:tc>
          <w:tcPr>
            <w:tcW w:w="2360" w:type="dxa"/>
            <w:vAlign w:val="bottom"/>
            <w:gridSpan w:val="3"/>
          </w:tcPr>
          <w:p>
            <w:pPr>
              <w:spacing w:after="0"/>
              <w:rPr>
                <w:sz w:val="15"/>
                <w:szCs w:val="15"/>
                <w:color w:val="auto"/>
              </w:rPr>
            </w:pP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172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Item 2. Unregistered</w:t>
            </w:r>
          </w:p>
        </w:tc>
        <w:tc>
          <w:tcPr>
            <w:tcW w:w="6060" w:type="dxa"/>
            <w:vAlign w:val="bottom"/>
            <w:gridSpan w:val="15"/>
          </w:tcPr>
          <w:p>
            <w:pPr>
              <w:spacing w:after="0" w:line="182" w:lineRule="exact"/>
              <w:rPr>
                <w:sz w:val="20"/>
                <w:szCs w:val="20"/>
                <w:color w:val="auto"/>
              </w:rPr>
            </w:pPr>
            <w:r>
              <w:rPr>
                <w:rFonts w:ascii="Arial" w:cs="Arial" w:eastAsia="Arial" w:hAnsi="Arial"/>
                <w:sz w:val="18"/>
                <w:szCs w:val="18"/>
                <w:color w:val="0000EE"/>
              </w:rPr>
              <w:t>Sales of Equity Securities and Use of Proceeds</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5480" w:type="dxa"/>
            <w:vAlign w:val="bottom"/>
            <w:tcBorders>
              <w:top w:val="single" w:sz="8" w:color="0000EE"/>
            </w:tcBorders>
            <w:gridSpan w:val="15"/>
          </w:tcPr>
          <w:p>
            <w:pPr>
              <w:spacing w:after="0" w:line="182" w:lineRule="exact"/>
              <w:rPr>
                <w:sz w:val="20"/>
                <w:szCs w:val="20"/>
                <w:color w:val="auto"/>
              </w:rPr>
            </w:pPr>
            <w:r>
              <w:rPr>
                <w:rFonts w:ascii="Arial" w:cs="Arial" w:eastAsia="Arial" w:hAnsi="Arial"/>
                <w:sz w:val="18"/>
                <w:szCs w:val="18"/>
                <w:color w:val="0000EE"/>
              </w:rPr>
              <w:t>Item 3. Defaults upon Senior Securities</w:t>
            </w:r>
          </w:p>
        </w:tc>
        <w:tc>
          <w:tcPr>
            <w:tcW w:w="2300" w:type="dxa"/>
            <w:vAlign w:val="bottom"/>
            <w:gridSpan w:val="5"/>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312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4. Mine Safety Disclosures</w:t>
            </w:r>
          </w:p>
        </w:tc>
        <w:tc>
          <w:tcPr>
            <w:tcW w:w="4660" w:type="dxa"/>
            <w:vAlign w:val="bottom"/>
            <w:gridSpan w:val="8"/>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52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60" w:type="dxa"/>
            <w:vAlign w:val="bottom"/>
            <w:gridSpan w:val="10"/>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200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6. Exhibits</w:t>
            </w:r>
          </w:p>
        </w:tc>
        <w:tc>
          <w:tcPr>
            <w:tcW w:w="5780" w:type="dxa"/>
            <w:vAlign w:val="bottom"/>
            <w:gridSpan w:val="13"/>
          </w:tcPr>
          <w:p>
            <w:pPr>
              <w:spacing w:after="0"/>
              <w:rPr>
                <w:sz w:val="15"/>
                <w:szCs w:val="15"/>
                <w:color w:val="auto"/>
              </w:rPr>
            </w:pP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560" w:type="dxa"/>
            <w:vAlign w:val="bottom"/>
            <w:gridSpan w:val="17"/>
            <w:vMerge w:val="restart"/>
          </w:tcPr>
          <w:p>
            <w:pPr>
              <w:spacing w:after="0" w:line="20" w:lineRule="exact"/>
              <w:rPr>
                <w:sz w:val="1"/>
                <w:szCs w:val="1"/>
                <w:color w:val="auto"/>
              </w:rPr>
            </w:pPr>
          </w:p>
        </w:tc>
        <w:tc>
          <w:tcPr>
            <w:tcW w:w="8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line="20" w:lineRule="exact"/>
              <w:rPr>
                <w:sz w:val="1"/>
                <w:szCs w:val="1"/>
                <w:color w:val="auto"/>
              </w:rPr>
            </w:pPr>
          </w:p>
        </w:tc>
      </w:tr>
      <w:tr>
        <w:trPr>
          <w:trHeight w:val="183"/>
        </w:trPr>
        <w:tc>
          <w:tcPr>
            <w:tcW w:w="860" w:type="dxa"/>
            <w:vAlign w:val="bottom"/>
            <w:tcBorders>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7"/>
              </w:rPr>
              <w:t>Signatures</w:t>
            </w:r>
          </w:p>
        </w:tc>
        <w:tc>
          <w:tcPr>
            <w:tcW w:w="680" w:type="dxa"/>
            <w:vAlign w:val="bottom"/>
          </w:tcPr>
          <w:p>
            <w:pPr>
              <w:spacing w:after="0"/>
              <w:rPr>
                <w:sz w:val="15"/>
                <w:szCs w:val="15"/>
                <w:color w:val="auto"/>
              </w:rPr>
            </w:pPr>
          </w:p>
        </w:tc>
        <w:tc>
          <w:tcPr>
            <w:tcW w:w="6560" w:type="dxa"/>
            <w:vAlign w:val="bottom"/>
            <w:gridSpan w:val="17"/>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r>
      <w:tr>
        <w:trPr>
          <w:trHeight w:val="156"/>
        </w:trPr>
        <w:tc>
          <w:tcPr>
            <w:tcW w:w="6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317,296</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311,660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Investments, short-term</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29,614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41,800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receivables, net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83,157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74,140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Inventory, net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5,643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16,127</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12,570</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6,507</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5,537</w:t>
            </w:r>
          </w:p>
        </w:tc>
      </w:tr>
      <w:tr>
        <w:trPr>
          <w:trHeight w:val="156"/>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458,344</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451,070</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NONCURRENT ASSETS: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Investments, long-term</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87,178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72,169</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125,186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137,108</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180,186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144,162</w:t>
            </w:r>
          </w:p>
        </w:tc>
      </w:tr>
      <w:tr>
        <w:trPr>
          <w:trHeight w:val="162"/>
        </w:trPr>
        <w:tc>
          <w:tcPr>
            <w:tcW w:w="65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6,465</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6,298</w:t>
            </w:r>
          </w:p>
        </w:tc>
      </w:tr>
      <w:tr>
        <w:trPr>
          <w:trHeight w:val="155"/>
        </w:trPr>
        <w:tc>
          <w:tcPr>
            <w:tcW w:w="656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noncurrent assets</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400,039</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360,378</w:t>
            </w:r>
          </w:p>
        </w:tc>
      </w:tr>
      <w:tr>
        <w:trPr>
          <w:trHeight w:val="195"/>
        </w:trPr>
        <w:tc>
          <w:tcPr>
            <w:tcW w:w="656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858,383</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143"/>
        </w:trPr>
        <w:tc>
          <w:tcPr>
            <w:tcW w:w="656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LIABILITIES AND STOCKHOLDERS’ EQUITY</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r>
      <w:tr>
        <w:trPr>
          <w:trHeight w:val="162"/>
        </w:trPr>
        <w:tc>
          <w:tcPr>
            <w:tcW w:w="6560" w:type="dxa"/>
            <w:vAlign w:val="bottom"/>
          </w:tcPr>
          <w:p>
            <w:pPr>
              <w:ind w:left="10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22,683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17,730</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Accrued compensation</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9,641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23,747</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91,644</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99,494</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15,000</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7,614</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7,810</w:t>
            </w:r>
          </w:p>
        </w:tc>
      </w:tr>
      <w:tr>
        <w:trPr>
          <w:trHeight w:val="155"/>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146,582</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163,781</w:t>
            </w:r>
          </w:p>
        </w:tc>
      </w:tr>
      <w:tr>
        <w:trPr>
          <w:trHeight w:val="155"/>
        </w:trPr>
        <w:tc>
          <w:tcPr>
            <w:tcW w:w="656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NONCURRENT LIABILITIES:</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Long-term debt, net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171,422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178,566</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1,796</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w:t>
            </w:r>
          </w:p>
        </w:tc>
      </w:tr>
      <w:tr>
        <w:trPr>
          <w:trHeight w:val="156"/>
        </w:trPr>
        <w:tc>
          <w:tcPr>
            <w:tcW w:w="656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noncurrent liabilities</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173,218</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180,675</w:t>
            </w:r>
          </w:p>
        </w:tc>
      </w:tr>
      <w:tr>
        <w:trPr>
          <w:trHeight w:val="155"/>
        </w:trPr>
        <w:tc>
          <w:tcPr>
            <w:tcW w:w="656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319,800</w:t>
            </w:r>
          </w:p>
        </w:tc>
        <w:tc>
          <w:tcPr>
            <w:tcW w:w="1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344,456</w:t>
            </w:r>
          </w:p>
        </w:tc>
      </w:tr>
      <w:tr>
        <w:trPr>
          <w:trHeight w:val="155"/>
        </w:trPr>
        <w:tc>
          <w:tcPr>
            <w:tcW w:w="6560" w:type="dxa"/>
            <w:vAlign w:val="bottom"/>
          </w:tcPr>
          <w:p>
            <w:pPr>
              <w:ind w:left="100"/>
              <w:spacing w:after="0" w:line="155" w:lineRule="exact"/>
              <w:rPr>
                <w:sz w:val="20"/>
                <w:szCs w:val="20"/>
                <w:color w:val="auto"/>
              </w:rPr>
            </w:pPr>
            <w:r>
              <w:rPr>
                <w:rFonts w:ascii="Arial" w:cs="Arial" w:eastAsia="Arial" w:hAnsi="Arial"/>
                <w:sz w:val="14"/>
                <w:szCs w:val="14"/>
                <w:color w:val="auto"/>
              </w:rPr>
              <w:t>COMMITMENTS AND CONTINGENCIES (Note 13)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153"/>
        </w:trPr>
        <w:tc>
          <w:tcPr>
            <w:tcW w:w="6560" w:type="dxa"/>
            <w:vAlign w:val="bottom"/>
          </w:tcPr>
          <w:p>
            <w:pPr>
              <w:ind w:left="220"/>
              <w:spacing w:after="0" w:line="153" w:lineRule="exact"/>
              <w:rPr>
                <w:sz w:val="20"/>
                <w:szCs w:val="20"/>
                <w:color w:val="auto"/>
              </w:rPr>
            </w:pPr>
            <w:r>
              <w:rPr>
                <w:rFonts w:ascii="Arial" w:cs="Arial" w:eastAsia="Arial" w:hAnsi="Arial"/>
                <w:sz w:val="14"/>
                <w:szCs w:val="14"/>
                <w:color w:val="auto"/>
              </w:rPr>
              <w:t>Common stock—$0.00001 par value; 500,000,000 shares authorized at June 30, 2024 and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December 31, 2023, respectively; 56,833,771 and 56,769,081 shares issued and outstanding at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6560" w:type="dxa"/>
            <w:vAlign w:val="bottom"/>
          </w:tcPr>
          <w:p>
            <w:pPr>
              <w:ind w:left="220"/>
              <w:spacing w:after="0"/>
              <w:rPr>
                <w:sz w:val="20"/>
                <w:szCs w:val="20"/>
                <w:color w:val="auto"/>
              </w:rPr>
            </w:pPr>
            <w:r>
              <w:rPr>
                <w:rFonts w:ascii="Arial" w:cs="Arial" w:eastAsia="Arial" w:hAnsi="Arial"/>
                <w:sz w:val="14"/>
                <w:szCs w:val="14"/>
                <w:color w:val="auto"/>
              </w:rPr>
              <w:t>June 30, 2024 and December 31, 2023, respectively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Additional paid in capital</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632,168</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610,266</w:t>
            </w:r>
          </w:p>
        </w:tc>
      </w:tr>
      <w:tr>
        <w:trPr>
          <w:trHeight w:val="162"/>
        </w:trPr>
        <w:tc>
          <w:tcPr>
            <w:tcW w:w="6560" w:type="dxa"/>
            <w:vAlign w:val="bottom"/>
          </w:tcPr>
          <w:p>
            <w:pPr>
              <w:ind w:left="220"/>
              <w:spacing w:after="0"/>
              <w:rPr>
                <w:sz w:val="20"/>
                <w:szCs w:val="20"/>
                <w:color w:val="auto"/>
              </w:rPr>
            </w:pPr>
            <w:r>
              <w:rPr>
                <w:rFonts w:ascii="Arial" w:cs="Arial" w:eastAsia="Arial" w:hAnsi="Arial"/>
                <w:sz w:val="14"/>
                <w:szCs w:val="14"/>
                <w:color w:val="auto"/>
              </w:rPr>
              <w:t>Accumulated other comprehensive (loss) income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162"/>
        </w:trPr>
        <w:tc>
          <w:tcPr>
            <w:tcW w:w="65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(93,352)</w:t>
            </w: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(143,277)</w:t>
            </w:r>
          </w:p>
        </w:tc>
      </w:tr>
      <w:tr>
        <w:trPr>
          <w:trHeight w:val="155"/>
        </w:trPr>
        <w:tc>
          <w:tcPr>
            <w:tcW w:w="656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538,583</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56"/>
        </w:trPr>
        <w:tc>
          <w:tcPr>
            <w:tcW w:w="656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858,383</w:t>
            </w:r>
          </w:p>
        </w:tc>
        <w:tc>
          <w:tcPr>
            <w:tcW w:w="1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811,448</w:t>
            </w:r>
          </w:p>
        </w:tc>
      </w:tr>
      <w:tr>
        <w:trPr>
          <w:trHeight w:val="20"/>
        </w:trPr>
        <w:tc>
          <w:tcPr>
            <w:tcW w:w="6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UNAUDITED CONDENSED 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INCOME</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7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product revenue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172,814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134,216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327,429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253,342</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sold</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32,144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59,628</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45,788</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140,670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109,208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207,554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63,583</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85,772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28,507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24,528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55,740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27,224</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22,809</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52,900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44,871</w:t>
            </w:r>
          </w:p>
        </w:tc>
        <w:tc>
          <w:tcPr>
            <w:tcW w:w="0" w:type="dxa"/>
            <w:vAlign w:val="bottom"/>
          </w:tcPr>
          <w:p>
            <w:pPr>
              <w:spacing w:after="0"/>
              <w:rPr>
                <w:sz w:val="1"/>
                <w:szCs w:val="1"/>
                <w:color w:val="auto"/>
              </w:rPr>
            </w:pPr>
          </w:p>
        </w:tc>
      </w:tr>
      <w:tr>
        <w:trPr>
          <w:trHeight w:val="196"/>
        </w:trPr>
        <w:tc>
          <w:tcPr>
            <w:tcW w:w="3420" w:type="dxa"/>
            <w:vAlign w:val="bottom"/>
          </w:tcPr>
          <w:p>
            <w:pPr>
              <w:ind w:left="420"/>
              <w:spacing w:after="0" w:line="196" w:lineRule="exact"/>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119,314</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62,306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194,412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120,229</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46,902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73,389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87,325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(6,218)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(11,949)</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4,705</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3,442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9,133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21,694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44,095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73,479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81,875</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(9,795)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(23,554)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(18,090)</w:t>
            </w:r>
          </w:p>
        </w:tc>
        <w:tc>
          <w:tcPr>
            <w:tcW w:w="0" w:type="dxa"/>
            <w:vAlign w:val="bottom"/>
          </w:tcPr>
          <w:p>
            <w:pPr>
              <w:spacing w:after="0"/>
              <w:rPr>
                <w:sz w:val="1"/>
                <w:szCs w:val="1"/>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11,591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49,925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63,785</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Unrealized (loss) income on investments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11,528</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33,809</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49,689</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63,414</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0.20</w:t>
            </w:r>
          </w:p>
        </w:tc>
        <w:tc>
          <w:tcPr>
            <w:tcW w:w="3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0.57</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3420" w:type="dxa"/>
            <w:vAlign w:val="bottom"/>
          </w:tcPr>
          <w:p>
            <w:pPr>
              <w:ind w:left="220"/>
              <w:spacing w:after="0" w:line="202" w:lineRule="exact"/>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0.20</w:t>
            </w:r>
          </w:p>
        </w:tc>
        <w:tc>
          <w:tcPr>
            <w:tcW w:w="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0.56</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0.87</w:t>
            </w: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4"/>
        </w:trPr>
        <w:tc>
          <w:tcPr>
            <w:tcW w:w="3420" w:type="dxa"/>
            <w:vAlign w:val="bottom"/>
            <w:shd w:val="clear" w:color="auto" w:fill="CCEEFF"/>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 basic</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56,802,357</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59,974,123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56,786,873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59,853,808</w:t>
            </w:r>
          </w:p>
        </w:tc>
        <w:tc>
          <w:tcPr>
            <w:tcW w:w="0" w:type="dxa"/>
            <w:vAlign w:val="bottom"/>
          </w:tcPr>
          <w:p>
            <w:pPr>
              <w:spacing w:after="0"/>
              <w:rPr>
                <w:sz w:val="1"/>
                <w:szCs w:val="1"/>
                <w:color w:val="auto"/>
              </w:rPr>
            </w:pPr>
          </w:p>
        </w:tc>
      </w:tr>
      <w:tr>
        <w:trPr>
          <w:trHeight w:val="184"/>
        </w:trPr>
        <w:tc>
          <w:tcPr>
            <w:tcW w:w="3420" w:type="dxa"/>
            <w:vAlign w:val="bottom"/>
          </w:tcPr>
          <w:p>
            <w:pPr>
              <w:ind w:left="220"/>
              <w:spacing w:after="0" w:line="183" w:lineRule="exact"/>
              <w:rPr>
                <w:sz w:val="20"/>
                <w:szCs w:val="20"/>
                <w:color w:val="auto"/>
              </w:rPr>
            </w:pPr>
            <w:r>
              <w:rPr>
                <w:rFonts w:ascii="Arial" w:cs="Arial" w:eastAsia="Arial" w:hAnsi="Arial"/>
                <w:sz w:val="18"/>
                <w:szCs w:val="18"/>
                <w:color w:val="auto"/>
              </w:rPr>
              <w:t>Weighted average number of shares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420" w:type="dxa"/>
            <w:vAlign w:val="bottom"/>
          </w:tcPr>
          <w:p>
            <w:pPr>
              <w:ind w:left="220"/>
              <w:spacing w:after="0"/>
              <w:rPr>
                <w:sz w:val="20"/>
                <w:szCs w:val="20"/>
                <w:color w:val="auto"/>
              </w:rPr>
            </w:pPr>
            <w:r>
              <w:rPr>
                <w:rFonts w:ascii="Arial" w:cs="Arial" w:eastAsia="Arial" w:hAnsi="Arial"/>
                <w:sz w:val="18"/>
                <w:szCs w:val="18"/>
                <w:color w:val="auto"/>
              </w:rPr>
              <w:t>common stock - diluted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57,541,696</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60,743,953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57,571,570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60,997,410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UNAUDITED CONDENSED 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2023</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56,769,081</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610,266</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(143,277)</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466,992</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49,925</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49,925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(236)</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153"/>
        </w:trPr>
        <w:tc>
          <w:tcPr>
            <w:tcW w:w="2620" w:type="dxa"/>
            <w:vAlign w:val="bottom"/>
          </w:tcPr>
          <w:p>
            <w:pPr>
              <w:ind w:left="220"/>
              <w:spacing w:after="0" w:line="153" w:lineRule="exact"/>
              <w:rPr>
                <w:sz w:val="20"/>
                <w:szCs w:val="20"/>
                <w:color w:val="auto"/>
              </w:rPr>
            </w:pPr>
            <w:r>
              <w:rPr>
                <w:rFonts w:ascii="Arial" w:cs="Arial" w:eastAsia="Arial" w:hAnsi="Arial"/>
                <w:sz w:val="14"/>
                <w:szCs w:val="14"/>
                <w:color w:val="auto"/>
              </w:rPr>
              <w:t>Exercise of options and restricted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1"/>
        </w:trPr>
        <w:tc>
          <w:tcPr>
            <w:tcW w:w="2620" w:type="dxa"/>
            <w:vAlign w:val="bottom"/>
          </w:tcPr>
          <w:p>
            <w:pPr>
              <w:ind w:left="220"/>
              <w:spacing w:after="0"/>
              <w:rPr>
                <w:sz w:val="20"/>
                <w:szCs w:val="20"/>
                <w:color w:val="auto"/>
              </w:rPr>
            </w:pPr>
            <w:r>
              <w:rPr>
                <w:rFonts w:ascii="Arial" w:cs="Arial" w:eastAsia="Arial" w:hAnsi="Arial"/>
                <w:sz w:val="14"/>
                <w:szCs w:val="14"/>
                <w:color w:val="auto"/>
              </w:rPr>
              <w:t>stock units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64,690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420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420</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21,482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21,482</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56,833,771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632,168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(93,352)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71"/>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rPr>
              <w:t>Total</w:t>
            </w:r>
          </w:p>
        </w:tc>
      </w:tr>
      <w:tr>
        <w:trPr>
          <w:trHeight w:val="17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bottom w:val="single" w:sz="8" w:color="auto"/>
            </w:tcBorders>
            <w:gridSpan w:val="5"/>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20" w:type="dxa"/>
            <w:vAlign w:val="bottom"/>
          </w:tcPr>
          <w:p>
            <w:pPr>
              <w:spacing w:after="0"/>
              <w:rPr>
                <w:sz w:val="14"/>
                <w:szCs w:val="14"/>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8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March 31, 2024</w:t>
            </w:r>
          </w:p>
        </w:tc>
        <w:tc>
          <w:tcPr>
            <w:tcW w:w="22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56,791,214</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620,507</w:t>
            </w: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(171)</w:t>
            </w: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(104,943)</w:t>
            </w: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515,394</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11,591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11,591</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1020" w:type="dxa"/>
            <w:vAlign w:val="bottom"/>
            <w:gridSpan w:val="3"/>
          </w:tcPr>
          <w:p>
            <w:pPr>
              <w:jc w:val="right"/>
              <w:ind w:right="40"/>
              <w:spacing w:after="0"/>
              <w:rPr>
                <w:sz w:val="20"/>
                <w:szCs w:val="20"/>
                <w:color w:val="auto"/>
              </w:rPr>
            </w:pPr>
            <w:r>
              <w:rPr>
                <w:rFonts w:ascii="Arial" w:cs="Arial" w:eastAsia="Arial" w:hAnsi="Arial"/>
                <w:sz w:val="14"/>
                <w:szCs w:val="14"/>
                <w:color w:val="auto"/>
              </w:rPr>
              <w:t>42,557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gridSpan w:val="3"/>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573</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11,088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11,088</w:t>
            </w:r>
          </w:p>
        </w:tc>
      </w:tr>
      <w:tr>
        <w:trPr>
          <w:trHeight w:val="156"/>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2024</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56,833,771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632,168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(234)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(93,352)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538,583</w:t>
            </w:r>
          </w:p>
        </w:tc>
      </w:tr>
      <w:tr>
        <w:trPr>
          <w:trHeight w:val="20"/>
        </w:trPr>
        <w:tc>
          <w:tcPr>
            <w:tcW w:w="2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5"/>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02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124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5"/>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December 31, 2022</w:t>
            </w: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59,615,731</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675,118</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(272,130)</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402,838</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63,785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63,785</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383,927</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4,069</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4,069</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14,851</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14,851</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2023</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59,999,658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694,038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(208,345)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485,172</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25"/>
        </w:trPr>
        <w:tc>
          <w:tcPr>
            <w:tcW w:w="2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2"/>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9"/>
              </w:rPr>
              <w:t>Additional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2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4"/>
                <w:szCs w:val="14"/>
                <w:color w:val="auto"/>
              </w:rPr>
            </w:pPr>
          </w:p>
        </w:tc>
        <w:tc>
          <w:tcPr>
            <w:tcW w:w="1240" w:type="dxa"/>
            <w:vAlign w:val="bottom"/>
            <w:gridSpan w:val="5"/>
          </w:tcPr>
          <w:p>
            <w:pPr>
              <w:spacing w:after="0"/>
              <w:rPr>
                <w:sz w:val="20"/>
                <w:szCs w:val="20"/>
                <w:color w:val="auto"/>
              </w:rPr>
            </w:pPr>
            <w:r>
              <w:rPr>
                <w:rFonts w:ascii="Arial" w:cs="Arial" w:eastAsia="Arial" w:hAnsi="Arial"/>
                <w:sz w:val="14"/>
                <w:szCs w:val="14"/>
                <w:b w:val="1"/>
                <w:bCs w:val="1"/>
                <w:color w:val="auto"/>
              </w:rPr>
              <w:t>comprehensive</w:t>
            </w: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620" w:type="dxa"/>
            <w:vAlign w:val="bottom"/>
          </w:tcPr>
          <w:p>
            <w:pPr>
              <w:spacing w:after="0"/>
              <w:rPr>
                <w:sz w:val="13"/>
                <w:szCs w:val="13"/>
                <w:color w:val="auto"/>
              </w:rPr>
            </w:pPr>
          </w:p>
        </w:tc>
        <w:tc>
          <w:tcPr>
            <w:tcW w:w="1020" w:type="dxa"/>
            <w:vAlign w:val="bottom"/>
            <w:gridSpan w:val="3"/>
          </w:tcPr>
          <w:p>
            <w:pPr>
              <w:jc w:val="right"/>
              <w:ind w:right="340"/>
              <w:spacing w:after="0" w:line="155" w:lineRule="exact"/>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3"/>
                <w:szCs w:val="13"/>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3"/>
                <w:szCs w:val="13"/>
                <w:color w:val="auto"/>
              </w:rPr>
            </w:pPr>
          </w:p>
        </w:tc>
        <w:tc>
          <w:tcPr>
            <w:tcW w:w="1240" w:type="dxa"/>
            <w:vAlign w:val="bottom"/>
            <w:gridSpan w:val="5"/>
          </w:tcPr>
          <w:p>
            <w:pPr>
              <w:ind w:left="60"/>
              <w:spacing w:after="0" w:line="155" w:lineRule="exact"/>
              <w:rPr>
                <w:sz w:val="20"/>
                <w:szCs w:val="20"/>
                <w:color w:val="auto"/>
              </w:rPr>
            </w:pPr>
            <w:r>
              <w:rPr>
                <w:rFonts w:ascii="Arial" w:cs="Arial" w:eastAsia="Arial" w:hAnsi="Arial"/>
                <w:sz w:val="14"/>
                <w:szCs w:val="14"/>
                <w:b w:val="1"/>
                <w:bCs w:val="1"/>
                <w:color w:val="auto"/>
              </w:rPr>
              <w:t>(loss) income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center"/>
              <w:ind w:right="108"/>
              <w:spacing w:after="0" w:line="155" w:lineRule="exact"/>
              <w:rPr>
                <w:sz w:val="20"/>
                <w:szCs w:val="20"/>
                <w:color w:val="auto"/>
              </w:rPr>
            </w:pPr>
            <w:r>
              <w:rPr>
                <w:rFonts w:ascii="Arial" w:cs="Arial" w:eastAsia="Arial" w:hAnsi="Arial"/>
                <w:sz w:val="14"/>
                <w:szCs w:val="14"/>
                <w:b w:val="1"/>
                <w:bCs w:val="1"/>
                <w:color w:val="auto"/>
              </w:rPr>
              <w:t>equity</w:t>
            </w:r>
          </w:p>
        </w:tc>
      </w:tr>
      <w:tr>
        <w:trPr>
          <w:trHeight w:val="156"/>
        </w:trPr>
        <w:tc>
          <w:tcPr>
            <w:tcW w:w="26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as of March 31, 2023</w:t>
            </w:r>
          </w:p>
        </w:tc>
        <w:tc>
          <w:tcPr>
            <w:tcW w:w="88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59,954,618</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685,716</w:t>
            </w: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(242,645)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443,041</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34,300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34,300</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r>
      <w:tr>
        <w:trPr>
          <w:trHeight w:val="162"/>
        </w:trPr>
        <w:tc>
          <w:tcPr>
            <w:tcW w:w="2620" w:type="dxa"/>
            <w:vAlign w:val="bottom"/>
          </w:tcPr>
          <w:p>
            <w:pPr>
              <w:ind w:left="220"/>
              <w:spacing w:after="0"/>
              <w:rPr>
                <w:sz w:val="20"/>
                <w:szCs w:val="20"/>
                <w:color w:val="auto"/>
              </w:rPr>
            </w:pPr>
            <w:r>
              <w:rPr>
                <w:rFonts w:ascii="Arial" w:cs="Arial" w:eastAsia="Arial" w:hAnsi="Arial"/>
                <w:sz w:val="14"/>
                <w:szCs w:val="14"/>
                <w:color w:val="auto"/>
              </w:rPr>
              <w:t>Exercise of options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45,040</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674</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674</w:t>
            </w:r>
          </w:p>
        </w:tc>
      </w:tr>
      <w:tr>
        <w:trPr>
          <w:trHeight w:val="162"/>
        </w:trPr>
        <w:tc>
          <w:tcPr>
            <w:tcW w:w="26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7,648</w:t>
            </w:r>
          </w:p>
        </w:tc>
      </w:tr>
      <w:tr>
        <w:trPr>
          <w:trHeight w:val="155"/>
        </w:trPr>
        <w:tc>
          <w:tcPr>
            <w:tcW w:w="2620" w:type="dxa"/>
            <w:vAlign w:val="bottom"/>
          </w:tcPr>
          <w:p>
            <w:pPr>
              <w:ind w:left="20"/>
              <w:spacing w:after="0" w:line="155" w:lineRule="exact"/>
              <w:rPr>
                <w:sz w:val="20"/>
                <w:szCs w:val="20"/>
                <w:color w:val="auto"/>
              </w:rPr>
            </w:pPr>
            <w:r>
              <w:rPr>
                <w:rFonts w:ascii="Arial" w:cs="Arial" w:eastAsia="Arial" w:hAnsi="Arial"/>
                <w:sz w:val="14"/>
                <w:szCs w:val="14"/>
                <w:color w:val="auto"/>
              </w:rPr>
              <w:t>Balance as of June 30, 2023</w:t>
            </w:r>
          </w:p>
        </w:tc>
        <w:tc>
          <w:tcPr>
            <w:tcW w:w="88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59,999,658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w:t>
            </w:r>
          </w:p>
        </w:tc>
        <w:tc>
          <w:tcPr>
            <w:tcW w:w="2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694,038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(208,345)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485,172</w:t>
            </w: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The accompanying notes are an integral part of the unaudited condensed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HARMONY BIOSCIENCES HOLDINGS, INC. AND SUBSIDIARIES</w:t>
      </w:r>
    </w:p>
    <w:p>
      <w:pPr>
        <w:spacing w:after="0" w:line="10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666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OPERATING ACTIVITIES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49,925</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63,785</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Adjustments to reconcile net income to net cash used in operating activities: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Intangible amortization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11,922</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Acquired in-process research &amp; development (IPR&amp;D) expense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42,595</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and employee stock purchase compensation expense</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21,482</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14,851</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Stock appreciation rights market adjustment</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(85)</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(497)</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issuance costs amortization</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Deferred taxes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(17,756)</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(7,635)</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accretion of discounts on Investment securities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Other non-cash expenses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799</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operating assets and liabilities: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Trade receivables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(9,017)</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(9,072)</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(4,004)</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2,227</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Trade payables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(25,095)</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1,288</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73,758</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79,622</w:t>
            </w:r>
          </w:p>
        </w:tc>
        <w:tc>
          <w:tcPr>
            <w:tcW w:w="20" w:type="dxa"/>
            <w:vAlign w:val="bottom"/>
          </w:tcPr>
          <w:p>
            <w:pPr>
              <w:spacing w:after="0"/>
              <w:rPr>
                <w:sz w:val="14"/>
                <w:szCs w:val="14"/>
                <w:color w:val="auto"/>
              </w:rPr>
            </w:pPr>
          </w:p>
        </w:tc>
      </w:tr>
      <w:tr>
        <w:trPr>
          <w:trHeight w:val="156"/>
        </w:trPr>
        <w:tc>
          <w:tcPr>
            <w:tcW w:w="6660" w:type="dxa"/>
            <w:vAlign w:val="bottom"/>
          </w:tcPr>
          <w:p>
            <w:pPr>
              <w:ind w:left="20"/>
              <w:spacing w:after="0" w:line="155" w:lineRule="exact"/>
              <w:rPr>
                <w:sz w:val="20"/>
                <w:szCs w:val="20"/>
                <w:color w:val="auto"/>
              </w:rPr>
            </w:pPr>
            <w:r>
              <w:rPr>
                <w:rFonts w:ascii="Arial" w:cs="Arial" w:eastAsia="Arial" w:hAnsi="Arial"/>
                <w:sz w:val="14"/>
                <w:szCs w:val="14"/>
                <w:color w:val="auto"/>
              </w:rPr>
              <w:t>CASH FLOWS FROM INVESTING ACTIVITIES: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investment securities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(46,317)</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(72,847)</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Proceeds from maturities and sales of investment securities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44,481</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63,491</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property and equipment</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(637)</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Acquisition of Epygenix Therapeutics, Inc., net of cash acquired</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(33,069)</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 of license fee</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(25,500)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r>
      <w:tr>
        <w:trPr>
          <w:trHeight w:val="155"/>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cash used in investing activities</w:t>
            </w: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(61,042)</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(9,561)</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FLOWS FROM FINANCING ACTIVITIES: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Principal repayment of long term debt</w:t>
            </w:r>
          </w:p>
        </w:tc>
        <w:tc>
          <w:tcPr>
            <w:tcW w:w="14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(7,500)</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of employee withholding taxes related to stock-based awards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(269)</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w:t>
            </w:r>
          </w:p>
        </w:tc>
        <w:tc>
          <w:tcPr>
            <w:tcW w:w="20" w:type="dxa"/>
            <w:vAlign w:val="bottom"/>
          </w:tcPr>
          <w:p>
            <w:pPr>
              <w:spacing w:after="0"/>
              <w:rPr>
                <w:sz w:val="14"/>
                <w:szCs w:val="14"/>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Proceeds from exercised options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4,584</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14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(7,080)</w:t>
            </w: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w:t>
            </w:r>
          </w:p>
        </w:tc>
        <w:tc>
          <w:tcPr>
            <w:tcW w:w="20" w:type="dxa"/>
            <w:vAlign w:val="bottom"/>
          </w:tcPr>
          <w:p>
            <w:pPr>
              <w:spacing w:after="0"/>
              <w:rPr>
                <w:sz w:val="14"/>
                <w:szCs w:val="14"/>
                <w:color w:val="auto"/>
              </w:rPr>
            </w:pPr>
          </w:p>
        </w:tc>
      </w:tr>
      <w:tr>
        <w:trPr>
          <w:trHeight w:val="155"/>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NET INCREASE IN CASH, CASH EQUIVALENTS, AND RESTRICTED CASH</w:t>
            </w:r>
          </w:p>
        </w:tc>
        <w:tc>
          <w:tcPr>
            <w:tcW w:w="1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5,636</w:t>
            </w:r>
          </w:p>
        </w:tc>
        <w:tc>
          <w:tcPr>
            <w:tcW w:w="22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73,131</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CASH EQUIVALENTS, AND RESTRICTED CASH—Beginning of period</w:t>
            </w:r>
          </w:p>
        </w:tc>
        <w:tc>
          <w:tcPr>
            <w:tcW w:w="1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311,930</w:t>
            </w:r>
          </w:p>
        </w:tc>
        <w:tc>
          <w:tcPr>
            <w:tcW w:w="22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244,534</w:t>
            </w:r>
          </w:p>
        </w:tc>
        <w:tc>
          <w:tcPr>
            <w:tcW w:w="20" w:type="dxa"/>
            <w:vAlign w:val="bottom"/>
          </w:tcPr>
          <w:p>
            <w:pPr>
              <w:spacing w:after="0"/>
              <w:rPr>
                <w:sz w:val="13"/>
                <w:szCs w:val="13"/>
                <w:color w:val="auto"/>
              </w:rPr>
            </w:pPr>
          </w:p>
        </w:tc>
      </w:tr>
      <w:tr>
        <w:trPr>
          <w:trHeight w:val="156"/>
        </w:trPr>
        <w:tc>
          <w:tcPr>
            <w:tcW w:w="66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CASH, CASH EQUIVALENTS, AND RESTRICTED CASH—End of period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317,566</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317,665</w:t>
            </w:r>
          </w:p>
        </w:tc>
        <w:tc>
          <w:tcPr>
            <w:tcW w:w="20" w:type="dxa"/>
            <w:vAlign w:val="bottom"/>
          </w:tcPr>
          <w:p>
            <w:pPr>
              <w:spacing w:after="0"/>
              <w:rPr>
                <w:sz w:val="13"/>
                <w:szCs w:val="13"/>
                <w:color w:val="auto"/>
              </w:rPr>
            </w:pPr>
          </w:p>
        </w:tc>
      </w:tr>
      <w:tr>
        <w:trPr>
          <w:trHeight w:val="155"/>
        </w:trPr>
        <w:tc>
          <w:tcPr>
            <w:tcW w:w="66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Supplemental Disclosure of Cash Flow Information:</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6660" w:type="dxa"/>
            <w:vAlign w:val="bottom"/>
          </w:tcPr>
          <w:p>
            <w:pPr>
              <w:ind w:left="220"/>
              <w:spacing w:after="0"/>
              <w:rPr>
                <w:sz w:val="20"/>
                <w:szCs w:val="20"/>
                <w:color w:val="auto"/>
              </w:rPr>
            </w:pPr>
            <w:r>
              <w:rPr>
                <w:rFonts w:ascii="Arial" w:cs="Arial" w:eastAsia="Arial" w:hAnsi="Arial"/>
                <w:sz w:val="14"/>
                <w:szCs w:val="14"/>
                <w:color w:val="auto"/>
              </w:rPr>
              <w:t>Cash paid during the year for interest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8,944</w:t>
            </w:r>
          </w:p>
        </w:tc>
        <w:tc>
          <w:tcPr>
            <w:tcW w:w="220" w:type="dxa"/>
            <w:vAlign w:val="bottom"/>
          </w:tcPr>
          <w:p>
            <w:pPr>
              <w:spacing w:after="0"/>
              <w:rPr>
                <w:sz w:val="14"/>
                <w:szCs w:val="14"/>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10,691</w:t>
            </w:r>
          </w:p>
        </w:tc>
        <w:tc>
          <w:tcPr>
            <w:tcW w:w="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during the year for taxes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42,093</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19,890</w:t>
            </w:r>
          </w:p>
        </w:tc>
        <w:tc>
          <w:tcPr>
            <w:tcW w:w="20" w:type="dxa"/>
            <w:vAlign w:val="bottom"/>
          </w:tcPr>
          <w:p>
            <w:pPr>
              <w:spacing w:after="0"/>
              <w:rPr>
                <w:sz w:val="14"/>
                <w:szCs w:val="14"/>
                <w:color w:val="auto"/>
              </w:rPr>
            </w:pPr>
          </w:p>
        </w:tc>
      </w:tr>
    </w:tbl>
    <w:p>
      <w:pPr>
        <w:spacing w:after="0" w:line="184" w:lineRule="exact"/>
        <w:rPr>
          <w:sz w:val="20"/>
          <w:szCs w:val="20"/>
          <w:color w:val="auto"/>
        </w:rPr>
      </w:pPr>
    </w:p>
    <w:p>
      <w:pPr>
        <w:ind w:left="4060" w:right="379" w:hanging="3041"/>
        <w:spacing w:after="0" w:line="271" w:lineRule="auto"/>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left="50" w:right="70"/>
        <w:spacing w:after="0" w:line="257" w:lineRule="auto"/>
        <w:rPr>
          <w:sz w:val="20"/>
          <w:szCs w:val="20"/>
          <w:color w:val="auto"/>
        </w:rPr>
      </w:pPr>
      <w:r>
        <w:rPr>
          <w:rFonts w:ascii="Arial" w:cs="Arial" w:eastAsia="Arial" w:hAnsi="Arial"/>
          <w:sz w:val="18"/>
          <w:szCs w:val="18"/>
          <w:b w:val="1"/>
          <w:bCs w:val="1"/>
          <w:color w:val="auto"/>
        </w:rPr>
        <w:t>HARMONY BIOSCIENCES HOLDINGS, INC. AND SUBSIDIARIES NOTES TO UNAUDITED CONDENSED CONSOLIDATED FINANCIAL STATEMENTS (In thousands, except share and per share data)</w:t>
      </w:r>
    </w:p>
    <w:p>
      <w:pPr>
        <w:spacing w:after="0" w:line="159" w:lineRule="exact"/>
        <w:rPr>
          <w:sz w:val="20"/>
          <w:szCs w:val="20"/>
          <w:color w:val="auto"/>
        </w:rPr>
      </w:pPr>
    </w:p>
    <w:p>
      <w:pPr>
        <w:ind w:left="700" w:right="4399" w:hanging="650"/>
        <w:spacing w:after="0" w:line="485" w:lineRule="auto"/>
        <w:tabs>
          <w:tab w:leader="none" w:pos="2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The Company</w:t>
      </w:r>
    </w:p>
    <w:p>
      <w:pPr>
        <w:jc w:val="both"/>
        <w:ind w:left="60" w:right="59" w:firstLine="648"/>
        <w:spacing w:after="0" w:line="239" w:lineRule="auto"/>
        <w:rPr>
          <w:sz w:val="20"/>
          <w:szCs w:val="20"/>
          <w:color w:val="auto"/>
        </w:rPr>
      </w:pPr>
      <w:r>
        <w:rPr>
          <w:rFonts w:ascii="Arial" w:cs="Arial" w:eastAsia="Arial" w:hAnsi="Arial"/>
          <w:sz w:val="18"/>
          <w:szCs w:val="18"/>
          <w:color w:val="auto"/>
        </w:rPr>
        <w:t>Harmony Biosciences Holdings, Inc., and its consolidated subsidiaries (the “Company”), was founded in July 2017 as Harmony Biosciences II, LLC, a Delaware limited liability company. The Company converted to a Delaware corporation named Harmony Biosciences II, Inc. in September 2017 and, in February 2020, the Company changed its name to Harmony Biosciences Holdings, Inc. The Company’s operations are conducted in its wholly owned subsidiaries, Harmony Biosciences, LLC (“Harmony”), and Harmony Biosciences Management, Inc. The Company is a commercial-stage pharmaceutical company focused on developing and commercializing innovative therapies for patients living with rare neurological disorders as well as patients living with other neurological diseases who have unmet medical needs. The Company is headquartered in Plymouth Meeting, Pennsylvania.</w:t>
      </w:r>
    </w:p>
    <w:p>
      <w:pPr>
        <w:spacing w:after="0" w:line="183"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On October 10, 2023, the Company completed a tender offer to acquire all of the outstanding shares of common stock of Zynerba Pharmaceuticals, Inc. (together with its subsidiary, Zynerba Pharmaceutical Pty, Ltd., “Zynerba”). Zynerba is a clinical-stage pharmaceutical company focused on innovative pharmaceutically produced transdermal cannabidiol therapies for orphan neurobehavioral disorders, including Fragile X Syndrome. As of July 1, 2024, Zynerba was renamed and is known as Harmony Biosciences Management, Inc.</w:t>
      </w:r>
    </w:p>
    <w:p>
      <w:pPr>
        <w:spacing w:after="0" w:line="176"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On April 30, 2024, the Company acquired all of the issued and outstanding capital stock of Epygenix Therapeutics, Inc., a Wyoming corporation (“Epygenix”). As a result, the Company now has an exclusive license relating to the use of clemizole, initially for the treatment of Dravet Syndrome and Lennox-Gastaut Syndrome.</w:t>
      </w:r>
    </w:p>
    <w:p>
      <w:pPr>
        <w:spacing w:after="0" w:line="152" w:lineRule="exact"/>
        <w:rPr>
          <w:sz w:val="20"/>
          <w:szCs w:val="20"/>
          <w:color w:val="auto"/>
        </w:rPr>
      </w:pPr>
    </w:p>
    <w:p>
      <w:pPr>
        <w:ind w:left="260" w:hanging="210"/>
        <w:spacing w:after="0"/>
        <w:tabs>
          <w:tab w:leader="none" w:pos="2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unaudited condensed consolidated financial statements have been prepared as though the Company will continue as a going concern, which contemplates the realization of assets and satisfaction of liabilities in the normal course of business. The Company had an accumulated deficit of $93,352 and $143,277, as of June 30, 2024, and December 31, 2023, respectively. As of June 30, 2024, the Company had cash, cash equivalents and investments of $434,088.</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Company believes that its existing cash, cash equivalents and investments on hand as of June 30, 2024, as well as additional cash generated from operating and financing activities will meet its operational liquidity needs and fund its planned investing activities for the next twelve months from the date of issuance of these unaudited condensed consolidated financial statements.</w:t>
      </w:r>
    </w:p>
    <w:p>
      <w:pPr>
        <w:spacing w:after="0" w:line="174" w:lineRule="exact"/>
        <w:rPr>
          <w:sz w:val="20"/>
          <w:szCs w:val="20"/>
          <w:color w:val="auto"/>
        </w:rPr>
      </w:pPr>
    </w:p>
    <w:p>
      <w:pPr>
        <w:ind w:left="700" w:right="4179" w:hanging="650"/>
        <w:spacing w:after="0" w:line="485" w:lineRule="auto"/>
        <w:tabs>
          <w:tab w:leader="none" w:pos="25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ind w:left="60" w:right="59" w:firstLine="648"/>
        <w:spacing w:after="0"/>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include all adjustments necessary for the fair presentation of the Company’s financial position for the periods presented. All intercompany accounts and transactions have been eliminated in consolidation. The unaudited condensed consolidated balance sheet as of June 30, 2024, the unaudited condensed consolidated statements of cash flows for the six months ended June 30, 2024, and 2023, and the unaudited condensed consolidated statements of operations and comprehensive income and the unaudited condensed consolidated statements of shareholders’ equity for the three and six months ended June 30, 2024, and 2023, are unaudited.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balance sheet as of December 31, 2023, was derived from audited financial statements as of and for the year ended December 31, 2023. The unaudited interim condensed consolidated financial statements have been prepared on the same basis as the audited annual financial statements as of and for the year ended December 31, 2023, and, in the opinion of management, reflect all adjustments, which include only normal recurring adjustments, necessary for the fair presentation of the Company’s financial position as of June 30, 2024, and the results of its operations and its cash flows for the three and six months ended June 30, 2024, and 2023. The unaudited condensed consolidated results of operations are not necessarily indicative of the results that may occur for the full fiscal year. Certain information and disclosures normally included in the financial statements prepared in accordance with GAAP have been condensed or omitted under the SEC’s rules and regulations. These unaudited condensed consolidated financial statements should be read in conjunction with the audited financial statements and accompanying notes thereto contained in the Company’s Annual Report on Form 10-K for the year ended December 31, 2023.</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Reclassifications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Certain prior period amounts within the unaudited condensed consolidated statements of operations and comprehensive income have been reclassified to conform to current period presentation. In particular, interest expense and interest income were previously classified together as interest expense, net and are now separately classified as interest expense and interest income, respectively. The reclassification of these items had no impact on net income, earnings per share or accumulated deficit in current or prior periods.</w:t>
      </w:r>
    </w:p>
    <w:p>
      <w:pPr>
        <w:spacing w:after="0" w:line="176"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Significant Risks and Uncertainties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clinical trial results of the Company’s product candidates; the Company’s ability to obtain regulatory approval to market its products; competition from products manufactured and sold or being developed by other companies; the price of, and demand for, the Company’s products, if approved; the Company’s ability to negotiate favorable licensing or other manufacturing and marketing agreements for its product candidates.</w:t>
      </w:r>
    </w:p>
    <w:p>
      <w:pPr>
        <w:spacing w:after="0" w:line="179"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currently has one commercially approved product, WAKIX, and there can be no assurance that the Company’s research and development efforts will result in successfully commercialized products in addition to WAKIX.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Estimates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disclosures in the unaudited condensed consolidated financial statements, including the notes thereto, and elsewhere in this report. Actual results may differ significantly from estimates, which include rebates due pursuant to commercial and government contracts, accrued research and development expenses, stock-based compensation expense and income taxes.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Operating Segments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holds all its tangible assets, conducts its operations, and generates its revenue in the United States. Operating segments are defined as components of an entity for which separate financial information is available and that is regularly reviewed by the Chief Operating Decision Makers in deciding how to allocate resources to an individual segment and in assessing performance. The Company has determined it operates in a single operating segment and has one reportable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Company’s unaudited condensed consolidated financial statements include cash, cash equivalents, restricted cash, accounts payable, and accrued liabilities, all of which are short term in nature and, accordingly, approximate fair value.</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It is the Company’s policy to measure non-financial assets and liabilities at fair value on a nonrecurring basis. These non-financial assets and liabilities are not measured at fair value on an ongoing basis but are subject to fair value adjustments in certain circumstances (such as evidence of impairment), which, if material, are disclosed in the accompanying footnotes.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measures certain assets and liabilities at fair value based on the fair value hierarchy that prioritizes inputs to valuation techniques used to measure fair value into three levels based on the source of inputs as follows:</w:t>
      </w:r>
    </w:p>
    <w:p>
      <w:pPr>
        <w:spacing w:after="0" w:line="169" w:lineRule="exact"/>
        <w:rPr>
          <w:sz w:val="20"/>
          <w:szCs w:val="20"/>
          <w:color w:val="auto"/>
        </w:rPr>
      </w:pPr>
    </w:p>
    <w:p>
      <w:pPr>
        <w:ind w:left="700" w:right="739"/>
        <w:spacing w:after="0" w:line="271" w:lineRule="auto"/>
        <w:rPr>
          <w:sz w:val="20"/>
          <w:szCs w:val="20"/>
          <w:color w:val="auto"/>
        </w:rPr>
      </w:pPr>
      <w:r>
        <w:rPr>
          <w:rFonts w:ascii="Arial" w:cs="Arial" w:eastAsia="Arial" w:hAnsi="Arial"/>
          <w:sz w:val="18"/>
          <w:szCs w:val="18"/>
          <w:color w:val="auto"/>
        </w:rPr>
        <w:t>Level 1—Valuations based on unadjusted quoted prices in active markets for identical assets or liabilities.</w:t>
      </w:r>
    </w:p>
    <w:p>
      <w:pPr>
        <w:spacing w:after="0" w:line="154" w:lineRule="exact"/>
        <w:rPr>
          <w:sz w:val="20"/>
          <w:szCs w:val="20"/>
          <w:color w:val="auto"/>
        </w:rPr>
      </w:pPr>
    </w:p>
    <w:p>
      <w:pPr>
        <w:ind w:left="700" w:right="199"/>
        <w:spacing w:after="0" w:line="271" w:lineRule="auto"/>
        <w:rPr>
          <w:sz w:val="20"/>
          <w:szCs w:val="20"/>
          <w:color w:val="auto"/>
        </w:rPr>
      </w:pPr>
      <w:r>
        <w:rPr>
          <w:rFonts w:ascii="Arial" w:cs="Arial" w:eastAsia="Arial" w:hAnsi="Arial"/>
          <w:sz w:val="18"/>
          <w:szCs w:val="18"/>
          <w:color w:val="auto"/>
        </w:rPr>
        <w:t>Level 2—Valuations based on observable inputs and quoted prices in active markets for similar assets and liabilities.</w:t>
      </w:r>
    </w:p>
    <w:p>
      <w:pPr>
        <w:spacing w:after="0" w:line="154" w:lineRule="exact"/>
        <w:rPr>
          <w:sz w:val="20"/>
          <w:szCs w:val="20"/>
          <w:color w:val="auto"/>
        </w:rPr>
      </w:pPr>
    </w:p>
    <w:p>
      <w:pPr>
        <w:ind w:left="700" w:right="119"/>
        <w:spacing w:after="0" w:line="271" w:lineRule="auto"/>
        <w:rPr>
          <w:sz w:val="20"/>
          <w:szCs w:val="20"/>
          <w:color w:val="auto"/>
        </w:rPr>
      </w:pPr>
      <w:r>
        <w:rPr>
          <w:rFonts w:ascii="Arial" w:cs="Arial" w:eastAsia="Arial" w:hAnsi="Arial"/>
          <w:sz w:val="18"/>
          <w:szCs w:val="18"/>
          <w:color w:val="auto"/>
        </w:rPr>
        <w:t>Level 3—Valuations based on unobservable inputs and models that are supported by little or no market activity.</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June 30, 2024, or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212"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Cash and cash equivalents and restricted cash consist of cash and, if applicable, highly liquid investments with an original maturity of three months or less when purchased, including investments in Money Market Funds and debt securities that approximate fair value. The following table provides a reconciliation of cash, cash equivalents, and restricted cash reported within the balance sheet and the statements of cash flows.</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w w:val="97"/>
              </w:rPr>
              <w:t>As of</w:t>
            </w: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97"/>
              <w:spacing w:after="0" w:line="147"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15"/>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2024</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317,296</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311,660</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64"/>
        </w:trPr>
        <w:tc>
          <w:tcPr>
            <w:tcW w:w="634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Total cash, cash equivalents, and restricted cash shown in the statements of</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317,566</w:t>
            </w:r>
          </w:p>
        </w:tc>
        <w:tc>
          <w:tcPr>
            <w:tcW w:w="480" w:type="dxa"/>
            <w:vAlign w:val="bottom"/>
            <w:gridSpan w:val="3"/>
            <w:vMerge w:val="restart"/>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311,930</w:t>
            </w:r>
          </w:p>
        </w:tc>
        <w:tc>
          <w:tcPr>
            <w:tcW w:w="0" w:type="dxa"/>
            <w:vAlign w:val="bottom"/>
          </w:tcPr>
          <w:p>
            <w:pPr>
              <w:spacing w:after="0"/>
              <w:rPr>
                <w:sz w:val="1"/>
                <w:szCs w:val="1"/>
                <w:color w:val="auto"/>
              </w:rPr>
            </w:pPr>
          </w:p>
        </w:tc>
      </w:tr>
      <w:tr>
        <w:trPr>
          <w:trHeight w:val="208"/>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flows</w:t>
            </w:r>
          </w:p>
        </w:tc>
        <w:tc>
          <w:tcPr>
            <w:tcW w:w="44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Restricted cash includes amounts required to be held as a security deposit in the form of letters of credit for the Company’s credit card program and the fleet program.</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Company’s investments consist of debt securities that are classified as available-for-sale. Short-term and long-term investments are carried at fair value and unrealized gains and losses are recorded as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component of accumulated comprehensive income in stockholders’ equity. Interest income earned on cash and investment balances, accretion of the discount on investments in debt securities, amortization of premiums and realized gains and losses, if any, are recorded in interest income on the unaudited condensed consolidated statement of operations and comprehensive income. Realized gains and losses that result from the sale of investments are determined on a specific identification basis.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each reporting period, the Company reviews any unrealized losses position to determine if the decline in the fair value of the underlying investments is a result of credit losses or other factors. If the assessment indicates that a credit loss exists, any impairment is recognized as an allowance for credit losses in our consolidated statement of operations.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Concentrations of Risk</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Substantially all of the Company’s cash and money market funds are held in five financial institutions. Due to their size, the Company believes these financial institutions represent minimal credit risk. Deposits may exceed the amount of insurance provided on such deposits by the Federal Deposit Insurance Corporation for U.S. institutions. The Company has not experienced any losses on its deposits of cash and cash equivalents. The Company believes that it is not exposed to significant credit risk due to the financial position of the depository institutions in which those deposits are held.</w:t>
      </w:r>
    </w:p>
    <w:p>
      <w:pPr>
        <w:spacing w:after="0" w:line="179"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Company is subject to credit risk from its trade receivables related to its product sales. The Company extends credit to specialty pharmaceutical distribution companies within the United States. Customer creditworthiness is monitored, and collateral is not required. Historically, the Company has not experienced credit losses on its accounts receivable. The Company monitors its exposure within accounts receivable and would record a reserve against uncollectible accounts receivable if necessary. As of June 30, 2024, three customers accounted for 100% of gross accounts receivable; Caremark LLC (“CVS Caremark”), which accounted for 41% of gross accounts receivable; Accredo Health Group, Inc. (“Accredo”), which accounted for 35% of gross accounts receivable; and PANTHERx Specialty Pharmacy LLC (“Pantherx”), which accounted for 24% of gross accounts receivable. As of December 31, 2023, three customers accounted for 100% of gross accounts receivable; Accredo, which accounted for 39% of gross accounts receivable, CVS Caremark, which accounted for 32% of gross accounts receivable; and Pantherx, which accounted for 29% of gross accounts receivable.</w:t>
      </w:r>
    </w:p>
    <w:p>
      <w:pPr>
        <w:spacing w:after="0" w:line="18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For the six months ended June 30, 2024, three customers accounted for 100% of gross product revenue; CVS Caremark accounted for 40% of gross product revenue; Accredo accounted for 33% of gross product revenue; and Pantherx accounted for 27% of gross product revenue. For the six months ended June 30, 2023, three customers accounted for 100% of gross product revenue; CVS Caremark accounted for 35% of gross product revenue; Pantherx accounted for 33% of gross product revenue; and Accredo accounted for 32% of gross product revenue.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Company depends on a single supplier for its product and a single supplier for its active pharmaceutical ingredient.</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ind w:left="60" w:right="79" w:firstLine="648"/>
        <w:spacing w:after="0" w:line="244" w:lineRule="auto"/>
        <w:rPr>
          <w:sz w:val="20"/>
          <w:szCs w:val="20"/>
          <w:color w:val="auto"/>
        </w:rPr>
      </w:pPr>
      <w:r>
        <w:rPr>
          <w:rFonts w:ascii="Arial" w:cs="Arial" w:eastAsia="Arial" w:hAnsi="Arial"/>
          <w:sz w:val="18"/>
          <w:szCs w:val="18"/>
          <w:color w:val="auto"/>
        </w:rPr>
        <w:t>The Company accounts for share repurchases as constructive retirements, whereby it reduces common stock and additional paid-in capital by the amount of the original issuance, with any excess purchase price recorded as a reduction to retained earnings. Under this method, issued and outstanding shares of common stock are reduced by the amount of shares of common stock repurchased, and no treasury stock is recognized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Business Combinations</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 xml:space="preserve">Business combinations and asset acquisitions are accounted for in accordance with FASB ASC 805 Business Combinations. Refer to Note 4, </w:t>
      </w:r>
      <w:r>
        <w:rPr>
          <w:rFonts w:ascii="Arial" w:cs="Arial" w:eastAsia="Arial" w:hAnsi="Arial"/>
          <w:sz w:val="18"/>
          <w:szCs w:val="18"/>
          <w:i w:val="1"/>
          <w:iCs w:val="1"/>
          <w:color w:val="auto"/>
        </w:rPr>
        <w:t>Acquisitions</w:t>
      </w:r>
      <w:r>
        <w:rPr>
          <w:rFonts w:ascii="Arial" w:cs="Arial" w:eastAsia="Arial" w:hAnsi="Arial"/>
          <w:sz w:val="18"/>
          <w:szCs w:val="18"/>
          <w:color w:val="auto"/>
        </w:rPr>
        <w:t>, for a more detailed discussion of the Company’s acquisitions of Zynerba and Epygenix.</w:t>
      </w:r>
    </w:p>
    <w:p>
      <w:pPr>
        <w:spacing w:after="0" w:line="15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 xml:space="preserve">In November 2023, the FASB issued Accounting Standards Update (“ASU”) No. 2023-07, </w:t>
      </w:r>
      <w:r>
        <w:rPr>
          <w:rFonts w:ascii="Arial" w:cs="Arial" w:eastAsia="Arial" w:hAnsi="Arial"/>
          <w:sz w:val="18"/>
          <w:szCs w:val="18"/>
          <w:i w:val="1"/>
          <w:iCs w:val="1"/>
          <w:color w:val="auto"/>
        </w:rPr>
        <w:t>Improvements to Reportable Segment Disclosures</w:t>
      </w:r>
      <w:r>
        <w:rPr>
          <w:rFonts w:ascii="Arial" w:cs="Arial" w:eastAsia="Arial" w:hAnsi="Arial"/>
          <w:sz w:val="18"/>
          <w:szCs w:val="18"/>
          <w:color w:val="auto"/>
        </w:rPr>
        <w:t xml:space="preserve"> (“ASU 2023-07”). ASU 2023-07 is intended to improve reportable segment disclosures primarily through enhanced disclosure of reportable segment expenses and requires that a public entity that has a single reportable segment provide all the disclosures required by ASU 2023-07 and all existing segment disclosures in Topic 280. This ASU is effective for annual reporting periods beginning after December 15, 2023, and interim periods within fiscal years beginning after December 15, 2024. Early adoption is permitted. ASU 2023-07 is required to be applied retrospectively to all prior periods presented in the financial statements. The Company has one reportable segment and is currently evaluating the impact that ASU 2023-07 will have on its condensed consolidated financial statements.</w:t>
      </w:r>
    </w:p>
    <w:p>
      <w:pPr>
        <w:spacing w:after="0" w:line="17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 xml:space="preserve">In December 2023, the FASB issued Accounting Standards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(Topic 740): Improvements to Income Tax Disclosures” </w:t>
      </w:r>
      <w:r>
        <w:rPr>
          <w:rFonts w:ascii="Arial" w:cs="Arial" w:eastAsia="Arial" w:hAnsi="Arial"/>
          <w:sz w:val="18"/>
          <w:szCs w:val="18"/>
          <w:color w:val="auto"/>
        </w:rPr>
        <w:t>(“ASU 2023-09”). ASU 2023-09 expands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disclosures in the rate reconciliation and requires disclosure of income taxes paid by jurisdiction. ASU 2023-09 is effective for fiscal years beginning after December 15, 2024. Early adoption is permitted. The Company is currently evaluating the impact that ASU 2023-09 will have on its condensed consolidated financial statements.</w:t>
      </w:r>
    </w:p>
    <w:p>
      <w:pPr>
        <w:spacing w:after="0" w:line="163" w:lineRule="exact"/>
        <w:rPr>
          <w:sz w:val="20"/>
          <w:szCs w:val="20"/>
          <w:color w:val="auto"/>
        </w:rPr>
      </w:pPr>
    </w:p>
    <w:p>
      <w:pPr>
        <w:ind w:left="700" w:right="6539" w:hanging="650"/>
        <w:spacing w:after="0" w:line="485" w:lineRule="auto"/>
        <w:tabs>
          <w:tab w:leader="none" w:pos="252"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Acquisition of Zynerba</w:t>
      </w:r>
    </w:p>
    <w:p>
      <w:pPr>
        <w:jc w:val="both"/>
        <w:ind w:left="60" w:right="59" w:firstLine="648"/>
        <w:spacing w:after="0" w:line="239" w:lineRule="auto"/>
        <w:rPr>
          <w:sz w:val="20"/>
          <w:szCs w:val="20"/>
          <w:color w:val="auto"/>
        </w:rPr>
      </w:pPr>
      <w:r>
        <w:rPr>
          <w:rFonts w:ascii="Arial" w:cs="Arial" w:eastAsia="Arial" w:hAnsi="Arial"/>
          <w:sz w:val="18"/>
          <w:szCs w:val="18"/>
          <w:color w:val="auto"/>
        </w:rPr>
        <w:t>In October 2023, the Company completed a tender offer to purchase the outstanding common stock of Zynerba (“Zynerba Common Stock”) for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amount of consideration to acquire Zynerba Common Stock was $60,000, excluding transaction related fees of $2,645 and was paid by the Company using cash on hand.</w:t>
      </w:r>
    </w:p>
    <w:p>
      <w:pPr>
        <w:spacing w:after="0" w:line="18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Zynerba Acquisition was accounted for as an asset acquisition under ASC Topic 805, Business Combinations, because substantially all of the fair value of the gross assets acquired was concentrated in a single identifiable IPR&amp;D asset, ZYN002, Zynerba’s lead asset. ZYN002 is the first and only pharmaceutically manufactured, synthetic cannabidiol, devoid of THC, formulated as a patent-protected permeation-enhanced gel for transdermal delivery through the skin and into the circulatory system and is currently in Phase III clinical trial for the potential treatment of Fragile X Syndrome.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Acquisition of Epygenix</w:t>
      </w:r>
    </w:p>
    <w:p>
      <w:pPr>
        <w:spacing w:after="0" w:line="21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April 30, 2024, the Company acquired all of the issued and outstanding capital stock of Epygenix pursuant to the terms of a stock purchase agreement. In connection with the closing of the transaction, the Company paid the former stockholders of Epygenix up front consideration of $35,000 less a working capital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adjustment. In addition, the Company will be obligated to pay up to $130,000 upon the achievement of development and regulatory milestones and up to $515,000 upon the achievement of certain sales-based milestones, in each case to Epygenix’s former stockholders. As a result, the Company now has an exclusive license relating to the use of clemizole, initially for the treatment of Dravet Syndrome and Lennox-Gastaut Syndrome.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7420" w:type="dxa"/>
            <w:vAlign w:val="bottom"/>
          </w:tcPr>
          <w:p>
            <w:pPr>
              <w:ind w:left="660"/>
              <w:spacing w:after="0"/>
              <w:rPr>
                <w:sz w:val="20"/>
                <w:szCs w:val="20"/>
                <w:color w:val="auto"/>
              </w:rPr>
            </w:pPr>
            <w:r>
              <w:rPr>
                <w:rFonts w:ascii="Arial" w:cs="Arial" w:eastAsia="Arial" w:hAnsi="Arial"/>
                <w:sz w:val="18"/>
                <w:szCs w:val="18"/>
                <w:color w:val="auto"/>
              </w:rPr>
              <w:t>The total purchase consideration for Epygenix was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2"/>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7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consideration paid to selling shareholders and to settle restricted stock units ("RSUs")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32,686</w:t>
            </w:r>
          </w:p>
        </w:tc>
      </w:tr>
      <w:tr>
        <w:trPr>
          <w:trHeight w:val="203"/>
        </w:trPr>
        <w:tc>
          <w:tcPr>
            <w:tcW w:w="74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Transaction costs</w:t>
            </w:r>
          </w:p>
        </w:tc>
        <w:tc>
          <w:tcPr>
            <w:tcW w:w="26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450</w:t>
            </w:r>
          </w:p>
        </w:tc>
      </w:tr>
      <w:tr>
        <w:trPr>
          <w:trHeight w:val="196"/>
        </w:trPr>
        <w:tc>
          <w:tcPr>
            <w:tcW w:w="74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purchase consideration</w:t>
            </w:r>
          </w:p>
        </w:tc>
        <w:tc>
          <w:tcPr>
            <w:tcW w:w="26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33,136</w:t>
            </w:r>
          </w:p>
        </w:tc>
      </w:tr>
      <w:tr>
        <w:trPr>
          <w:trHeight w:val="20"/>
        </w:trPr>
        <w:tc>
          <w:tcPr>
            <w:tcW w:w="7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The acquisition of Epygenix was accounted for as an asset acquisition under ASC Topic 805, Business Combinations. The Company did not acquire any outputs and there was not an acquired substantive process in place to create outputs. The Company recognized the acquired assets and assumed liabilities based on the consideration paid, including transaction costs, on a relative fair value basis, and after first allocating the preliminary excess of the fair value of net assets acquired over the purchase price consideration to certain qualifying assets, principally, the IPR&amp;D asset. In accordance with the accounting for asset acquisitions, an entity that acquires IPR&amp;D assets in an asset acquisition follows the guidance in ASC Topic 730, Research and Development, which requires that both tangible and intangible identifiable research and development assets with no alternative future use be allocated a portion of the consideration transferred and recorded as research and development expense at the acquisition date. As a result, the Company recorded a charge of $17,095 related to acquired in-process research and development expense during the three and six months ended June 30, 2024.</w:t>
      </w:r>
    </w:p>
    <w:p>
      <w:pPr>
        <w:spacing w:after="0" w:line="183" w:lineRule="exact"/>
        <w:rPr>
          <w:sz w:val="20"/>
          <w:szCs w:val="20"/>
          <w:color w:val="auto"/>
        </w:rPr>
      </w:pPr>
    </w:p>
    <w:p>
      <w:pPr>
        <w:jc w:val="both"/>
        <w:ind w:left="60" w:right="59" w:firstLine="698"/>
        <w:spacing w:after="0" w:line="253" w:lineRule="auto"/>
        <w:rPr>
          <w:sz w:val="20"/>
          <w:szCs w:val="20"/>
          <w:color w:val="auto"/>
        </w:rPr>
      </w:pPr>
      <w:r>
        <w:rPr>
          <w:rFonts w:ascii="Arial" w:cs="Arial" w:eastAsia="Arial" w:hAnsi="Arial"/>
          <w:sz w:val="18"/>
          <w:szCs w:val="18"/>
          <w:color w:val="auto"/>
        </w:rPr>
        <w:t>The following table shows the allocation of the purchase consideration based on the relative fair value of assets acquired and liabilities assumed by the Company, after reducing the excess fair value of the IPR&amp;D asset as described above: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19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620" w:type="dxa"/>
            <w:vAlign w:val="bottom"/>
          </w:tcPr>
          <w:p>
            <w:pPr>
              <w:ind w:left="20"/>
              <w:spacing w:after="0" w:line="202" w:lineRule="exact"/>
              <w:rPr>
                <w:sz w:val="20"/>
                <w:szCs w:val="20"/>
                <w:color w:val="auto"/>
              </w:rPr>
            </w:pPr>
            <w:r>
              <w:rPr>
                <w:rFonts w:ascii="Arial" w:cs="Arial" w:eastAsia="Arial" w:hAnsi="Arial"/>
                <w:sz w:val="18"/>
                <w:szCs w:val="18"/>
                <w:color w:val="auto"/>
              </w:rPr>
              <w:t>Acquired in-process research and development</w:t>
            </w:r>
          </w:p>
        </w:tc>
        <w:tc>
          <w:tcPr>
            <w:tcW w:w="19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17,095</w:t>
            </w:r>
          </w:p>
        </w:tc>
        <w:tc>
          <w:tcPr>
            <w:tcW w:w="0" w:type="dxa"/>
            <w:vAlign w:val="bottom"/>
          </w:tcPr>
          <w:p>
            <w:pPr>
              <w:spacing w:after="0"/>
              <w:rPr>
                <w:sz w:val="1"/>
                <w:szCs w:val="1"/>
                <w:color w:val="auto"/>
              </w:rPr>
            </w:pPr>
          </w:p>
        </w:tc>
      </w:tr>
      <w:tr>
        <w:trPr>
          <w:trHeight w:val="203"/>
        </w:trPr>
        <w:tc>
          <w:tcPr>
            <w:tcW w:w="56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Deferred tax asset</w:t>
            </w:r>
          </w:p>
        </w:tc>
        <w:tc>
          <w:tcPr>
            <w:tcW w:w="19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18,268</w:t>
            </w:r>
          </w:p>
        </w:tc>
        <w:tc>
          <w:tcPr>
            <w:tcW w:w="0" w:type="dxa"/>
            <w:vAlign w:val="bottom"/>
          </w:tcPr>
          <w:p>
            <w:pPr>
              <w:spacing w:after="0"/>
              <w:rPr>
                <w:sz w:val="1"/>
                <w:szCs w:val="1"/>
                <w:color w:val="auto"/>
              </w:rPr>
            </w:pPr>
          </w:p>
        </w:tc>
      </w:tr>
      <w:tr>
        <w:trPr>
          <w:trHeight w:val="203"/>
        </w:trPr>
        <w:tc>
          <w:tcPr>
            <w:tcW w:w="5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19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assets acquired</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35,953</w:t>
            </w:r>
          </w:p>
        </w:tc>
        <w:tc>
          <w:tcPr>
            <w:tcW w:w="0" w:type="dxa"/>
            <w:vAlign w:val="bottom"/>
          </w:tcPr>
          <w:p>
            <w:pPr>
              <w:spacing w:after="0"/>
              <w:rPr>
                <w:sz w:val="1"/>
                <w:szCs w:val="1"/>
                <w:color w:val="auto"/>
              </w:rPr>
            </w:pPr>
          </w:p>
        </w:tc>
      </w:tr>
      <w:tr>
        <w:trPr>
          <w:trHeight w:val="202"/>
        </w:trPr>
        <w:tc>
          <w:tcPr>
            <w:tcW w:w="562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Total liabilities assumed</w:t>
            </w:r>
          </w:p>
        </w:tc>
        <w:tc>
          <w:tcPr>
            <w:tcW w:w="196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196"/>
        </w:trPr>
        <w:tc>
          <w:tcPr>
            <w:tcW w:w="56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assets acquired</w:t>
            </w:r>
          </w:p>
        </w:tc>
        <w:tc>
          <w:tcPr>
            <w:tcW w:w="1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33,136</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5. INVESTMENTS</w:t>
            </w:r>
          </w:p>
        </w:tc>
        <w:tc>
          <w:tcPr>
            <w:tcW w:w="19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62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carrying value and amortized cost of the Company’s available-for-sale debt securities, summarized by type of security, consisted of the following:</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4"/>
                <w:szCs w:val="14"/>
                <w:b w:val="1"/>
                <w:bCs w:val="1"/>
                <w:color w:val="auto"/>
              </w:rPr>
              <w:t>June 30, 2024</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20"/>
                <w:szCs w:val="20"/>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1"/>
        </w:trPr>
        <w:tc>
          <w:tcPr>
            <w:tcW w:w="3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Gains</w:t>
            </w: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6"/>
                <w:szCs w:val="16"/>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w:t>
            </w:r>
          </w:p>
        </w:tc>
        <w:tc>
          <w:tcPr>
            <w:tcW w:w="1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16,175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center"/>
              <w:spacing w:after="0"/>
              <w:rPr>
                <w:sz w:val="20"/>
                <w:szCs w:val="20"/>
                <w:color w:val="auto"/>
              </w:rPr>
            </w:pPr>
            <w:r>
              <w:rPr>
                <w:rFonts w:ascii="Arial" w:cs="Arial" w:eastAsia="Arial" w:hAnsi="Arial"/>
                <w:sz w:val="18"/>
                <w:szCs w:val="18"/>
                <w:color w:val="auto"/>
                <w:w w:val="98"/>
              </w:rPr>
              <w:t>16,171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6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29,618</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8"/>
              </w:rPr>
              <w:t>29,614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80" w:type="dxa"/>
            <w:vAlign w:val="bottom"/>
            <w:vMerge w:val="restart"/>
          </w:tcPr>
          <w:p>
            <w:pPr>
              <w:jc w:val="right"/>
              <w:ind w:right="35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3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3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59,793</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59,743</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27,615</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27,435</w:t>
            </w:r>
          </w:p>
        </w:tc>
      </w:tr>
      <w:tr>
        <w:trPr>
          <w:trHeight w:val="196"/>
        </w:trPr>
        <w:tc>
          <w:tcPr>
            <w:tcW w:w="500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87,408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87,178</w:t>
            </w:r>
          </w:p>
        </w:tc>
      </w:tr>
      <w:tr>
        <w:trPr>
          <w:trHeight w:val="20"/>
        </w:trPr>
        <w:tc>
          <w:tcPr>
            <w:tcW w:w="5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7"/>
        </w:trPr>
        <w:tc>
          <w:tcPr>
            <w:tcW w:w="50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16"/>
        </w:trPr>
        <w:tc>
          <w:tcPr>
            <w:tcW w:w="50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Amortized</w:t>
            </w: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8"/>
                <w:szCs w:val="18"/>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Fair</w:t>
            </w:r>
          </w:p>
        </w:tc>
      </w:tr>
      <w:tr>
        <w:trPr>
          <w:trHeight w:val="216"/>
        </w:trPr>
        <w:tc>
          <w:tcPr>
            <w:tcW w:w="5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Cost</w:t>
            </w: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b w:val="1"/>
                <w:bCs w:val="1"/>
                <w:color w:val="auto"/>
              </w:rPr>
              <w:t>Losses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4"/>
                <w:szCs w:val="14"/>
                <w:b w:val="1"/>
                <w:bCs w:val="1"/>
                <w:color w:val="auto"/>
              </w:rPr>
              <w:t>Value</w:t>
            </w:r>
          </w:p>
        </w:tc>
      </w:tr>
      <w:tr>
        <w:trPr>
          <w:trHeight w:val="210"/>
        </w:trPr>
        <w:tc>
          <w:tcPr>
            <w:tcW w:w="5000" w:type="dxa"/>
            <w:vAlign w:val="bottom"/>
          </w:tcPr>
          <w:p>
            <w:pPr>
              <w:ind w:left="20"/>
              <w:spacing w:after="0"/>
              <w:rPr>
                <w:sz w:val="20"/>
                <w:szCs w:val="20"/>
                <w:color w:val="auto"/>
              </w:rPr>
            </w:pPr>
            <w:r>
              <w:rPr>
                <w:rFonts w:ascii="Arial" w:cs="Arial" w:eastAsia="Arial" w:hAnsi="Arial"/>
                <w:sz w:val="18"/>
                <w:szCs w:val="18"/>
                <w:color w:val="auto"/>
              </w:rPr>
              <w:t>Short-term:</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23,865</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15,968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15,996</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short-term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41,740</w:t>
            </w:r>
          </w:p>
        </w:tc>
        <w:tc>
          <w:tcPr>
            <w:tcW w:w="1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80" w:type="dxa"/>
            <w:vAlign w:val="bottom"/>
            <w:tcBorders>
              <w:bottom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41,800</w:t>
            </w:r>
          </w:p>
        </w:tc>
      </w:tr>
      <w:tr>
        <w:trPr>
          <w:trHeight w:val="196"/>
        </w:trPr>
        <w:tc>
          <w:tcPr>
            <w:tcW w:w="5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Long-term:</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r>
      <w:tr>
        <w:trPr>
          <w:trHeight w:val="216"/>
        </w:trPr>
        <w:tc>
          <w:tcPr>
            <w:tcW w:w="500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42,688</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42,741</w:t>
            </w:r>
          </w:p>
        </w:tc>
      </w:tr>
      <w:tr>
        <w:trPr>
          <w:trHeight w:val="216"/>
        </w:trPr>
        <w:tc>
          <w:tcPr>
            <w:tcW w:w="5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 securities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28,684</w:t>
            </w:r>
          </w:p>
        </w:tc>
      </w:tr>
      <w:tr>
        <w:trPr>
          <w:trHeight w:val="196"/>
        </w:trPr>
        <w:tc>
          <w:tcPr>
            <w:tcW w:w="5000" w:type="dxa"/>
            <w:vAlign w:val="bottom"/>
          </w:tcPr>
          <w:p>
            <w:pPr>
              <w:ind w:left="20"/>
              <w:spacing w:after="0" w:line="196" w:lineRule="exact"/>
              <w:rPr>
                <w:sz w:val="20"/>
                <w:szCs w:val="20"/>
                <w:color w:val="auto"/>
              </w:rPr>
            </w:pPr>
            <w:r>
              <w:rPr>
                <w:rFonts w:ascii="Arial" w:cs="Arial" w:eastAsia="Arial" w:hAnsi="Arial"/>
                <w:sz w:val="18"/>
                <w:szCs w:val="18"/>
                <w:color w:val="auto"/>
              </w:rPr>
              <w:t>Total long-term investments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72,227</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w:t>
            </w:r>
          </w:p>
        </w:tc>
        <w:tc>
          <w:tcPr>
            <w:tcW w:w="1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72,169</w:t>
            </w:r>
          </w:p>
        </w:tc>
      </w:tr>
      <w:tr>
        <w:trPr>
          <w:trHeight w:val="20"/>
        </w:trPr>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Company classifies investments with an original maturity of less than one year as current and investments with an original maturity date of greater than one year as noncurrent on its unaudited condensed consolidated balance sheet. The investments classified as noncurrent have original maturity dates ranging from 1-2 years. The Company did not have any available-for-sale debt security investments in a continuous unrealized loss position of greater than 12 months as of June 30, 2024, and December 31, 2023, respectively.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FAIR VALUE MEASUREMENTS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Money market funds are classified as Level 1 fair value instruments. Investments in available-for-sale debt securities are classified as Level 2 and carried at fair value, which we estimate utilizing a third-party pricing service. The pricing service utilizes industry standard valuation models whereby all significant inputs, including benchmark yields, reported trades, broker/dealer quotes, issuer spreads, bids, offers, or other market-related data, are observable. We validate valuations obtained from third-party services by obtaining market values from other pricing sources. The Company did not classify any assets or liabilities as Level 3 as of June 30, 2024, or December 31, 2023.</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Company’s assets measured at fair value consisted of the following:</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June 30, 2024</w:t>
            </w: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December 31, 2023</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020" w:type="dxa"/>
            <w:vAlign w:val="bottom"/>
          </w:tcPr>
          <w:p>
            <w:pPr>
              <w:spacing w:after="0"/>
              <w:rPr>
                <w:sz w:val="18"/>
                <w:szCs w:val="18"/>
                <w:color w:val="auto"/>
              </w:rPr>
            </w:pPr>
          </w:p>
        </w:tc>
        <w:tc>
          <w:tcPr>
            <w:tcW w:w="90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8"/>
                <w:szCs w:val="18"/>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02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r>
      <w:tr>
        <w:trPr>
          <w:trHeight w:val="196"/>
        </w:trPr>
        <w:tc>
          <w:tcPr>
            <w:tcW w:w="3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$ 270,989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270,989</w:t>
            </w:r>
          </w:p>
        </w:tc>
        <w:tc>
          <w:tcPr>
            <w:tcW w:w="16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244,569</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243,685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24,609</w:t>
            </w:r>
          </w:p>
        </w:tc>
        <w:tc>
          <w:tcPr>
            <w:tcW w:w="2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73,186</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73,186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58,737</w:t>
            </w:r>
          </w:p>
        </w:tc>
        <w:tc>
          <w:tcPr>
            <w:tcW w:w="160" w:type="dxa"/>
            <w:vAlign w:val="bottom"/>
          </w:tcPr>
          <w:p>
            <w:pPr>
              <w:spacing w:after="0"/>
              <w:rPr>
                <w:sz w:val="18"/>
                <w:szCs w:val="18"/>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58,737</w:t>
            </w:r>
          </w:p>
        </w:tc>
        <w:tc>
          <w:tcPr>
            <w:tcW w:w="20" w:type="dxa"/>
            <w:vAlign w:val="bottom"/>
          </w:tcPr>
          <w:p>
            <w:pPr>
              <w:spacing w:after="0"/>
              <w:rPr>
                <w:sz w:val="18"/>
                <w:szCs w:val="18"/>
                <w:color w:val="auto"/>
              </w:rPr>
            </w:pPr>
          </w:p>
        </w:tc>
      </w:tr>
      <w:tr>
        <w:trPr>
          <w:trHeight w:val="21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securities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w:t>
            </w:r>
          </w:p>
        </w:tc>
        <w:tc>
          <w:tcPr>
            <w:tcW w:w="20" w:type="dxa"/>
            <w:vAlign w:val="bottom"/>
          </w:tcPr>
          <w:p>
            <w:pPr>
              <w:spacing w:after="0"/>
              <w:rPr>
                <w:sz w:val="18"/>
                <w:szCs w:val="18"/>
                <w:color w:val="auto"/>
              </w:rPr>
            </w:pPr>
          </w:p>
        </w:tc>
      </w:tr>
      <w:tr>
        <w:trPr>
          <w:trHeight w:val="196"/>
        </w:trPr>
        <w:tc>
          <w:tcPr>
            <w:tcW w:w="3020" w:type="dxa"/>
            <w:vAlign w:val="bottom"/>
          </w:tcPr>
          <w:p>
            <w:pPr>
              <w:ind w:left="120"/>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$ 387,781</w:t>
            </w:r>
          </w:p>
        </w:tc>
        <w:tc>
          <w:tcPr>
            <w:tcW w:w="16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270,989</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116,792</w:t>
            </w:r>
          </w:p>
        </w:tc>
        <w:tc>
          <w:tcPr>
            <w:tcW w:w="2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358,538</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243,685</w:t>
            </w:r>
          </w:p>
        </w:tc>
        <w:tc>
          <w:tcPr>
            <w:tcW w:w="16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114,853</w:t>
            </w:r>
          </w:p>
        </w:tc>
        <w:tc>
          <w:tcPr>
            <w:tcW w:w="2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8"/>
        </w:trPr>
        <w:tc>
          <w:tcPr>
            <w:tcW w:w="3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gridSpan w:val="2"/>
          </w:tcPr>
          <w:p>
            <w:pPr>
              <w:jc w:val="right"/>
              <w:ind w:right="214"/>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3"/>
        </w:trPr>
        <w:tc>
          <w:tcPr>
            <w:tcW w:w="30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INVENTORY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 net consisted of the following:</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As of</w:t>
            </w:r>
          </w:p>
        </w:tc>
        <w:tc>
          <w:tcPr>
            <w:tcW w:w="780" w:type="dxa"/>
            <w:vAlign w:val="bottom"/>
            <w:tcBorders>
              <w:bottom w:val="single" w:sz="8" w:color="auto"/>
            </w:tcBorders>
          </w:tcPr>
          <w:p>
            <w:pPr>
              <w:spacing w:after="0"/>
              <w:rPr>
                <w:sz w:val="14"/>
                <w:szCs w:val="14"/>
                <w:color w:val="auto"/>
              </w:rPr>
            </w:pPr>
          </w:p>
        </w:tc>
      </w:tr>
      <w:tr>
        <w:trPr>
          <w:trHeight w:val="146"/>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7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2023</w:t>
            </w: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1,060</w:t>
            </w:r>
          </w:p>
        </w:tc>
      </w:tr>
      <w:tr>
        <w:trPr>
          <w:trHeight w:val="203"/>
        </w:trPr>
        <w:tc>
          <w:tcPr>
            <w:tcW w:w="672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1,744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2,020</w:t>
            </w:r>
          </w:p>
        </w:tc>
      </w:tr>
      <w:tr>
        <w:trPr>
          <w:trHeight w:val="203"/>
        </w:trPr>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2,764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2,283</w:t>
            </w:r>
          </w:p>
        </w:tc>
      </w:tr>
      <w:tr>
        <w:trPr>
          <w:trHeight w:val="196"/>
        </w:trPr>
        <w:tc>
          <w:tcPr>
            <w:tcW w:w="6720" w:type="dxa"/>
            <w:vAlign w:val="bottom"/>
          </w:tcPr>
          <w:p>
            <w:pPr>
              <w:ind w:left="20"/>
              <w:spacing w:after="0" w:line="196" w:lineRule="exact"/>
              <w:rPr>
                <w:sz w:val="20"/>
                <w:szCs w:val="20"/>
                <w:color w:val="auto"/>
              </w:rPr>
            </w:pPr>
            <w:r>
              <w:rPr>
                <w:rFonts w:ascii="Arial" w:cs="Arial" w:eastAsia="Arial" w:hAnsi="Arial"/>
                <w:sz w:val="18"/>
                <w:szCs w:val="18"/>
                <w:color w:val="auto"/>
              </w:rPr>
              <w:t>Total inventory, net</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5,643</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5,363</w:t>
            </w: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INTANGIBLE ASSETS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August 2019, the Company received FDA approval of WAKIX</w:t>
      </w:r>
      <w:r>
        <w:rPr>
          <w:rFonts w:ascii="Arial" w:cs="Arial" w:eastAsia="Arial" w:hAnsi="Arial"/>
          <w:sz w:val="12"/>
          <w:szCs w:val="12"/>
          <w:color w:val="auto"/>
        </w:rPr>
        <w:t>®</w:t>
      </w:r>
      <w:r>
        <w:rPr>
          <w:rFonts w:ascii="Arial" w:cs="Arial" w:eastAsia="Arial" w:hAnsi="Arial"/>
          <w:sz w:val="18"/>
          <w:szCs w:val="18"/>
          <w:color w:val="auto"/>
        </w:rPr>
        <w:t xml:space="preserve"> (pitolisant) for the treatment of excessive daytime sleepiness (“EDS”) in adult patients with narcolepsy. This event triggered a milestone payment of $75,000 under the provisions of the 2017 LCA (defined below) which the Company capitalized as an intangible asset. The Company determined a useful life of 10 years for such intangible asset, and, as of June 30, 2024, the remaining useful life was 5.3 years.</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October 2020, the Company received FDA approval for the New Drug Application (“NDA”) for WAKIX for the treatment of cataplexy in adult patients with narcolepsy. This event triggered a milestone payment of $100,000 under the provisions of the 2017 LCA which the Company capitalized as an intangible asset and paid in January of 2021. The Company determined a useful life of 9 years for such intangible asset, and, as of June 30, 2024, the remaining useful life was 5.3 years.</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February 2022, the Company attained $500,000 in life-to-date aggregate net sales of WAKIX in the United States. This event triggered a final $40,000 payment under the provisions of the 2017 LCA which the Company capitalized as an intangible asset and paid in March of 2022. The Company determined a useful life of 7.6 years for such intangible asset, and, as of June 30, 2024, the remaining useful life was 5.3 years.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Amortization expense was $5,961 for each of the three months ended June 30, 2024, and 2023, respectively, and $11,922 for each of the six months ended June 30, 2024, and 2023, respectively, and is recorded in general and administrative on the unaudited condensed consolidated statements of operations and comprehensive income.</w:t>
      </w:r>
    </w:p>
    <w:p>
      <w:pPr>
        <w:spacing w:after="0" w:line="17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The Company expects the future annual amortization expense for the unamortized intangible assets to be as follows:</w:t>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2024 (excluding the six months ended June 30, 2024)</w:t>
            </w:r>
          </w:p>
        </w:tc>
        <w:tc>
          <w:tcPr>
            <w:tcW w:w="196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11,923</w:t>
            </w:r>
          </w:p>
        </w:tc>
      </w:tr>
      <w:tr>
        <w:trPr>
          <w:trHeight w:val="203"/>
        </w:trPr>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2025</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2026</w:t>
            </w: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tcPr>
          <w:p>
            <w:pPr>
              <w:ind w:left="100"/>
              <w:spacing w:after="0" w:line="202" w:lineRule="exact"/>
              <w:rPr>
                <w:sz w:val="20"/>
                <w:szCs w:val="20"/>
                <w:color w:val="auto"/>
              </w:rPr>
            </w:pPr>
            <w:r>
              <w:rPr>
                <w:rFonts w:ascii="Arial" w:cs="Arial" w:eastAsia="Arial" w:hAnsi="Arial"/>
                <w:sz w:val="18"/>
                <w:szCs w:val="18"/>
                <w:color w:val="auto"/>
              </w:rPr>
              <w:t>2027</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2028</w:t>
            </w:r>
          </w:p>
        </w:tc>
        <w:tc>
          <w:tcPr>
            <w:tcW w:w="1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23,845</w:t>
            </w:r>
          </w:p>
        </w:tc>
      </w:tr>
      <w:tr>
        <w:trPr>
          <w:trHeight w:val="203"/>
        </w:trPr>
        <w:tc>
          <w:tcPr>
            <w:tcW w:w="606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Thereafter</w:t>
            </w:r>
          </w:p>
        </w:tc>
        <w:tc>
          <w:tcPr>
            <w:tcW w:w="17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17,883</w:t>
            </w:r>
          </w:p>
        </w:tc>
      </w:tr>
      <w:tr>
        <w:trPr>
          <w:trHeight w:val="196"/>
        </w:trPr>
        <w:tc>
          <w:tcPr>
            <w:tcW w:w="6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w:t>
            </w:r>
          </w:p>
        </w:tc>
        <w:tc>
          <w:tcPr>
            <w:tcW w:w="17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125,186</w:t>
            </w:r>
          </w:p>
        </w:tc>
      </w:tr>
      <w:tr>
        <w:trPr>
          <w:trHeight w:val="20"/>
        </w:trPr>
        <w:tc>
          <w:tcPr>
            <w:tcW w:w="60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gross carrying amount and net book value of the intangible asset is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June 30,</w:t>
            </w:r>
          </w:p>
        </w:tc>
        <w:tc>
          <w:tcPr>
            <w:tcW w:w="104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r>
      <w:tr>
        <w:trPr>
          <w:trHeight w:val="171"/>
        </w:trPr>
        <w:tc>
          <w:tcPr>
            <w:tcW w:w="6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Gross Carrying Amount</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215,000</w:t>
            </w:r>
          </w:p>
        </w:tc>
        <w:tc>
          <w:tcPr>
            <w:tcW w:w="20" w:type="dxa"/>
            <w:vAlign w:val="bottom"/>
          </w:tcPr>
          <w:p>
            <w:pPr>
              <w:spacing w:after="0"/>
              <w:rPr>
                <w:sz w:val="17"/>
                <w:szCs w:val="17"/>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Accumulated Amortization</w:t>
            </w:r>
          </w:p>
        </w:tc>
        <w:tc>
          <w:tcPr>
            <w:tcW w:w="140" w:type="dxa"/>
            <w:vAlign w:val="bottom"/>
          </w:tcPr>
          <w:p>
            <w:pPr>
              <w:spacing w:after="0"/>
              <w:rPr>
                <w:sz w:val="17"/>
                <w:szCs w:val="17"/>
                <w:color w:val="auto"/>
              </w:rPr>
            </w:pPr>
          </w:p>
        </w:tc>
        <w:tc>
          <w:tcPr>
            <w:tcW w:w="9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(89,814)</w:t>
            </w:r>
          </w:p>
        </w:tc>
        <w:tc>
          <w:tcPr>
            <w:tcW w:w="2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(77,892)</w:t>
            </w:r>
          </w:p>
        </w:tc>
        <w:tc>
          <w:tcPr>
            <w:tcW w:w="20" w:type="dxa"/>
            <w:vAlign w:val="bottom"/>
          </w:tcPr>
          <w:p>
            <w:pPr>
              <w:spacing w:after="0"/>
              <w:rPr>
                <w:sz w:val="17"/>
                <w:szCs w:val="17"/>
                <w:color w:val="auto"/>
              </w:rPr>
            </w:pPr>
          </w:p>
        </w:tc>
      </w:tr>
      <w:tr>
        <w:trPr>
          <w:trHeight w:val="196"/>
        </w:trPr>
        <w:tc>
          <w:tcPr>
            <w:tcW w:w="6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Book Value</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125,186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137,108</w:t>
            </w:r>
          </w:p>
        </w:tc>
        <w:tc>
          <w:tcPr>
            <w:tcW w:w="20" w:type="dxa"/>
            <w:vAlign w:val="bottom"/>
          </w:tcPr>
          <w:p>
            <w:pPr>
              <w:spacing w:after="0"/>
              <w:rPr>
                <w:sz w:val="17"/>
                <w:szCs w:val="17"/>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700" w:right="3199" w:hanging="650"/>
        <w:spacing w:after="0" w:line="485" w:lineRule="auto"/>
        <w:tabs>
          <w:tab w:leader="none" w:pos="25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 AND ASSET PURCHASE AGREEMENTS License Agreements</w:t>
      </w:r>
    </w:p>
    <w:p>
      <w:pPr>
        <w:jc w:val="both"/>
        <w:ind w:left="60" w:right="59" w:firstLine="648"/>
        <w:spacing w:after="0" w:line="251" w:lineRule="auto"/>
        <w:rPr>
          <w:sz w:val="20"/>
          <w:szCs w:val="20"/>
          <w:color w:val="auto"/>
        </w:rPr>
      </w:pPr>
      <w:r>
        <w:rPr>
          <w:rFonts w:ascii="Arial" w:cs="Arial" w:eastAsia="Arial" w:hAnsi="Arial"/>
          <w:sz w:val="17"/>
          <w:szCs w:val="17"/>
          <w:color w:val="auto"/>
        </w:rPr>
        <w:t>In July 2017, Harmony entered into a License Agreement (the “2017 LCA”) with Bioprojet Société Civile de Recherche (“Bioprojet”) whereby Harmony acquired the exclusive right to commercialize the pharmaceutical compound pitolisant for the treatment, and/or prevention, of narcolepsy, obstructive sleep apnea, idiopathic hypersomnia, and Parkinson’s disease as well as any other indications unanimously agreed by the parties in the United States and its territories. A milestone payment of $50,000 was due upon acceptance by the FDA of pitolisant’s NDA, which was achieved in February 2019 and was expensed within research and development for the year ended December 31, 2019. A milestone payment of $77,000, which included a $2,000 fee that is described below, was due upon FDA approval of WAKIX (pitolisant) for treatment of EDS in adult patients with narcolepsy, which was achieved in August 2019. The $2,000 payment and $75,000 milestone payment were paid in August and November 2019, respectively. In addition, a milestone payment of $102,000, which included a $2,000 fee was due upon the FDA approval of the NDA for WAKIX for the treatment of cataplexy in adult patients with narcolepsy. The $2,000 payment was paid in October 2020 and a $ 100,000 milestone payment was paid in January 2021. A final $40,000 milestone payment was paid to Bioprojet in March 2022 upon WAKIX attaining $500,000 in aggregate net sales in the United States. The 2017 LCA also requires a fixed trademark royalty and a tiered royalty based on net sales, which is payable to Bioprojet on a quarterly basis. The Company incurred $30,199 and $22,542 for the three months ended June 30, 2024, and 2023, respectively, and $54,937 and $ 41,602 for the six months ended June 30, 2024, and 2023, respectively, for sales-based, trademark and tiered royalties recognized as cost of product sold. As of June 30, 2024, and December 31, 2023, the Company had accrued $30,199 and $40,419, respectively, for sales-based, trademark and tiered royalties.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Harmony entered into a License and Commercialization Agreement (the “2022 LCA”) with Bioprojet whereby Harmony obtained exclusive rights to manufacture, use and commercialize one or more new products based on pitolisant in the United States and Latin America, with the potential to add additional indications and formulations upon agreement of both parties. Harmony paid an initial, non-refundable $30,000 licensing fee in October 2022 and additional payments of up to $155,000 are potentially due under the 2022 LCA upon the achievement of certain future development and sales-based milestones. In addition, there are other payments due upon achievement of development milestones for new indications and formulations as agreed upon by both parties. The 2022 LCA also requires a fixed trademark royalty and a tiered royalty based on net sales upon commercialization, which will be payable to Bioprojet on a quarterly basis.</w:t>
      </w:r>
    </w:p>
    <w:p>
      <w:pPr>
        <w:spacing w:after="0" w:line="183"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April 2024, the Company announced that it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paid Bioprojet an upfront license fee of $25,500, which the Company recognized as an IPR&amp;D charge recorded in research and development within the unaudited condensed consolidated statements of operations and comprehensive income for the three and six months ended June 30, 2024, and will also be obligated to pay up to $127,500 upon achievement of development and regulatory milestones and up to $240,000 upon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achievement of sales-based milestones, as well as royalty rates in the mid-teens on any sales of product using the Licensed Compound in the Licensed Territories.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Agreement Related to Intellectual Property</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August 2021, the Company entered into an asset purchase agreement with ConSynance Therapeutics, Inc. (the “APA”) to acquire HBS-102 (formerly referred to as “CSTI-100”), a potential first-in-class molecule with a novel mechanism of action. Under the terms of the APA, the Company acquired full development and commercialization rights globally, with the exception of Greater China, for $3,500. The Company accounted for the transaction as an asset acquisition as substantially all of the fair value of the assets acquired was concentrated in a single identified asset. In March 2023, the Company achieved a preclinical milestone, which triggered a $750 payment under the provisions of the APA, which the Company recognized as an IPR&amp;D charge recorded in research and development within the unaudited condensed consolidated statement of operations and comprehensive income for the six months ended June 30, 2023. There are additional payments due under the APA upon the achievement of certain milestones including $1,000 for preclinical milestones, $19,000 for development milestones, $44,000 for regulatory milestones and $110,000 for sales milestones.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ACCRUED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r>
      <w:tr>
        <w:trPr>
          <w:trHeight w:val="146"/>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000" w:type="dxa"/>
            <w:vAlign w:val="bottom"/>
            <w:gridSpan w:val="2"/>
          </w:tcPr>
          <w:p>
            <w:pPr>
              <w:jc w:val="right"/>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8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r>
      <w:tr>
        <w:trPr>
          <w:trHeight w:val="196"/>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Royalties due to Bioprojet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40,419</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Rebates and other sales deductions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43,570</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38,842</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2,993</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w:t>
            </w:r>
          </w:p>
        </w:tc>
      </w:tr>
      <w:tr>
        <w:trPr>
          <w:trHeight w:val="202"/>
        </w:trPr>
        <w:tc>
          <w:tcPr>
            <w:tcW w:w="528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3,343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2,354</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7,201</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9,835</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Professional fees, consulting, and other services</w:t>
            </w: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2,053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2,195</w:t>
            </w: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w:t>
            </w:r>
          </w:p>
        </w:tc>
        <w:tc>
          <w:tcPr>
            <w:tcW w:w="14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2,285</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2,495</w:t>
            </w:r>
          </w:p>
        </w:tc>
      </w:tr>
      <w:tr>
        <w:trPr>
          <w:trHeight w:val="196"/>
        </w:trPr>
        <w:tc>
          <w:tcPr>
            <w:tcW w:w="5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91,644</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99,494</w:t>
            </w: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DEBT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 July 2023, the Company entered into a Credit Agreement (the “TLA Credit Agreement”) with JPMorgan Chase Bank, N.A., as “Administrative Agent”, and certain lenders. The TLA Credit Agreement provides for a five-year senior secured term loan (the “TLA Term Loan”) in an aggregate principal amount of $185,000.</w:t>
      </w:r>
    </w:p>
    <w:p>
      <w:pPr>
        <w:spacing w:after="0" w:line="174"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the Company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$15,000.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quarterly $3,750 principal payments, which commence on December 31, 2023, increasing to quarterly $5,000 principal payments beginning on December 31, 2025, with a $115,000 payment due on the maturity date of July 26, 2028. The Term Loans bear interest at a per annum rate equal to, at the Company’s option, (i) a base rate plus a specified margin ranging from 2.50% to 3.00%, based on the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Company’s senior secured net leverage ratio (as defined in the TLA Credit Agreement) or (ii) Term SOFR plus a credit spread adjustment of 0.10% plus a specified margin ranging from 3.50% to 4.00%, based on the Company’s senior secured net leverage ratio.</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The net cash received related to the Term Loans as a result of the transactions, less debt issuance costs of $2,997, was $197,003. The debt issuance costs related to the Term Loans will be amortized as additional interest expense over the loan term of the TLA Credit Agreement. The fair value of the Term Loans as of June 30, 2024, was $187,863.</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Long-term debt, net consists of the following:</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5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88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2023</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Principal amount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188,750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196,250</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Unamortized debt discount associated with debt financing costs</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(2,328)</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(2,684)</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debt, net</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186,422</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193,566</w:t>
            </w:r>
          </w:p>
        </w:tc>
      </w:tr>
      <w:tr>
        <w:trPr>
          <w:trHeight w:val="203"/>
        </w:trPr>
        <w:tc>
          <w:tcPr>
            <w:tcW w:w="58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current portion</w:t>
            </w:r>
          </w:p>
        </w:tc>
        <w:tc>
          <w:tcPr>
            <w:tcW w:w="8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(15,000)</w:t>
            </w:r>
          </w:p>
        </w:tc>
      </w:tr>
      <w:tr>
        <w:trPr>
          <w:trHeight w:val="196"/>
        </w:trPr>
        <w:tc>
          <w:tcPr>
            <w:tcW w:w="58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 net</w:t>
            </w:r>
          </w:p>
        </w:tc>
        <w:tc>
          <w:tcPr>
            <w:tcW w:w="8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171,422</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178,566</w:t>
            </w:r>
          </w:p>
        </w:tc>
      </w:tr>
      <w:tr>
        <w:trPr>
          <w:trHeight w:val="20"/>
        </w:trPr>
        <w:tc>
          <w:tcPr>
            <w:tcW w:w="5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Future minimum payments relating to total debt, net as of June 30, 2024, for the periods indicated below consists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2024 (excluding the six months ended June 30, 2024)</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16,250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2026</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tcPr>
          <w:p>
            <w:pPr>
              <w:ind w:left="120"/>
              <w:spacing w:after="0"/>
              <w:rPr>
                <w:sz w:val="20"/>
                <w:szCs w:val="20"/>
                <w:color w:val="auto"/>
              </w:rPr>
            </w:pPr>
            <w:r>
              <w:rPr>
                <w:rFonts w:ascii="Arial" w:cs="Arial" w:eastAsia="Arial" w:hAnsi="Arial"/>
                <w:sz w:val="18"/>
                <w:szCs w:val="18"/>
                <w:color w:val="auto"/>
              </w:rPr>
              <w:t>2027</w:t>
            </w: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16"/>
        </w:trPr>
        <w:tc>
          <w:tcPr>
            <w:tcW w:w="7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2028</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16"/>
        </w:trPr>
        <w:tc>
          <w:tcPr>
            <w:tcW w:w="7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188,750</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Interest expense related to the Company’s long-term debt, net, is included in interest expense within the unaudited condensed consolidated statements of operations and comprehensive income and consists of the following: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4"/>
          </w:tcPr>
          <w:p>
            <w:pPr>
              <w:jc w:val="right"/>
              <w:ind w:right="135"/>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June 30,</w:t>
            </w:r>
          </w:p>
        </w:tc>
      </w:tr>
      <w:tr>
        <w:trPr>
          <w:trHeight w:val="155"/>
        </w:trPr>
        <w:tc>
          <w:tcPr>
            <w:tcW w:w="54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Interest on principal balance</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4,228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11,109</w:t>
            </w:r>
          </w:p>
        </w:tc>
      </w:tr>
      <w:tr>
        <w:trPr>
          <w:trHeight w:val="202"/>
        </w:trPr>
        <w:tc>
          <w:tcPr>
            <w:tcW w:w="54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Amortization of deferred financing costs</w:t>
            </w: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176</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840</w:t>
            </w:r>
          </w:p>
        </w:tc>
      </w:tr>
      <w:tr>
        <w:trPr>
          <w:trHeight w:val="196"/>
        </w:trPr>
        <w:tc>
          <w:tcPr>
            <w:tcW w:w="544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 term loan interest expense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4,404</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6,218</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8,939</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11,949</w:t>
            </w:r>
          </w:p>
        </w:tc>
      </w:tr>
      <w:tr>
        <w:trPr>
          <w:trHeight w:val="20"/>
        </w:trPr>
        <w:tc>
          <w:tcPr>
            <w:tcW w:w="5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LEASES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June 2018, the Company entered into an operating lease for approximately fifteen thousand square feet of office space in Plymouth Meeting, PA, which expires in May 2024. The Company subsequently entered into two separate operating leases for additional office space in Plymouth Meeting, PA, which include approximately thirteen thousand square feet and seven thousand square feet of additional office space, respectively, and expire in May 2024. In March 2024, the Company amended its existing operating leases for office space in Plymouth Meeting to extend their terms through June 2025. The terms of the lease payments provide for rental payments on a monthly basis and on a graduated scale. The Company also leases a fleet of automobiles that are used by its sales representatives and are classified as operating leases.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47" w:lineRule="auto"/>
        <w:rPr>
          <w:sz w:val="20"/>
          <w:szCs w:val="20"/>
          <w:color w:val="auto"/>
        </w:rPr>
      </w:pPr>
      <w:r>
        <w:rPr>
          <w:rFonts w:ascii="Arial" w:cs="Arial" w:eastAsia="Arial" w:hAnsi="Arial"/>
          <w:sz w:val="18"/>
          <w:szCs w:val="18"/>
          <w:color w:val="auto"/>
        </w:rPr>
        <w:t>Operating lease right-of-use assets and operating lease liabilities are recognized based on the present value of the future lease payments using our incremental borrowing rate. Leases with an initial term of 12 months or less are not recorded on the balance sheet. Our leases have remaining lease terms of less than 1 year to 3 years, some of which may include the option to extend or terminate the leases.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Company recorded operating lease costs of $622 and $444 for the three months ended June 30, 2024, and 2023, respectively and $1,131 and $822 for the six months ended June 30, 2024, and 2023, respectively.</w:t>
      </w:r>
    </w:p>
    <w:p>
      <w:pPr>
        <w:spacing w:after="0" w:line="169"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2024, the weighted-average remaining lease term for operating leases was 1.7 years and the weighted-average discount rate for operating leases was 7.56%.</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balance sheet information related to operating leases was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40" w:type="dxa"/>
            <w:vAlign w:val="bottom"/>
          </w:tcPr>
          <w:p>
            <w:pPr>
              <w:ind w:left="1540"/>
              <w:spacing w:after="0"/>
              <w:rPr>
                <w:sz w:val="20"/>
                <w:szCs w:val="20"/>
                <w:color w:val="auto"/>
              </w:rPr>
            </w:pPr>
            <w:r>
              <w:rPr>
                <w:rFonts w:ascii="Arial" w:cs="Arial" w:eastAsia="Arial" w:hAnsi="Arial"/>
                <w:sz w:val="14"/>
                <w:szCs w:val="14"/>
                <w:b w:val="1"/>
                <w:bCs w:val="1"/>
                <w:color w:val="auto"/>
              </w:rPr>
              <w:t>Leases</w:t>
            </w:r>
          </w:p>
        </w:tc>
        <w:tc>
          <w:tcPr>
            <w:tcW w:w="2960" w:type="dxa"/>
            <w:vAlign w:val="bottom"/>
          </w:tcPr>
          <w:p>
            <w:pPr>
              <w:ind w:left="1140"/>
              <w:spacing w:after="0"/>
              <w:rPr>
                <w:sz w:val="20"/>
                <w:szCs w:val="20"/>
                <w:color w:val="auto"/>
              </w:rPr>
            </w:pPr>
            <w:r>
              <w:rPr>
                <w:rFonts w:ascii="Arial" w:cs="Arial" w:eastAsia="Arial" w:hAnsi="Arial"/>
                <w:sz w:val="14"/>
                <w:szCs w:val="14"/>
                <w:b w:val="1"/>
                <w:bCs w:val="1"/>
                <w:color w:val="auto"/>
              </w:rPr>
              <w:t>Classification</w:t>
            </w:r>
          </w:p>
        </w:tc>
        <w:tc>
          <w:tcPr>
            <w:tcW w:w="12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 2024   December 31, 2023</w:t>
            </w:r>
          </w:p>
        </w:tc>
      </w:tr>
      <w:tr>
        <w:trPr>
          <w:trHeight w:val="196"/>
        </w:trPr>
        <w:tc>
          <w:tcPr>
            <w:tcW w:w="3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2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2960" w:type="dxa"/>
            <w:vAlign w:val="bottom"/>
          </w:tcPr>
          <w:p>
            <w:pPr>
              <w:ind w:left="240"/>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2,508</w:t>
            </w:r>
          </w:p>
        </w:tc>
        <w:tc>
          <w:tcPr>
            <w:tcW w:w="6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2,344</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w:t>
            </w:r>
          </w:p>
        </w:tc>
        <w:tc>
          <w:tcPr>
            <w:tcW w:w="2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liability, current portion</w:t>
            </w:r>
          </w:p>
        </w:tc>
        <w:tc>
          <w:tcPr>
            <w:tcW w:w="2960" w:type="dxa"/>
            <w:vAlign w:val="bottom"/>
          </w:tcPr>
          <w:p>
            <w:pPr>
              <w:ind w:left="24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1,786</w:t>
            </w:r>
          </w:p>
        </w:tc>
        <w:tc>
          <w:tcPr>
            <w:tcW w:w="60" w:type="dxa"/>
            <w:vAlign w:val="bottom"/>
          </w:tcPr>
          <w:p>
            <w:pPr>
              <w:spacing w:after="0"/>
              <w:rPr>
                <w:sz w:val="17"/>
                <w:szCs w:val="17"/>
                <w:color w:val="auto"/>
              </w:rPr>
            </w:pP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1,437</w:t>
            </w:r>
          </w:p>
        </w:tc>
      </w:tr>
      <w:tr>
        <w:trPr>
          <w:trHeight w:val="203"/>
        </w:trPr>
        <w:tc>
          <w:tcPr>
            <w:tcW w:w="3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long-term</w:t>
            </w:r>
          </w:p>
        </w:tc>
        <w:tc>
          <w:tcPr>
            <w:tcW w:w="29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854</w:t>
            </w:r>
          </w:p>
        </w:tc>
        <w:tc>
          <w:tcPr>
            <w:tcW w:w="6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r>
      <w:tr>
        <w:trPr>
          <w:trHeight w:val="196"/>
        </w:trPr>
        <w:tc>
          <w:tcPr>
            <w:tcW w:w="3340" w:type="dxa"/>
            <w:vAlign w:val="bottom"/>
          </w:tcPr>
          <w:p>
            <w:pPr>
              <w:ind w:left="260"/>
              <w:spacing w:after="0" w:line="196" w:lineRule="exact"/>
              <w:rPr>
                <w:sz w:val="20"/>
                <w:szCs w:val="20"/>
                <w:color w:val="auto"/>
              </w:rPr>
            </w:pPr>
            <w:r>
              <w:rPr>
                <w:rFonts w:ascii="Arial" w:cs="Arial" w:eastAsia="Arial" w:hAnsi="Arial"/>
                <w:sz w:val="18"/>
                <w:szCs w:val="18"/>
                <w:color w:val="auto"/>
              </w:rPr>
              <w:t>Total operating lease liabilities</w:t>
            </w:r>
          </w:p>
        </w:tc>
        <w:tc>
          <w:tcPr>
            <w:tcW w:w="29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2,640</w:t>
            </w:r>
          </w:p>
        </w:tc>
        <w:tc>
          <w:tcPr>
            <w:tcW w:w="60" w:type="dxa"/>
            <w:vAlign w:val="bottom"/>
          </w:tcPr>
          <w:p>
            <w:pPr>
              <w:spacing w:after="0"/>
              <w:rPr>
                <w:sz w:val="17"/>
                <w:szCs w:val="17"/>
                <w:color w:val="auto"/>
              </w:rPr>
            </w:pPr>
          </w:p>
        </w:tc>
        <w:tc>
          <w:tcPr>
            <w:tcW w:w="5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2,519</w:t>
            </w:r>
          </w:p>
        </w:tc>
      </w:tr>
      <w:tr>
        <w:trPr>
          <w:trHeight w:val="20"/>
        </w:trPr>
        <w:tc>
          <w:tcPr>
            <w:tcW w:w="3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Supplemental cash flow information related to operating leases was as follows:</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 2024</w:t>
            </w:r>
          </w:p>
        </w:tc>
        <w:tc>
          <w:tcPr>
            <w:tcW w:w="200" w:type="dxa"/>
            <w:vAlign w:val="bottom"/>
          </w:tcPr>
          <w:p>
            <w:pPr>
              <w:spacing w:after="0"/>
              <w:rPr>
                <w:sz w:val="14"/>
                <w:szCs w:val="14"/>
                <w:color w:val="auto"/>
              </w:rPr>
            </w:pPr>
          </w:p>
        </w:tc>
        <w:tc>
          <w:tcPr>
            <w:tcW w:w="1200" w:type="dxa"/>
            <w:vAlign w:val="bottom"/>
          </w:tcPr>
          <w:p>
            <w:pPr>
              <w:jc w:val="right"/>
              <w:ind w:right="96"/>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59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cash flows from operating leases</w:t>
            </w: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1,075</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922</w:t>
            </w:r>
          </w:p>
        </w:tc>
      </w:tr>
      <w:tr>
        <w:trPr>
          <w:trHeight w:val="239"/>
        </w:trPr>
        <w:tc>
          <w:tcPr>
            <w:tcW w:w="5940" w:type="dxa"/>
            <w:vAlign w:val="bottom"/>
          </w:tcPr>
          <w:p>
            <w:pPr>
              <w:ind w:left="2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1,254</w:t>
            </w:r>
          </w:p>
        </w:tc>
        <w:tc>
          <w:tcPr>
            <w:tcW w:w="1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615</w:t>
            </w:r>
          </w:p>
        </w:tc>
      </w:tr>
    </w:tbl>
    <w:p>
      <w:pPr>
        <w:spacing w:after="0" w:line="323"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Future payments under noncancelable operating leases with initial terms of one year or more as of June 30, 2024, consisted of the following:</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221"/>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Years ending December 31,</w:t>
            </w: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2024 (excluding the six months ended June 30, 2024)</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1,047</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2025</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1,250</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2026</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w:t>
            </w:r>
          </w:p>
        </w:tc>
      </w:tr>
      <w:tr>
        <w:trPr>
          <w:trHeight w:val="203"/>
        </w:trPr>
        <w:tc>
          <w:tcPr>
            <w:tcW w:w="7720" w:type="dxa"/>
            <w:vAlign w:val="bottom"/>
          </w:tcPr>
          <w:p>
            <w:pPr>
              <w:ind w:left="120"/>
              <w:spacing w:after="0" w:line="202" w:lineRule="exact"/>
              <w:rPr>
                <w:sz w:val="20"/>
                <w:szCs w:val="20"/>
                <w:color w:val="auto"/>
              </w:rPr>
            </w:pPr>
            <w:r>
              <w:rPr>
                <w:rFonts w:ascii="Arial" w:cs="Arial" w:eastAsia="Arial" w:hAnsi="Arial"/>
                <w:sz w:val="18"/>
                <w:szCs w:val="18"/>
                <w:color w:val="auto"/>
              </w:rPr>
              <w:t>2027</w:t>
            </w:r>
          </w:p>
        </w:tc>
        <w:tc>
          <w:tcPr>
            <w:tcW w:w="3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77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2028</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77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7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2,804</w:t>
            </w:r>
          </w:p>
        </w:tc>
      </w:tr>
      <w:tr>
        <w:trPr>
          <w:trHeight w:val="216"/>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196"/>
        </w:trPr>
        <w:tc>
          <w:tcPr>
            <w:tcW w:w="77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lease liabilities</w:t>
            </w: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2,640</w:t>
            </w:r>
          </w:p>
        </w:tc>
      </w:tr>
      <w:tr>
        <w:trPr>
          <w:trHeight w:val="20"/>
        </w:trPr>
        <w:tc>
          <w:tcPr>
            <w:tcW w:w="7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From time to time, the Company is subject to claims and suits arising in the ordinary course of business. The Company accrues such liabilities when they are known, if they are deemed probable and can be reasonably estimated. As of June 30, 2024, there were no material claims or suits outstanding.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6399" w:hanging="650"/>
        <w:spacing w:after="0" w:line="513" w:lineRule="auto"/>
        <w:tabs>
          <w:tab w:leader="none" w:pos="352"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holders of common stock are entitled to one vote for each share held on all matters submitted to a vote of the Company’s stockholders. The holders of common stock do not have any cumulative voting rights. Holders of common stock are entitled to receive any dividends declared by the Company’s board of directors out of funds legally available for that purpose, subject to any preferential dividend rights of any outstanding preferred stock. The Company’s common stock has no preemptive rights, conversion rights or other subscription rights or redemption or sinking fund provisions.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 Program</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the Company’s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2024, and 2023, no shares of common stock were repurchased and cancelled by the Company. As of June 30, 2024, the remaining amount of common stock authorized for repurchases was $150,000.</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STOCK INCENTIVE PLAN AND STOCK-BASED COMPENSATION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2020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2020, the Company adopted, and its stockholders approved, the 2020 Incentive Award Plan (the “2020 Plan”), in order to facilitate the grant of cash and equity incentives to directors, employees (including the Company’s named executive officers) and consultants of the Company and its subsidiaries. The 2020 Plan provides for the grant of stock options, including incentive stock options (“ISOs”) and non-qualified stock options (“NSOs”), SARs, restricted stock, dividend equivalents, restricted stock units (“RSUs”) and other stock or cash-based awards.</w:t>
      </w:r>
    </w:p>
    <w:p>
      <w:pPr>
        <w:spacing w:after="0" w:line="17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Stock options and stock appreciation rights under the 2020 Plan have a 10-year contractual term and vest over the vesting period specified in the applicable award agreement, at achievement of a performance requirement, or upon change of control (as defined in the applicable plan). RSUs vest over the vesting period specified in the applicable award agreement, at achievement of a performance requirement, or upon change of control (as defined in the applicable plan). As of June 30, 2024, there were 7,654,586 shares of common stock available for issuance under the 2020 Plan. The number of shares that may be issued under the 2020 Plan automatically increases on January 1 of each year in an amount equal to the lesser of (i) 4.0% of the shares of the Company’s common stock outstanding on December 31 of the preceding year or (ii) an amount determined by the Company’s board of directors.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2017 Stock Incentive Plan</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August 2017, the Company adopted an equity incentive plan (the “2017 Plan”). Under the 2017 Plan, directors, officers, employees, consultants, and advisors of the Company can be paid incentive compensation measured by the value of the Company’s shares of common stock through grants of stock options, stock appreciation rights (“SARs”), or restricted stock. Following the adoption of the 2020 Plan, no further grants have been, or will be, made under the 2017 Plan. However, the 2017 Plan will continue to govern the terms and conditions of outstanding awards granted under it.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stock option activity for the six months ended June 30,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8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Number of</w:t>
            </w: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488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Awards</w:t>
            </w:r>
          </w:p>
        </w:tc>
        <w:tc>
          <w:tcPr>
            <w:tcW w:w="100" w:type="dxa"/>
            <w:vAlign w:val="bottom"/>
          </w:tcPr>
          <w:p>
            <w:pPr>
              <w:spacing w:after="0"/>
              <w:rPr>
                <w:sz w:val="14"/>
                <w:szCs w:val="1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4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6,316,422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32.47</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7.17</w:t>
            </w: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1,307,396</w:t>
            </w:r>
          </w:p>
        </w:tc>
        <w:tc>
          <w:tcPr>
            <w:tcW w:w="16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30.51</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8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11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(46,996)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8.97</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4880" w:type="dxa"/>
            <w:vAlign w:val="bottom"/>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11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(27,791)</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37.14</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48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2024</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7,549,031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7.20</w:t>
            </w:r>
          </w:p>
        </w:tc>
        <w:tc>
          <w:tcPr>
            <w:tcW w:w="2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27,893</w:t>
            </w: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88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exercisable—June 30, 2024</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3,772,766</w:t>
            </w:r>
          </w:p>
        </w:tc>
        <w:tc>
          <w:tcPr>
            <w:tcW w:w="160" w:type="dxa"/>
            <w:vAlign w:val="bottom"/>
          </w:tcPr>
          <w:p>
            <w:pPr>
              <w:spacing w:after="0"/>
              <w:rPr>
                <w:sz w:val="15"/>
                <w:szCs w:val="15"/>
                <w:color w:val="auto"/>
              </w:rPr>
            </w:pPr>
          </w:p>
        </w:tc>
        <w:tc>
          <w:tcPr>
            <w:tcW w:w="100" w:type="dxa"/>
            <w:vAlign w:val="bottom"/>
          </w:tcPr>
          <w:p>
            <w:pPr>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30.50</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6.30</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21,050</w:t>
            </w:r>
          </w:p>
        </w:tc>
      </w:tr>
      <w:tr>
        <w:trPr>
          <w:trHeight w:val="20"/>
        </w:trPr>
        <w:tc>
          <w:tcPr>
            <w:tcW w:w="48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Appreciation Rights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SARs activity for the six months ended June 30, 2024:</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5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Average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5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Intrinsic</w:t>
            </w:r>
          </w:p>
        </w:tc>
      </w:tr>
      <w:tr>
        <w:trPr>
          <w:trHeight w:val="171"/>
        </w:trPr>
        <w:tc>
          <w:tcPr>
            <w:tcW w:w="5100" w:type="dxa"/>
            <w:vAlign w:val="bottom"/>
          </w:tcPr>
          <w:p>
            <w:pPr>
              <w:spacing w:after="0"/>
              <w:rPr>
                <w:sz w:val="14"/>
                <w:szCs w:val="14"/>
                <w:color w:val="auto"/>
              </w:rPr>
            </w:pPr>
          </w:p>
        </w:tc>
        <w:tc>
          <w:tcPr>
            <w:tcW w:w="720" w:type="dxa"/>
            <w:vAlign w:val="bottom"/>
          </w:tcPr>
          <w:p>
            <w:pPr>
              <w:jc w:val="right"/>
              <w:ind w:right="15"/>
              <w:spacing w:after="0"/>
              <w:rPr>
                <w:sz w:val="20"/>
                <w:szCs w:val="20"/>
                <w:color w:val="auto"/>
              </w:rPr>
            </w:pPr>
            <w:r>
              <w:rPr>
                <w:rFonts w:ascii="Arial" w:cs="Arial" w:eastAsia="Arial" w:hAnsi="Arial"/>
                <w:sz w:val="14"/>
                <w:szCs w:val="14"/>
                <w:b w:val="1"/>
                <w:bCs w:val="1"/>
                <w:color w:val="auto"/>
              </w:rPr>
              <w:t>Awards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Term</w:t>
            </w:r>
          </w:p>
        </w:tc>
        <w:tc>
          <w:tcPr>
            <w:tcW w:w="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000's)</w:t>
            </w:r>
          </w:p>
        </w:tc>
      </w:tr>
      <w:tr>
        <w:trPr>
          <w:trHeight w:val="196"/>
        </w:trPr>
        <w:tc>
          <w:tcPr>
            <w:tcW w:w="51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outstanding—December 31, 2023</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5.32</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Awards issued</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Awards exercised</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Awards forfeited</w:t>
            </w: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ind w:left="18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spacing w:after="0"/>
              <w:rPr>
                <w:sz w:val="17"/>
                <w:szCs w:val="17"/>
                <w:color w:val="auto"/>
              </w:rPr>
            </w:pPr>
          </w:p>
        </w:tc>
      </w:tr>
      <w:tr>
        <w:trPr>
          <w:trHeight w:val="196"/>
        </w:trPr>
        <w:tc>
          <w:tcPr>
            <w:tcW w:w="51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Awards outstanding—June 30, 2024</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43,208</w:t>
            </w:r>
          </w:p>
        </w:tc>
        <w:tc>
          <w:tcPr>
            <w:tcW w:w="280" w:type="dxa"/>
            <w:vAlign w:val="bottom"/>
            <w:tcBorders>
              <w:bottom w:val="single" w:sz="8" w:color="CCEEFF"/>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9.38</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4.83</w:t>
            </w:r>
          </w:p>
        </w:tc>
        <w:tc>
          <w:tcPr>
            <w:tcW w:w="28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887</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5100" w:type="dxa"/>
            <w:vAlign w:val="bottom"/>
          </w:tcPr>
          <w:p>
            <w:pPr>
              <w:ind w:left="20"/>
              <w:spacing w:after="0" w:line="183" w:lineRule="exact"/>
              <w:rPr>
                <w:sz w:val="20"/>
                <w:szCs w:val="20"/>
                <w:color w:val="auto"/>
              </w:rPr>
            </w:pPr>
            <w:r>
              <w:rPr>
                <w:rFonts w:ascii="Arial" w:cs="Arial" w:eastAsia="Arial" w:hAnsi="Arial"/>
                <w:sz w:val="18"/>
                <w:szCs w:val="18"/>
                <w:color w:val="auto"/>
              </w:rPr>
              <w:t>Awards exercisable—June 30, 2024</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39,556</w:t>
            </w:r>
          </w:p>
        </w:tc>
        <w:tc>
          <w:tcPr>
            <w:tcW w:w="280" w:type="dxa"/>
            <w:vAlign w:val="bottom"/>
            <w:gridSpan w:val="2"/>
          </w:tcPr>
          <w:p>
            <w:pPr>
              <w:ind w:left="18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8.98</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4.72</w:t>
            </w:r>
          </w:p>
        </w:tc>
        <w:tc>
          <w:tcPr>
            <w:tcW w:w="2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827</w:t>
            </w:r>
          </w:p>
        </w:tc>
      </w:tr>
      <w:tr>
        <w:trPr>
          <w:trHeight w:val="20"/>
        </w:trPr>
        <w:tc>
          <w:tcPr>
            <w:tcW w:w="5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Restricted Stock Units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RSU activity for the six months ended June 30, 2024:</w:t>
      </w:r>
    </w:p>
    <w:p>
      <w:pPr>
        <w:spacing w:after="0" w:line="38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68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Grant Date</w:t>
            </w:r>
          </w:p>
        </w:tc>
      </w:tr>
      <w:tr>
        <w:trPr>
          <w:trHeight w:val="171"/>
        </w:trPr>
        <w:tc>
          <w:tcPr>
            <w:tcW w:w="68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Awards</w:t>
            </w:r>
          </w:p>
        </w:tc>
        <w:tc>
          <w:tcPr>
            <w:tcW w:w="2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Awards outstanding—December 31, 2023</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330,000</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31.53</w:t>
            </w:r>
          </w:p>
        </w:tc>
      </w:tr>
      <w:tr>
        <w:trPr>
          <w:trHeight w:val="203"/>
        </w:trPr>
        <w:tc>
          <w:tcPr>
            <w:tcW w:w="6800" w:type="dxa"/>
            <w:vAlign w:val="bottom"/>
          </w:tcPr>
          <w:p>
            <w:pPr>
              <w:spacing w:after="0" w:line="202" w:lineRule="exact"/>
              <w:rPr>
                <w:sz w:val="20"/>
                <w:szCs w:val="20"/>
                <w:color w:val="auto"/>
              </w:rPr>
            </w:pPr>
            <w:r>
              <w:rPr>
                <w:rFonts w:ascii="Arial" w:cs="Arial" w:eastAsia="Arial" w:hAnsi="Arial"/>
                <w:sz w:val="18"/>
                <w:szCs w:val="18"/>
                <w:color w:val="auto"/>
              </w:rPr>
              <w:t>Awards issued</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464,600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30.62</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Awards vested</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29.03</w:t>
            </w:r>
          </w:p>
        </w:tc>
      </w:tr>
      <w:tr>
        <w:trPr>
          <w:trHeight w:val="203"/>
        </w:trPr>
        <w:tc>
          <w:tcPr>
            <w:tcW w:w="680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Awards forfeited</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(3,250)</w:t>
            </w:r>
          </w:p>
        </w:tc>
        <w:tc>
          <w:tcPr>
            <w:tcW w:w="30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line="202" w:lineRule="exact"/>
              <w:rPr>
                <w:sz w:val="20"/>
                <w:szCs w:val="20"/>
                <w:color w:val="auto"/>
              </w:rPr>
            </w:pPr>
            <w:r>
              <w:rPr>
                <w:rFonts w:ascii="Arial" w:cs="Arial" w:eastAsia="Arial" w:hAnsi="Arial"/>
                <w:sz w:val="18"/>
                <w:szCs w:val="18"/>
                <w:color w:val="auto"/>
              </w:rPr>
              <w:t>30.69</w:t>
            </w:r>
          </w:p>
        </w:tc>
      </w:tr>
      <w:tr>
        <w:trPr>
          <w:trHeight w:val="196"/>
        </w:trPr>
        <w:tc>
          <w:tcPr>
            <w:tcW w:w="68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Awards outstanding—June 30, 2024</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776,350</w:t>
            </w:r>
          </w:p>
        </w:tc>
        <w:tc>
          <w:tcPr>
            <w:tcW w:w="3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31.03</w:t>
            </w:r>
          </w:p>
        </w:tc>
      </w:tr>
      <w:tr>
        <w:trPr>
          <w:trHeight w:val="20"/>
        </w:trPr>
        <w:tc>
          <w:tcPr>
            <w:tcW w:w="6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Stock Options and SARs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The Company values options and SARs using the Black-Scholes option-pricing model. The Company lacks sufficient historical company-specific volatility information. Therefore, the Company estimates expected stock volatility based on historical volatility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for awards that qualify as “plain-vanilla” options. For SARs, the expected term is based</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upon the weighting of certain future events. The risk-free interest rate is determined by reference to the U.S. Treasury yield curve in effect at the time of grant of the award for the time periods approximately equal to the expected term of the award. An expected dividend yield of 0% is based on the fact that the Company has never paid cash dividends and does not expect to do so in the foreseeable future.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assumptions used to value the awards are summarized in the following table.</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57"/>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146"/>
        </w:trPr>
        <w:tc>
          <w:tcPr>
            <w:tcW w:w="6200" w:type="dxa"/>
            <w:vAlign w:val="bottom"/>
          </w:tcPr>
          <w:p>
            <w:pPr>
              <w:spacing w:after="0"/>
              <w:rPr>
                <w:sz w:val="12"/>
                <w:szCs w:val="12"/>
                <w:color w:val="auto"/>
              </w:rPr>
            </w:pPr>
          </w:p>
        </w:tc>
        <w:tc>
          <w:tcPr>
            <w:tcW w:w="1400" w:type="dxa"/>
            <w:vAlign w:val="bottom"/>
            <w:gridSpan w:val="2"/>
          </w:tcPr>
          <w:p>
            <w:pPr>
              <w:jc w:val="right"/>
              <w:ind w:right="499"/>
              <w:spacing w:after="0" w:line="147" w:lineRule="exact"/>
              <w:rPr>
                <w:sz w:val="20"/>
                <w:szCs w:val="20"/>
                <w:color w:val="auto"/>
              </w:rPr>
            </w:pPr>
            <w:r>
              <w:rPr>
                <w:rFonts w:ascii="Arial" w:cs="Arial" w:eastAsia="Arial" w:hAnsi="Arial"/>
                <w:sz w:val="14"/>
                <w:szCs w:val="14"/>
                <w:b w:val="1"/>
                <w:bCs w:val="1"/>
                <w:color w:val="auto"/>
              </w:rPr>
              <w:t>June 30,</w:t>
            </w:r>
          </w:p>
        </w:tc>
        <w:tc>
          <w:tcPr>
            <w:tcW w:w="1300" w:type="dxa"/>
            <w:vAlign w:val="bottom"/>
            <w:gridSpan w:val="3"/>
          </w:tcPr>
          <w:p>
            <w:pPr>
              <w:jc w:val="right"/>
              <w:ind w:right="19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2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4"/>
                <w:szCs w:val="14"/>
                <w:color w:val="auto"/>
              </w:rPr>
            </w:pP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Dividend yield</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jc w:val="right"/>
              <w:ind w:right="39"/>
              <w:spacing w:after="0" w:line="196" w:lineRule="exact"/>
              <w:rPr>
                <w:sz w:val="20"/>
                <w:szCs w:val="20"/>
                <w:color w:val="auto"/>
              </w:rPr>
            </w:pPr>
            <w:r>
              <w:rPr>
                <w:rFonts w:ascii="Arial" w:cs="Arial" w:eastAsia="Arial" w:hAnsi="Arial"/>
                <w:sz w:val="18"/>
                <w:szCs w:val="18"/>
                <w:color w:val="auto"/>
                <w:w w:val="87"/>
              </w:rPr>
              <w:t>%</w:t>
            </w:r>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4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w w:val="99"/>
              </w:rPr>
              <w:t>69.84 - 72.98 %</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w w:val="97"/>
              </w:rPr>
              <w:t>74.87</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- 80.78 %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1400" w:type="dxa"/>
            <w:vAlign w:val="bottom"/>
            <w:gridSpan w:val="2"/>
            <w:shd w:val="clear" w:color="auto" w:fill="CCEEFF"/>
          </w:tcPr>
          <w:p>
            <w:pPr>
              <w:jc w:val="right"/>
              <w:ind w:right="39"/>
              <w:spacing w:after="0" w:line="202" w:lineRule="exact"/>
              <w:rPr>
                <w:sz w:val="20"/>
                <w:szCs w:val="20"/>
                <w:color w:val="auto"/>
              </w:rPr>
            </w:pPr>
            <w:r>
              <w:rPr>
                <w:rFonts w:ascii="Arial" w:cs="Arial" w:eastAsia="Arial" w:hAnsi="Arial"/>
                <w:sz w:val="18"/>
                <w:szCs w:val="18"/>
                <w:color w:val="auto"/>
              </w:rPr>
              <w:t>4.06 - 4.65 %</w:t>
            </w:r>
          </w:p>
        </w:tc>
        <w:tc>
          <w:tcPr>
            <w:tcW w:w="130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3.42 - 4.62 %</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Lack of marketability discount</w:t>
            </w:r>
          </w:p>
        </w:tc>
        <w:tc>
          <w:tcPr>
            <w:tcW w:w="140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0.00 %</w:t>
            </w:r>
          </w:p>
        </w:tc>
        <w:tc>
          <w:tcPr>
            <w:tcW w:w="48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0.00 %</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term (years)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2.04 - 6.11</w:t>
            </w: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- 10.77</w:t>
            </w:r>
          </w:p>
        </w:tc>
        <w:tc>
          <w:tcPr>
            <w:tcW w:w="180" w:type="dxa"/>
            <w:vAlign w:val="bottom"/>
            <w:shd w:val="clear" w:color="auto" w:fill="CCEEFF"/>
          </w:tcPr>
          <w:p>
            <w:pPr>
              <w:spacing w:after="0"/>
              <w:rPr>
                <w:sz w:val="17"/>
                <w:szCs w:val="17"/>
                <w:color w:val="auto"/>
              </w:rPr>
            </w:pPr>
          </w:p>
        </w:tc>
      </w:tr>
    </w:tbl>
    <w:p>
      <w:pPr>
        <w:spacing w:after="0" w:line="40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Value of RSUs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RSUs is equal to the value of the Company’s common stock on the grant date.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The weighted average per share fair value of awards issued under the 2017 Plan and 2020 Plan was $21.24 and $20.64 on June 30, 2024, and December 31, 2023, respectively.</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 Expense</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Stock-based compensation expense for the three and six months ended June 30, 2024, and 2023, was recorded in the unaudited condensed consolidated statements of operations and comprehensive income in the following line items: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206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58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2024</w:t>
            </w:r>
          </w:p>
        </w:tc>
        <w:tc>
          <w:tcPr>
            <w:tcW w:w="20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4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 expense</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1,683</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3,054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1,932</w:t>
            </w:r>
          </w:p>
        </w:tc>
      </w:tr>
      <w:tr>
        <w:trPr>
          <w:trHeight w:val="203"/>
        </w:trPr>
        <w:tc>
          <w:tcPr>
            <w:tcW w:w="4580" w:type="dxa"/>
            <w:vAlign w:val="bottom"/>
          </w:tcPr>
          <w:p>
            <w:pPr>
              <w:ind w:left="20"/>
              <w:spacing w:after="0" w:line="202" w:lineRule="exact"/>
              <w:rPr>
                <w:sz w:val="20"/>
                <w:szCs w:val="20"/>
                <w:color w:val="auto"/>
              </w:rPr>
            </w:pPr>
            <w:r>
              <w:rPr>
                <w:rFonts w:ascii="Arial" w:cs="Arial" w:eastAsia="Arial" w:hAnsi="Arial"/>
                <w:sz w:val="18"/>
                <w:szCs w:val="18"/>
                <w:color w:val="auto"/>
              </w:rPr>
              <w:t>Sales and marketing expense</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2,100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4,094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2,219</w:t>
            </w:r>
          </w:p>
        </w:tc>
      </w:tr>
      <w:tr>
        <w:trPr>
          <w:trHeight w:val="203"/>
        </w:trPr>
        <w:tc>
          <w:tcPr>
            <w:tcW w:w="45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 expense</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7,180</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5,691</w:t>
            </w:r>
          </w:p>
        </w:tc>
        <w:tc>
          <w:tcPr>
            <w:tcW w:w="16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14,249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10,203</w:t>
            </w:r>
          </w:p>
        </w:tc>
      </w:tr>
      <w:tr>
        <w:trPr>
          <w:trHeight w:val="196"/>
        </w:trPr>
        <w:tc>
          <w:tcPr>
            <w:tcW w:w="4580" w:type="dxa"/>
            <w:vAlign w:val="bottom"/>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10,963</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7,793</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21,397</w:t>
            </w:r>
          </w:p>
        </w:tc>
        <w:tc>
          <w:tcPr>
            <w:tcW w:w="2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14,354</w:t>
            </w:r>
          </w:p>
        </w:tc>
      </w:tr>
      <w:tr>
        <w:trPr>
          <w:trHeight w:val="20"/>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8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Stock-based compensation expense related to options and RSUs issued under the 2017 Plan and 2020 Plan is included in stockholder’s equity, and a liability for SARs is included in other non-current liabilities, in the Company’s unaudited condensed consolidated balance sheet. As of June 30, 2024, the total unrecognized stock-based compensation expense was $68,926 and $19,749 for stock options and RSUs, respectively. This amount will be recognized in the Company’s consolidated statement of operations over a weighted average period of 2.6 years.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2020 Employee Stock Purchase Plan (“ESPP”) was adopted by the Company’s Board of Directors on April 30, 2021. The ESPP permits eligible employees to purchase shares of the Company’s common stock at a 15% discount from the lesser of the fair market value per share of the Company’s common stock on the first day of the offering period or the fair market value of the Company’s common stock on the purchase date. Funds are collected from employees through after-tax payroll deductions. The total number of shares reserved for issuance under the ESPP was initially 629,805, which automatically increases on January 1 of each year in an amount equal to the lesser of (i) 1.0% of the shares of the Company’s common stock outstanding 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20"/>
        <w:spacing w:after="0" w:line="242" w:lineRule="auto"/>
        <w:rPr>
          <w:sz w:val="20"/>
          <w:szCs w:val="20"/>
          <w:color w:val="auto"/>
        </w:rPr>
      </w:pPr>
      <w:r>
        <w:rPr>
          <w:rFonts w:ascii="Arial" w:cs="Arial" w:eastAsia="Arial" w:hAnsi="Arial"/>
          <w:sz w:val="18"/>
          <w:szCs w:val="18"/>
          <w:color w:val="auto"/>
        </w:rPr>
        <w:t>December 31 of the preceding year or (ii) an amount determined by the Company’s board of directors. It is intended that the ESPP meet the requirements for an “employee stock purchase plan” under Section 423 of the Internal Revenue Code. There were 10,707 and 14,043 shares issued under the ESPP for each of the three and six months ended June 30, 2024, and 2023, respectively. The discount on the ESPP was $78 and $103 for the three months ended June 30, 2024, and 2023, respectively, and $158 and $208 for the six months ended June 30, 2024, and 2023, respectively, and is recorded within stock-based compensation expense.</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212" w:lineRule="exact"/>
        <w:rPr>
          <w:sz w:val="20"/>
          <w:szCs w:val="20"/>
          <w:color w:val="auto"/>
        </w:rPr>
      </w:pPr>
    </w:p>
    <w:p>
      <w:pPr>
        <w:jc w:val="both"/>
        <w:ind w:left="60" w:right="320" w:firstLine="648"/>
        <w:spacing w:after="0" w:line="244" w:lineRule="auto"/>
        <w:rPr>
          <w:sz w:val="20"/>
          <w:szCs w:val="20"/>
          <w:color w:val="auto"/>
        </w:rPr>
      </w:pPr>
      <w:r>
        <w:rPr>
          <w:rFonts w:ascii="Arial" w:cs="Arial" w:eastAsia="Arial" w:hAnsi="Arial"/>
          <w:sz w:val="18"/>
          <w:szCs w:val="18"/>
          <w:color w:val="auto"/>
        </w:rPr>
        <w:t>Basic earnings per share is calculated by dividing net income by the weighted average number of shares of common stock outstanding. Diluted net income per share of common is computed under the treasury stock method by using the weighted average number of shares of common stock outstanding, plus, for periods with net income, the potential dilutive effects of stock options, stock appreciation rights and restricted stock units.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233"/>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36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2023</w:t>
            </w:r>
          </w:p>
        </w:tc>
      </w:tr>
      <w:tr>
        <w:trPr>
          <w:trHeight w:val="196"/>
        </w:trPr>
        <w:tc>
          <w:tcPr>
            <w:tcW w:w="3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03"/>
        </w:trPr>
        <w:tc>
          <w:tcPr>
            <w:tcW w:w="3600" w:type="dxa"/>
            <w:vAlign w:val="bottom"/>
          </w:tcPr>
          <w:p>
            <w:pPr>
              <w:ind w:left="100"/>
              <w:spacing w:after="0" w:line="202" w:lineRule="exact"/>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11,591</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34,300</w:t>
            </w:r>
          </w:p>
        </w:tc>
        <w:tc>
          <w:tcPr>
            <w:tcW w:w="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49,925</w:t>
            </w:r>
          </w:p>
        </w:tc>
        <w:tc>
          <w:tcPr>
            <w:tcW w:w="3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63,785</w:t>
            </w:r>
          </w:p>
        </w:tc>
      </w:tr>
      <w:tr>
        <w:trPr>
          <w:trHeight w:val="203"/>
        </w:trPr>
        <w:tc>
          <w:tcPr>
            <w:tcW w:w="3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Net income per share of common stock -</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0.88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184"/>
        </w:trPr>
        <w:tc>
          <w:tcPr>
            <w:tcW w:w="36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Net income per share of common stock-</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1"/>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184"/>
        </w:trPr>
        <w:tc>
          <w:tcPr>
            <w:tcW w:w="3600" w:type="dxa"/>
            <w:vAlign w:val="bottom"/>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21"/>
        </w:trPr>
        <w:tc>
          <w:tcPr>
            <w:tcW w:w="3600" w:type="dxa"/>
            <w:vAlign w:val="bottom"/>
          </w:tcPr>
          <w:p>
            <w:pPr>
              <w:ind w:left="100"/>
              <w:spacing w:after="0"/>
              <w:rPr>
                <w:sz w:val="20"/>
                <w:szCs w:val="20"/>
                <w:color w:val="auto"/>
              </w:rPr>
            </w:pPr>
            <w:r>
              <w:rPr>
                <w:rFonts w:ascii="Arial" w:cs="Arial" w:eastAsia="Arial" w:hAnsi="Arial"/>
                <w:sz w:val="18"/>
                <w:szCs w:val="18"/>
                <w:color w:val="auto"/>
              </w:rPr>
              <w:t>common stock - basic</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56,802,357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59,974,123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56,786,873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59,853,808</w:t>
            </w:r>
          </w:p>
        </w:tc>
      </w:tr>
      <w:tr>
        <w:trPr>
          <w:trHeight w:val="184"/>
        </w:trPr>
        <w:tc>
          <w:tcPr>
            <w:tcW w:w="36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Weighted average number of shares of</w:t>
            </w: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1"/>
        </w:trPr>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 diluted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57,541,696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60,743,953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57,571,570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60,997,410</w:t>
            </w:r>
          </w:p>
        </w:tc>
      </w:tr>
    </w:tbl>
    <w:p>
      <w:pPr>
        <w:spacing w:after="0" w:line="184" w:lineRule="exact"/>
        <w:rPr>
          <w:sz w:val="20"/>
          <w:szCs w:val="20"/>
          <w:color w:val="auto"/>
        </w:rPr>
      </w:pPr>
    </w:p>
    <w:p>
      <w:pPr>
        <w:jc w:val="both"/>
        <w:ind w:left="60" w:right="320" w:firstLine="648"/>
        <w:spacing w:after="0" w:line="271" w:lineRule="auto"/>
        <w:rPr>
          <w:sz w:val="20"/>
          <w:szCs w:val="20"/>
          <w:color w:val="auto"/>
        </w:rPr>
      </w:pPr>
      <w:r>
        <w:rPr>
          <w:rFonts w:ascii="Arial" w:cs="Arial" w:eastAsia="Arial" w:hAnsi="Arial"/>
          <w:sz w:val="18"/>
          <w:szCs w:val="18"/>
          <w:color w:val="auto"/>
        </w:rPr>
        <w:t>Securities outstanding that were included in the computation above, utilizing the treasury stock method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3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48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2024</w:t>
            </w:r>
          </w:p>
        </w:tc>
        <w:tc>
          <w:tcPr>
            <w:tcW w:w="24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448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 common</w:t>
            </w:r>
          </w:p>
        </w:tc>
        <w:tc>
          <w:tcPr>
            <w:tcW w:w="9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739,339</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769,830</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784,697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1,143,602</w:t>
            </w:r>
          </w:p>
        </w:tc>
      </w:tr>
    </w:tbl>
    <w:p>
      <w:pPr>
        <w:spacing w:after="0" w:line="184" w:lineRule="exact"/>
        <w:rPr>
          <w:sz w:val="20"/>
          <w:szCs w:val="20"/>
          <w:color w:val="auto"/>
        </w:rPr>
      </w:pPr>
    </w:p>
    <w:p>
      <w:pPr>
        <w:jc w:val="both"/>
        <w:ind w:left="60" w:right="340" w:firstLine="648"/>
        <w:spacing w:after="0" w:line="271" w:lineRule="auto"/>
        <w:rPr>
          <w:sz w:val="20"/>
          <w:szCs w:val="20"/>
          <w:color w:val="auto"/>
        </w:rPr>
      </w:pPr>
      <w:r>
        <w:rPr>
          <w:rFonts w:ascii="Arial" w:cs="Arial" w:eastAsia="Arial" w:hAnsi="Arial"/>
          <w:sz w:val="18"/>
          <w:szCs w:val="18"/>
          <w:color w:val="auto"/>
        </w:rPr>
        <w:t>Potential shares of common stock issuable that were excluded from the computation of diluted weighted-average shares outstanding excluded from the numerator,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84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4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2023</w:t>
            </w:r>
          </w:p>
        </w:tc>
      </w:tr>
      <w:tr>
        <w:trPr>
          <w:trHeight w:val="164"/>
        </w:trPr>
        <w:tc>
          <w:tcPr>
            <w:tcW w:w="484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color w:val="auto"/>
              </w:rPr>
              <w:t>Stock options, SARs, and RSUs to purchase common</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r>
      <w:tr>
        <w:trPr>
          <w:trHeight w:val="22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7,629,250</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5,520,235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7,583,892</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5,146,464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280"/>
          </w:cols>
          <w:pgMar w:left="1440" w:top="512" w:right="117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INCOME TAXES</w:t>
      </w:r>
    </w:p>
    <w:p>
      <w:pPr>
        <w:spacing w:after="0" w:line="212"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8"/>
          <w:szCs w:val="18"/>
          <w:color w:val="auto"/>
        </w:rPr>
        <w:t>A reconciliation between the statutory federal income tax rate and the Company’s effective income tax rate for the three and six months ended June 30, 2024, and 2023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June 30,</w:t>
            </w:r>
          </w:p>
        </w:tc>
        <w:tc>
          <w:tcPr>
            <w:tcW w:w="19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7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2024</w:t>
            </w:r>
          </w:p>
        </w:tc>
        <w:tc>
          <w:tcPr>
            <w:tcW w:w="26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3"/>
                <w:szCs w:val="13"/>
                <w:color w:val="auto"/>
              </w:rPr>
            </w:pPr>
          </w:p>
        </w:tc>
      </w:tr>
      <w:tr>
        <w:trPr>
          <w:trHeight w:val="196"/>
        </w:trPr>
        <w:tc>
          <w:tcPr>
            <w:tcW w:w="47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Federal income tax rate</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(0.7)</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(0.5)</w:t>
            </w: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(0.2)</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(1.5)</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State taxes</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7"/>
                <w:szCs w:val="17"/>
                <w:color w:val="auto"/>
              </w:rPr>
            </w:pP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Credits</w:t>
            </w:r>
          </w:p>
        </w:tc>
        <w:tc>
          <w:tcPr>
            <w:tcW w:w="11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(2.6)</w:t>
            </w:r>
          </w:p>
        </w:tc>
        <w:tc>
          <w:tcPr>
            <w:tcW w:w="10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(2.9)</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Nondeductible IPR&amp;D</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tcPr>
          <w:p>
            <w:pPr>
              <w:ind w:left="20"/>
              <w:spacing w:after="0" w:line="202" w:lineRule="exact"/>
              <w:rPr>
                <w:sz w:val="20"/>
                <w:szCs w:val="20"/>
                <w:color w:val="auto"/>
              </w:rPr>
            </w:pPr>
            <w:r>
              <w:rPr>
                <w:rFonts w:ascii="Arial" w:cs="Arial" w:eastAsia="Arial" w:hAnsi="Arial"/>
                <w:sz w:val="18"/>
                <w:szCs w:val="18"/>
                <w:color w:val="auto"/>
              </w:rPr>
              <w:t>Valuation allowance</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tcPr>
          <w:p>
            <w:pPr>
              <w:spacing w:after="0"/>
              <w:rPr>
                <w:sz w:val="17"/>
                <w:szCs w:val="17"/>
                <w:color w:val="auto"/>
              </w:rPr>
            </w:pPr>
          </w:p>
        </w:tc>
        <w:tc>
          <w:tcPr>
            <w:tcW w:w="10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0.3</w:t>
            </w:r>
          </w:p>
        </w:tc>
        <w:tc>
          <w:tcPr>
            <w:tcW w:w="260" w:type="dxa"/>
            <w:vAlign w:val="bottom"/>
          </w:tcPr>
          <w:p>
            <w:pPr>
              <w:spacing w:after="0"/>
              <w:rPr>
                <w:sz w:val="17"/>
                <w:szCs w:val="17"/>
                <w:color w:val="auto"/>
              </w:rPr>
            </w:pPr>
          </w:p>
        </w:tc>
        <w:tc>
          <w:tcPr>
            <w:tcW w:w="94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7"/>
                <w:szCs w:val="17"/>
                <w:color w:val="auto"/>
              </w:rPr>
            </w:pPr>
          </w:p>
        </w:tc>
      </w:tr>
      <w:tr>
        <w:trPr>
          <w:trHeight w:val="196"/>
        </w:trPr>
        <w:tc>
          <w:tcPr>
            <w:tcW w:w="476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46.6</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32.1</w:t>
            </w:r>
          </w:p>
        </w:tc>
        <w:tc>
          <w:tcPr>
            <w:tcW w:w="260" w:type="dxa"/>
            <w:vAlign w:val="bottom"/>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22.1</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47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RELATED-PARTY TRANSACTIONS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The Company was party to a management agreement for professional services provided by a related party, Paragon Biosciences, LLC (“Paragon”). Paragon is an entity that shares common ownership with the Company. In addition, the Chairman of the Company’s board of directors is the Founder, Chairman and CEO of Paragon. The Company is also party to a right of use agreement with Paragon whereby it has access to and the right to use certain office space leased by Paragon in Chicago, IL. The Company incurred $72 and $74 for the three months ended June 30, 2024, and 2023, respectively, and incurred $145 and $145 for the six months ended June 30, 2024, and 2023, respectively, in expenses to Paragon, which are included in general and administrative in the unaudited condensed consolidated statements of operations and comprehensive loss. As of June 30, 2024, and December 31, 2023, there were no amounts due to or due from related parties included in the unaudited condensed consolidated balance sheets.</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and financial position, business strategy, products, prospective products, product approvals, research and development costs, anticipated timing and likelihood of success of clinical trials, expected timing of the release of clinical trial data,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Important factors that could cause such differences include, but are not limited to, statements about:</w:t>
      </w:r>
    </w:p>
    <w:p>
      <w:pPr>
        <w:spacing w:after="0" w:line="180"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efforts and strategy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pitolisant in additional indications, if approved, and any other product candidates we may develop or acquire, if approved;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research and development plans, including our plans to explore the therapeutic potential of pitolisant in additional indications;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ongoing and planned clinical trials;</w:t>
      </w:r>
    </w:p>
    <w:p>
      <w:pPr>
        <w:spacing w:after="0" w:line="224" w:lineRule="exact"/>
        <w:rPr>
          <w:rFonts w:ascii="Times New Roman" w:cs="Times New Roman" w:eastAsia="Times New Roman" w:hAnsi="Times New Roman"/>
          <w:sz w:val="18"/>
          <w:szCs w:val="18"/>
          <w:color w:val="auto"/>
        </w:rPr>
      </w:pPr>
    </w:p>
    <w:p>
      <w:pPr>
        <w:ind w:left="1040" w:right="939" w:hanging="315"/>
        <w:spacing w:after="0" w:line="285"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the scope of our license agreements with Bioprojet Soci</w:t>
      </w:r>
      <w:r>
        <w:rPr>
          <w:rFonts w:ascii="Times New Roman" w:cs="Times New Roman" w:eastAsia="Times New Roman" w:hAnsi="Times New Roman"/>
          <w:sz w:val="18"/>
          <w:szCs w:val="18"/>
          <w:color w:val="auto"/>
        </w:rPr>
        <w:t>é</w:t>
      </w:r>
      <w:r>
        <w:rPr>
          <w:rFonts w:ascii="Arial" w:cs="Arial" w:eastAsia="Arial" w:hAnsi="Arial"/>
          <w:sz w:val="18"/>
          <w:szCs w:val="18"/>
          <w:color w:val="auto"/>
        </w:rPr>
        <w:t>t</w:t>
      </w:r>
      <w:r>
        <w:rPr>
          <w:rFonts w:ascii="Times New Roman" w:cs="Times New Roman" w:eastAsia="Times New Roman" w:hAnsi="Times New Roman"/>
          <w:sz w:val="18"/>
          <w:szCs w:val="18"/>
          <w:color w:val="auto"/>
        </w:rPr>
        <w:t>é</w:t>
      </w:r>
      <w:r>
        <w:rPr>
          <w:rFonts w:ascii="Arial" w:cs="Arial" w:eastAsia="Arial" w:hAnsi="Arial"/>
          <w:sz w:val="18"/>
          <w:szCs w:val="18"/>
          <w:color w:val="auto"/>
        </w:rPr>
        <w:t xml:space="preserve"> Civile de Recherche (</w:t>
      </w:r>
      <w:r>
        <w:rPr>
          <w:rFonts w:ascii="Times New Roman" w:cs="Times New Roman" w:eastAsia="Times New Roman" w:hAnsi="Times New Roman"/>
          <w:sz w:val="18"/>
          <w:szCs w:val="18"/>
          <w:color w:val="auto"/>
        </w:rPr>
        <w:t>“</w:t>
      </w:r>
      <w:r>
        <w:rPr>
          <w:rFonts w:ascii="Arial" w:cs="Arial" w:eastAsia="Arial" w:hAnsi="Arial"/>
          <w:sz w:val="18"/>
          <w:szCs w:val="18"/>
          <w:color w:val="auto"/>
        </w:rPr>
        <w:t>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favorable insurance coverage and reimbursement for WAKIX;</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regulatory approvals for pitolisant for other indications as well as any other product candidates;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expenses, future revenue, capital requirements and additional financing needs;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identify, acquire and integrate additional products or product candidates with significant commercial potential that are consistent with our commercial objectives;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competition in our industry;</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intellectual property position;</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loss or retirement of key members of management;</w:t>
      </w:r>
    </w:p>
    <w:p>
      <w:pPr>
        <w:spacing w:after="0" w:line="22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successfully execute our growth strategy, including any delays in our planned future growth;</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maintain effective internal controls;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government laws and regulations.</w:t>
      </w:r>
    </w:p>
    <w:p>
      <w:pPr>
        <w:spacing w:after="0" w:line="224"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 in our most recent Annual Report on Form 10-K entitled “Item 1A. Risk Factors” and the sections in this Quarterly Report on Form 10-Q titled “Risk Factors” and “Management’s Discussion and Analysis of Financial Condition and Results of Operations.”</w:t>
      </w:r>
    </w:p>
    <w:p>
      <w:pPr>
        <w:spacing w:after="0" w:line="186"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Unless otherwise indicated, information contained in this Quarterly Report on Form 10-Q concerning our industry, including industry statistics and forecasts, competitive position and the markets in which we operate is based on information from independent industry and research organizations, other third-party sources and management estimates. Management estimates are derived from publicly available information</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 projections, forecasts,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and forecasts in the estimates made by the independent parties and by us.</w:t>
      </w:r>
    </w:p>
    <w:p>
      <w:pPr>
        <w:spacing w:after="0" w:line="180"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As used herein, the terms “Harmony,” “we,” “us,” “our” and “the Company” refer to Harmony Biosciences Holdings, Inc., a Delaware corporation and our operating subsidiary, Harmony Biosciences, LLC.</w:t>
      </w:r>
    </w:p>
    <w:p>
      <w:pPr>
        <w:spacing w:after="0" w:line="154"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Further, we have in-licensed from Bioprojet the registered trademark product name WAKIX® in the United States. We also have registered trademark protection in the United States for KNOW NARCOLEPSY®, REM AT THE WRONG TIME® and NON-REM AT THE WRONG TIME®, as well as our brand and logo HB®, HB HARMONY BIOSCIENCES® and HARMONY BIOSCIENCES®. This report also includes trademarks, service marks and trade names of other companies. Trademarks, service marks and trade names appearing in this Quarterly Report on Form 10-Q are the property of their respective owners.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Company Overview</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are a commercial-stage, pharmaceutical company focused on developing and commercializing innovative therapies for patients living with rare neurological diseases as well as patients living with other neurological diseases who have unmet medical needs. Our product, WAKIX (pitolisant), is a first-in-class molecule with a novel mechanism of action (“MOA”) specifically designed to increase histamine signaling in the brain by binding to H</w:t>
      </w:r>
      <w:r>
        <w:rPr>
          <w:rFonts w:ascii="Arial" w:cs="Arial" w:eastAsia="Arial" w:hAnsi="Arial"/>
          <w:sz w:val="13"/>
          <w:szCs w:val="13"/>
          <w:color w:val="auto"/>
        </w:rPr>
        <w:t>3</w:t>
      </w:r>
      <w:r>
        <w:rPr>
          <w:rFonts w:ascii="Arial" w:cs="Arial" w:eastAsia="Arial" w:hAnsi="Arial"/>
          <w:sz w:val="18"/>
          <w:szCs w:val="18"/>
          <w:color w:val="auto"/>
        </w:rPr>
        <w:t xml:space="preserve"> receptors. In August 2019, WAKIX was approved by the U.S. Food and Drug Administration (the “FDA”) for the treatment of excessive daytime sleepiness (“EDS”) in adult patients with narcolepsy, and its U.S. commercial launch was initiated in November 2019. In October 2020, WAKIX was approved by the FDA for the treatment of cataplexy in adult patients with narcolepsy. WAKIX is the first-and-only approved product for patients with narcolepsy that is not scheduled as a controlled substance by the U.S. Drug Enforcement Administration (the “DEA”).</w:t>
      </w:r>
    </w:p>
    <w:p>
      <w:pPr>
        <w:spacing w:after="0" w:line="180"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believe that pitolisant’s ability to regulate histamine gives it the potential to provide therapeutic benefit in other rare neurological diseases that are mediated through H</w:t>
      </w:r>
      <w:r>
        <w:rPr>
          <w:rFonts w:ascii="Arial" w:cs="Arial" w:eastAsia="Arial" w:hAnsi="Arial"/>
          <w:sz w:val="20"/>
          <w:szCs w:val="20"/>
          <w:color w:val="auto"/>
          <w:vertAlign w:val="subscript"/>
        </w:rPr>
        <w:t>3</w:t>
      </w:r>
      <w:r>
        <w:rPr>
          <w:rFonts w:ascii="Arial" w:cs="Arial" w:eastAsia="Arial" w:hAnsi="Arial"/>
          <w:sz w:val="18"/>
          <w:szCs w:val="18"/>
          <w:color w:val="auto"/>
        </w:rPr>
        <w:t xml:space="preserve"> receptors and histamine signaling. We have applied a mechanism-based approach to managing the life cycle of pitolisant and identified idiopathic hypersomnia (“IH”), another central disorder of hypersomnolence like narcolepsy, as our next potential new indication for WAKIX, which received orphan drug designation by the FDA in September 2023 and Fast Track Designation in November 2023. In April 2022, we initiated a Phase 3 registrational trial, the INTUNE Study, to evaluate the efficacy and safety of pitolisant in adult patients with IH. We completed enrollment in the INTUNE study in May 2023 and we announced topline data in October 2023. While the primary endpoint did not meet statistical significance, we believe the totality of the data showed favorable numerical trends for pitolisant in the treatment of adult patients with IH and we met with the FDA in March 2024 to discuss the path forward for IH. Following our meeting with the FDA, we plan to submit a supplemental NDA (“sNDA”) for IH in the second half of 2024 based on the totality of the data obtained from the INTUNE study and from other sources.</w:t>
      </w:r>
    </w:p>
    <w:p>
      <w:pPr>
        <w:spacing w:after="0" w:line="184"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We are focusing our development efforts on other rare neurological disorders in which EDS is a prominent symptom, including Prader-Willi Syndrome (“PWS”) and myotonic dystrophy, otherwise known as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dystrophia myotonica (“DM”). Based on the positive signals from the data from our Phase 2 proof-of-concept signal detection clinical trial to evaluate pitolisant for the treatment of EDS and other key behavioral symptoms in patients with PWS, an end-of-phase 2 meeting with the FDA was held in June 2023. We aligned with the FDA on the proposed Phase 3 registration study design to support further investigation of pitolisant as a potential treatment to address the unmet medical need for children, adolescents and adults with PWS experiencing EDS, for which there is currently no approved treatment. In October 2023, we received FDA alignment regarding the study design for the Phase 3 TEMPO study in patients with PWS, which we believe will satisfy the requirements for both the registrational trial and one of the two requirements for pediatric exclusivity for pitolisant. In February 2024, the FDA granted Orphan Drug designation to pitolisant for the treatment of PWS. The Phase 3 registrational trial, the TEMPO study, was initiated in March 2024. In June 2021, we initiated a Phase 2 proof-of-concept signal detection clinical trial to evaluate pitolisant for the treatment of EDS, fatigue and cognitive dysfunction in adult patients with DM1 and announced topline results from this trial in the fourth quarter of 2023, in which clinically meaningful improvements were demonstrated in EDS and fatigue. The safety profile was consistent with the established safety profile of pitolisant.</w:t>
      </w:r>
    </w:p>
    <w:p>
      <w:pPr>
        <w:spacing w:after="0" w:line="189"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partner, Bioprojet completed a Phase 3 trial in pediatric patients with narcolepsy and submitted the trial data to the European Medicines Agency (the “EMA”) seeking approval for a pediatric narcolepsy indication. In January 2023, Bioprojet received a positive opinion from the EMA’s Committee for Medicinal Products for Human Use (“CHMP”) and in March 2023, the EMA granted approval for the marketing authorization of WAKIX for the treatment of narcolepsy with or without cataplexy in children six and older. Based on the data from the positive Phase 3 trial conducted by Bioprojet, we submitted an sNDA for pediatric narcolepsy in December 2023. On June 24, 2024, we announced that the FDA approved our sNDA for WAKIX for the treatment of EDS in pediatric patients six years of age and older with narcolepsy.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remain committed to obtaining pediatric exclusivity for WAKIX. The initiation of the PWS Phase 3 registrational trial, the TEMPO study, and the approval for EDS in pediatric narcolepsy are supportive of our efforts in obtaining pediatric exclusivity for WAKIX.</w:t>
      </w:r>
    </w:p>
    <w:p>
      <w:pPr>
        <w:spacing w:after="0" w:line="169"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We also seek to expand our pipeline through the acquisition of additional assets that focus on addressing the unmet needs of patients living with rare neurological diseases as well as patients living with other neurological diseases who have unmet medical needs. We are targeting assets that will allow us to further leverage the expertise and infrastructure that we have successfully built at Harmony so we can optimize the benefit of internal synergies. Consistent with this objective, in July 2022, we entered into a License and Commercialization Agreement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have made progress in the development of two new formulations of pitolisant, Pitolisant Gastro-resistant (“Pitolisant GR”) and Pitolisant High Dose (“Pitolisant HD”). Both formulations entered clinical studies in the fourth quarter of 2023. We received data from the Pitolisant GR pilot bioequivalence study, which supports further development of Pitolisant GR. We received data from the Pitolisant HD pilot pharmacokinetics study in June 2024, which also supports advancing this development program toward pivotal trials. Provisional patents have been filed for both of these formulations with the potential for patent protection to the mid-2040’s.</w:t>
      </w:r>
    </w:p>
    <w:p>
      <w:pPr>
        <w:spacing w:after="0" w:line="189"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October 2023, we completed the acquisition of Zynerba Pharmaceuticals, Inc. (together with its subsidiary, Zynerba Pharmaceutical Pty, Ltd., “Zynerba”), a clinical-stage pharmaceutical company focused on innovative pharmaceutically manufactured transdermal cannabidiol therapies for orphan neurobehavioral disorders. Zynerba’s drug candidate is ZYN002, the first and only pharmaceutically manufactured synthetic cannabidiol gel, devoid of THC, and formulated as a patent protected, permeation-enhanced gel for transdermal delivery. ZYN002 is currently in a pivotal Phase 3 trial, the RECONNECT study, for the treatment of Fragile X Syndrome (“FXS”). Topline data from this Phase 3 study is anticipated in mid-2025. ZYN002 has patent protection for the treatment of FXS until 2038. Based on the positive proof-of-concept (“PoC”) study in 22q deletion syndrome, another rare disorder with prominent neurobehavioral symptoms, we are working with the FDA to align on the primary endpoint and finalize the Phase 3 protocol.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we have obtained the exclusive right to develop, manufacture and commercialize the Licensed Compound in the United States and Latin American territories, which are rights that Bioprojet originally licensed from Teijin Pharma, the innovator of the Licensed Compound. We plan to file an IND in mid-2025 and begin first-in-human studies in the second half of 2025.</w:t>
      </w:r>
    </w:p>
    <w:p>
      <w:pPr>
        <w:spacing w:after="0" w:line="17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Additionally, in April 2024, the Company acquired all of the issued and outstanding capital stock of Epygenix, pursuant to the terms of a stock purchase agreement. As a result, we now have an exclusive license relating to the use of clemizole (“EPX-100”), initially for the treatment of Dravet Syndrome (“DS”) and Lennox-Gastaut Syndrome (“LGS”). EPX-100 is currently in a late-stage registrational trial for DS with plans to initiate a pivotal phase 3 clinical trial in patients with LGS later this year.</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August 2021, we acquired HBS-102, a Melanin-concentrating hormone receptor 1 (MCHR1) antagonist previously developed as CSTI-100/ALB-127258(a)/ALB-127258 (the “Compound”), along with intellectual property and other assets related to the development, manufacture, and commercialization of the Compound from ConSynance Therapeutics, Inc. We acquired full development and commercialization rights for HBS-102 globally, but we have provided an indication-limited grant-back license to ConSynance for the development and commercialization of the Compound in Greater China. We conducted a preclinical PoC study to assess the effect of HBS-102 on hyperphagia, weight gain and other metabolic parameters in a mouse model of PWS. The study is now completed, and initial results are encouraging. We anticipate receiving the final report in the second half of 2024. A 13-week toxicology study is complete, and the preliminary results are encouraging.</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Pitolisant was developed by Bioprojet and approved by the EMA in 2016 for the treatment of narcolepsy in adult patients with or without cataplexy and in 2021 for the treatment of EDS in adult patients with obstructive sleep apnea. We acquired an exclusive license to develop, manufacture and commercialize pitolisant in the United States pursuant to our license agreement with Bioprojet (as amended, the “2017 LCA”) in July 2017. Pitolisant was granted Orphan Drug Designation for the treatment of narcolepsy by the FDA in 2010. It received Breakthrough Therapy designation for the treatment of cataplexy in patients with narcolepsy and Fast Track status for the treatment of EDS and cataplexy in patients with narcolepsy in April 2018.</w:t>
      </w:r>
    </w:p>
    <w:p>
      <w:pPr>
        <w:spacing w:after="0" w:line="185"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operations are conducted by our wholly owned subsidiaries, Harmony Biosciences, LLC and Zynerba, which is now known as Harmony Biosciences Management, Inc. as of July 1, 2024.</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Commercial Performance Metrics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As of June 30, 2024, we continued to see growth in the number of unique healthcare professional (“HCP”) prescribers of WAKIX since it became available in November 2019. The average number of patients on WAKIX for the three months ended June 30, 2024, was approximately 6,550. Additionally, as of June 30, 2024, we have secured formulary access for more than 80% of all insured lives (Commercial, Medicare and Medicaid) in the United States.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product revenue includes gross product shipments less provisions for sales discounts and allowances, which includes trade allowances, rebates to government and commercial entities, and other discounts. Although we expect net sales to increase over time, provisions for sales discounts and allowances may fluctuate based on the mix of sales to different customer segments and/or changes in our estimates.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Cost of product sales includes manufacturing and distribution costs, the cost of API, FDA program fees, royalties due to third parties on net product sales, freight, shipping, handling, storage costs and salaries of employees involved with oversight of production. We expect the cost of product sales to increase as we continue to ramp up production in order to meet future demand for WAKIX and diversify our supply chain for WAKIX.</w:t>
      </w:r>
    </w:p>
    <w:p>
      <w:pPr>
        <w:spacing w:after="0" w:line="1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The shelf life of WAKIX is three years from date of manufacture, with the earliest expiration of current inventory expected to be June 2025. We regularly review our inventory levels and expect write-offs from time to time. We will continue to assess inventory levels in future periods as demand for WAKIX and the rate of inventory turnover evolves. We currently have adequate supply of WAKIX to cover demand into the fourth quarter of 2025, with additional API on-hand inventory to support at least 36 months beyond this time frame.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primarily include development programs for potential new indications for pitolisant in patients with IH, PWS, DM and the development of ZYN002 in patients with FXS. We also incur research and development expenses related to our team of Medical Science Liaisons (“MSLs”) who interact with key opinion leaders, with a focus on the science, the role of histamine in sleep-wake state stability and the novel mechanism of action of pitolisant. In addition, our MSLs support our market access team with the presentation of clinical data to payors upon request and our clinical development team to identify potential clinical trial sites. Research and development costs are expensed as incurred. We have significantly increased our research and development efforts as we advance our clinical programs and assess other product candidates to expand our pipeline. Research and development expenses also include:</w:t>
      </w:r>
    </w:p>
    <w:p>
      <w:pPr>
        <w:spacing w:after="0" w:line="183" w:lineRule="exact"/>
        <w:rPr>
          <w:sz w:val="20"/>
          <w:szCs w:val="20"/>
          <w:color w:val="auto"/>
        </w:rPr>
      </w:pPr>
    </w:p>
    <w:p>
      <w:pPr>
        <w:ind w:left="1040" w:right="51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research and development personnel;</w:t>
      </w:r>
    </w:p>
    <w:p>
      <w:pPr>
        <w:spacing w:after="0" w:line="154" w:lineRule="exact"/>
        <w:rPr>
          <w:rFonts w:ascii="Times New Roman" w:cs="Times New Roman" w:eastAsia="Times New Roman" w:hAnsi="Times New Roman"/>
          <w:sz w:val="18"/>
          <w:szCs w:val="18"/>
          <w:color w:val="auto"/>
        </w:rPr>
      </w:pPr>
    </w:p>
    <w:p>
      <w:pPr>
        <w:ind w:left="1040" w:right="79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direct third-party costs such as expenses incurred under agreements with clinical research organizations (“CROs”), and contract manufacturing organizations (“CMOs”);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costs in connection with producing materials for use in conducting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packaging and labelling of clinical supplies;</w:t>
      </w:r>
    </w:p>
    <w:p>
      <w:pPr>
        <w:spacing w:after="0" w:line="224" w:lineRule="exact"/>
        <w:rPr>
          <w:rFonts w:ascii="Times New Roman" w:cs="Times New Roman" w:eastAsia="Times New Roman" w:hAnsi="Times New Roman"/>
          <w:sz w:val="18"/>
          <w:szCs w:val="18"/>
          <w:color w:val="auto"/>
        </w:rPr>
      </w:pPr>
    </w:p>
    <w:p>
      <w:pPr>
        <w:ind w:left="1040" w:right="279" w:hanging="315"/>
        <w:spacing w:after="0" w:line="270" w:lineRule="auto"/>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other third-party expenses (e.g., consultants, advisors) directly attributable to the development of our product candidates;</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acquired in-process research and development; and</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amortization expense for assets used in research and development activities.</w:t>
      </w:r>
    </w:p>
    <w:p>
      <w:pPr>
        <w:spacing w:after="0" w:line="22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significant portion of our research and development costs are external costs, such as fees paid to CROs and CMOs, central laboratories, contractors, and consultants in connection with our clinical development programs. Internal expenses primarily relate to personnel who are deployed across multiple programs.</w:t>
      </w:r>
    </w:p>
    <w:p>
      <w:pPr>
        <w:spacing w:after="0" w:line="169"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Product candidates in later stages of clinical development generally have higher development costs in the current period than those in earlier stages of clinical development, primarily due to the increased size and duration of later-stage clinical trials, milestone payments, and the cost of submitting an NDA to the FDA (and/or other regulatory authorities). We expect our research and development expenses to be significant over the next several years as we advance our current clinical development programs and prepare to seek regulatory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approval for additional indications for pitolisant, complete the Phase 3 clinical trial for ZYN002, and advance Pitolisant GR, Pitolisant HD, ZYN002 and HBS-102 to develop toward new indications.</w:t>
      </w:r>
    </w:p>
    <w:p>
      <w:pPr>
        <w:spacing w:after="0" w:line="15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any additional indications for pitolisant or other product candidates that we move forward for regulatory approval. There are numerous risks and uncertainties associated with developing product candidates, including uncertainty related to:</w:t>
      </w:r>
    </w:p>
    <w:p>
      <w:pPr>
        <w:spacing w:after="0" w:line="174" w:lineRule="exact"/>
        <w:rPr>
          <w:sz w:val="20"/>
          <w:szCs w:val="20"/>
          <w:color w:val="auto"/>
        </w:rPr>
      </w:pPr>
    </w:p>
    <w:p>
      <w:pPr>
        <w:ind w:left="1040" w:right="11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costs and timing of clinical trials of our current development programs and any further clinical trials related to new product candidates;</w:t>
      </w:r>
    </w:p>
    <w:p>
      <w:pPr>
        <w:spacing w:after="0" w:line="154" w:lineRule="exact"/>
        <w:rPr>
          <w:rFonts w:ascii="Times New Roman" w:cs="Times New Roman" w:eastAsia="Times New Roman" w:hAnsi="Times New Roman"/>
          <w:sz w:val="18"/>
          <w:szCs w:val="18"/>
          <w:color w:val="auto"/>
        </w:rPr>
      </w:pPr>
    </w:p>
    <w:p>
      <w:pPr>
        <w:ind w:left="1040" w:right="33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financial and other resources to complete the necessary preclinical studies and clinical trials;</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43"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COVID-19 pandemic, including any future resurgence or new variants, on the ability to initiate new clinical trials and/or maintain the continuity of ongoing clinical trials, including our ability to access sleep labs in order to conduct objective sleep testing, that could be impacted by future shelter-in-place orders and needs of the health care system to focus on managing patients affected by COVID-19;</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receiving Bioprojet</w:t>
      </w:r>
      <w:r>
        <w:rPr>
          <w:rFonts w:ascii="Times New Roman" w:cs="Times New Roman" w:eastAsia="Times New Roman" w:hAnsi="Times New Roman"/>
          <w:sz w:val="18"/>
          <w:szCs w:val="18"/>
          <w:color w:val="auto"/>
        </w:rPr>
        <w:t>’</w:t>
      </w:r>
      <w:r>
        <w:rPr>
          <w:rFonts w:ascii="Arial" w:cs="Arial" w:eastAsia="Arial" w:hAnsi="Arial"/>
          <w:sz w:val="18"/>
          <w:szCs w:val="18"/>
          <w:color w:val="auto"/>
        </w:rPr>
        <w:t>s consent to pursue additional indications for pitolisant;</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acceptance of INDs for our planned clinical trials or future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and timely enrollment and completion of clinical trials;</w:t>
      </w:r>
    </w:p>
    <w:p>
      <w:pPr>
        <w:spacing w:after="0" w:line="22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successful completion of preclinical studies and clinical trials;</w:t>
      </w:r>
    </w:p>
    <w:p>
      <w:pPr>
        <w:spacing w:after="0" w:line="224" w:lineRule="exact"/>
        <w:rPr>
          <w:rFonts w:ascii="Times New Roman" w:cs="Times New Roman" w:eastAsia="Times New Roman" w:hAnsi="Times New Roman"/>
          <w:sz w:val="18"/>
          <w:szCs w:val="18"/>
          <w:color w:val="auto"/>
        </w:rPr>
      </w:pPr>
    </w:p>
    <w:p>
      <w:pPr>
        <w:ind w:left="1040" w:right="45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data from our clinical programs that support an acceptable risk-benefit profile of our product candidates in the intended populations;</w:t>
      </w:r>
    </w:p>
    <w:p>
      <w:pPr>
        <w:spacing w:after="0" w:line="154" w:lineRule="exact"/>
        <w:rPr>
          <w:rFonts w:ascii="Times New Roman" w:cs="Times New Roman" w:eastAsia="Times New Roman" w:hAnsi="Times New Roman"/>
          <w:sz w:val="18"/>
          <w:szCs w:val="18"/>
          <w:color w:val="auto"/>
        </w:rPr>
      </w:pPr>
    </w:p>
    <w:p>
      <w:pPr>
        <w:ind w:left="1040" w:right="49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and maintenance of regulatory and marketing approvals from applicable regulatory authorities;</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5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entry into collaborations to further the development of our product candidates;</w:t>
      </w:r>
    </w:p>
    <w:p>
      <w:pPr>
        <w:spacing w:after="0" w:line="22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and maintaining patent and trade secret protection or regulatory exclusivity for our product candidates; and</w:t>
      </w:r>
    </w:p>
    <w:p>
      <w:pPr>
        <w:spacing w:after="0" w:line="154" w:lineRule="exact"/>
        <w:rPr>
          <w:rFonts w:ascii="Times New Roman" w:cs="Times New Roman" w:eastAsia="Times New Roman" w:hAnsi="Times New Roman"/>
          <w:sz w:val="18"/>
          <w:szCs w:val="18"/>
          <w:color w:val="auto"/>
        </w:rPr>
      </w:pPr>
    </w:p>
    <w:p>
      <w:pPr>
        <w:ind w:left="1040" w:right="679" w:hanging="315"/>
        <w:spacing w:after="0" w:line="270" w:lineRule="auto"/>
        <w:tabs>
          <w:tab w:leader="none" w:pos="104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successfully launching our product candidates and achieving commercial sales, if and when approved.</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programs or any product candidate we develop would significantly change the costs, timing and viability associated with the development and/or regulatory approval of such programs or product candidates.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Our sales and marketing expenses primarily relate to the market development and commercialization activities of WAKIX for the treatment of EDS and cataplexy in adult patients with narcolepsy. Market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development and commercial activities account for a significant portion of our operating expenses and are expensed as incurred. We expect our sales and marketing expenses to increase in the near- and mid-term to support WAKIX’s indications for the treatment of EDS or cataplexy in adult patients with narcolepsy and to expand our portfolio with the anticipated growth from potential additional indications.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Sales and marketing expenses include:</w:t>
      </w:r>
    </w:p>
    <w:p>
      <w:pPr>
        <w:spacing w:after="0" w:line="212" w:lineRule="exact"/>
        <w:rPr>
          <w:sz w:val="20"/>
          <w:szCs w:val="20"/>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such as salaries, share-based compensation, benefits and travel expenses for our sales, marketing and market access personnel;</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healthcare professional-related expenses, including marketing programs, healthcare professional promotional medical education, disease education, conference exhibits and market research;</w:t>
      </w:r>
    </w:p>
    <w:p>
      <w:pPr>
        <w:spacing w:after="0" w:line="154"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patient-related expenses, including patient awareness and education programs, disease awareness education, patient reimbursement programs, patient support services and market research;</w:t>
      </w:r>
    </w:p>
    <w:p>
      <w:pPr>
        <w:spacing w:after="0" w:line="170"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market access expenses, including payor education, specialty pharmacy programs and services to support the continued commercialization of WAKIX; and</w:t>
      </w:r>
    </w:p>
    <w:p>
      <w:pPr>
        <w:spacing w:after="0" w:line="154" w:lineRule="exact"/>
        <w:rPr>
          <w:rFonts w:ascii="Times New Roman" w:cs="Times New Roman" w:eastAsia="Times New Roman" w:hAnsi="Times New Roman"/>
          <w:sz w:val="18"/>
          <w:szCs w:val="18"/>
          <w:color w:val="auto"/>
        </w:rPr>
      </w:pPr>
    </w:p>
    <w:p>
      <w:pPr>
        <w:ind w:left="1040" w:right="79" w:hanging="315"/>
        <w:spacing w:after="0" w:line="270" w:lineRule="auto"/>
        <w:tabs>
          <w:tab w:leader="none" w:pos="10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secondary data purchases (i.e., patient claims and prescription data), data warehouse development and data management.</w:t>
      </w:r>
    </w:p>
    <w:p>
      <w:pPr>
        <w:spacing w:after="0" w:line="154"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In addition, sales and marketing expenses include external costs such as website development, media placement fees, agency fees for patient, medical education and promotional expenses, market research, analysis of secondary data, conference fees and consulting fees.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General and administrative expenses consist primarily of employee-related expenses, such as salaries, share-based compensation, benefits and travel expenses for our personnel in executive, legal, finance and accounting, human resources, investor relations, and other administrative departments. General and administrative expenses also consist of office leases, and professional fees, including legal, tax and accounting and consulting fees.</w:t>
      </w:r>
    </w:p>
    <w:p>
      <w:pPr>
        <w:spacing w:after="0" w:line="176"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commercialization efforts, ongoing and future potential research and development activities, and increased costs of operating as a public company. These increases will likely be driven by costs associated with the hiring of additional personnel and fees paid to outside consultants, lawyers and accountants, among other expenses. Additionally, we anticipate increased costs associated with being a public company, including expenses related to services associated with maintaining compliance with the requirements of Nasdaq and the SEC, insurance and investor relations costs. If any of our current or future indication expansion programs or new product candidates obtain U.S. regulatory approval, we expect that we would incur significantly increased expenses associated with building a sales and marketing team.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Paragon Agreement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are party to a right-of-use agreement with Paragon Biosciences, LLC (“Paragon”) whereby we have access to and the right to use certain office space leased by Paragon in Chicago, Illinois. For the three and six months ended June 30, 2024, we paid fees of $0.1 million and $0.2 million, respectively, pursuant to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Interest expense consists primarily of interest expense on debt facilities, amortization of debt issuance costs and amortization of premiums on our debt securities.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Interest income consists primarily of cash interest earned on our cash and investment balances and accretion of the discount on our investments in debt securities.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2" w:lineRule="exact"/>
        <w:rPr>
          <w:sz w:val="20"/>
          <w:szCs w:val="20"/>
          <w:color w:val="auto"/>
        </w:rPr>
      </w:pPr>
    </w:p>
    <w:p>
      <w:pPr>
        <w:ind w:left="60" w:right="359" w:firstLine="648"/>
        <w:spacing w:after="0" w:line="271" w:lineRule="auto"/>
        <w:rPr>
          <w:sz w:val="20"/>
          <w:szCs w:val="20"/>
          <w:color w:val="auto"/>
        </w:rPr>
      </w:pPr>
      <w:r>
        <w:rPr>
          <w:rFonts w:ascii="Arial" w:cs="Arial" w:eastAsia="Arial" w:hAnsi="Arial"/>
          <w:sz w:val="18"/>
          <w:szCs w:val="18"/>
          <w:color w:val="auto"/>
        </w:rPr>
        <w:t>The following table sets forth selected items in our unaudited condensed consolidated statements of operations for the periods presented: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62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4"/>
                <w:szCs w:val="14"/>
                <w:color w:val="auto"/>
              </w:rPr>
            </w:pPr>
          </w:p>
        </w:tc>
        <w:tc>
          <w:tcPr>
            <w:tcW w:w="198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20" w:type="dxa"/>
            <w:vAlign w:val="bottom"/>
            <w:gridSpan w:val="4"/>
          </w:tcPr>
          <w:p>
            <w:pPr>
              <w:jc w:val="right"/>
              <w:ind w:right="451"/>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20" w:type="dxa"/>
            <w:vAlign w:val="bottom"/>
            <w:gridSpan w:val="5"/>
          </w:tcPr>
          <w:p>
            <w:pPr>
              <w:jc w:val="right"/>
              <w:ind w:right="411"/>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product revenue</w:t>
            </w:r>
          </w:p>
        </w:tc>
        <w:tc>
          <w:tcPr>
            <w:tcW w:w="700" w:type="dxa"/>
            <w:vAlign w:val="bottom"/>
            <w:gridSpan w:val="2"/>
            <w:shd w:val="clear" w:color="auto" w:fill="CCEEFF"/>
          </w:tcPr>
          <w:p>
            <w:pPr>
              <w:ind w:left="54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172,814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134,216</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327,429</w:t>
            </w:r>
          </w:p>
        </w:tc>
        <w:tc>
          <w:tcPr>
            <w:tcW w:w="16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253,342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Cost of product sales</w:t>
            </w:r>
          </w:p>
        </w:tc>
        <w:tc>
          <w:tcPr>
            <w:tcW w:w="5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32,144</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25,008</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59,628</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45,788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140,670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109,208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267,801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63,583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14,969</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85,772</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ind w:left="80"/>
              <w:spacing w:after="0" w:line="202" w:lineRule="exact"/>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28,507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24,528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55,740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47,100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27,224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22,809</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52,900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44,871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line="196" w:lineRule="exact"/>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119,314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62,306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194,412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120,229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21,356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46,902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73,389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87,325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 income, net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(4,404)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(6,217)</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(8,939)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(11,948)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4,705</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3,441</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9,133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6,527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line="196" w:lineRule="exact"/>
              <w:rPr>
                <w:sz w:val="20"/>
                <w:szCs w:val="20"/>
                <w:color w:val="auto"/>
              </w:rPr>
            </w:pPr>
            <w:r>
              <w:rPr>
                <w:rFonts w:ascii="Arial" w:cs="Arial" w:eastAsia="Arial" w:hAnsi="Arial"/>
                <w:sz w:val="18"/>
                <w:szCs w:val="18"/>
                <w:color w:val="auto"/>
              </w:rPr>
              <w:t>Net income before provision for income taxes</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21,694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44,095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73,479</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81,875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5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(9,795)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(23,554)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(18,090)</w:t>
            </w:r>
          </w:p>
        </w:tc>
        <w:tc>
          <w:tcPr>
            <w:tcW w:w="0" w:type="dxa"/>
            <w:vAlign w:val="bottom"/>
          </w:tcPr>
          <w:p>
            <w:pPr>
              <w:spacing w:after="0"/>
              <w:rPr>
                <w:sz w:val="1"/>
                <w:szCs w:val="1"/>
                <w:color w:val="auto"/>
              </w:rPr>
            </w:pPr>
          </w:p>
        </w:tc>
      </w:tr>
      <w:tr>
        <w:trPr>
          <w:trHeight w:val="196"/>
        </w:trPr>
        <w:tc>
          <w:tcPr>
            <w:tcW w:w="4140" w:type="dxa"/>
            <w:vAlign w:val="bottom"/>
            <w:gridSpan w:val="2"/>
          </w:tcPr>
          <w:p>
            <w:pPr>
              <w:spacing w:after="0" w:line="196" w:lineRule="exact"/>
              <w:rPr>
                <w:sz w:val="20"/>
                <w:szCs w:val="20"/>
                <w:color w:val="auto"/>
              </w:rPr>
            </w:pPr>
            <w:r>
              <w:rPr>
                <w:rFonts w:ascii="Arial" w:cs="Arial" w:eastAsia="Arial" w:hAnsi="Arial"/>
                <w:sz w:val="18"/>
                <w:szCs w:val="18"/>
                <w:color w:val="auto"/>
              </w:rPr>
              <w:t>Net income</w:t>
            </w:r>
          </w:p>
        </w:tc>
        <w:tc>
          <w:tcPr>
            <w:tcW w:w="54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11,591</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34,300</w:t>
            </w:r>
          </w:p>
        </w:tc>
        <w:tc>
          <w:tcPr>
            <w:tcW w:w="16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49,925</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63,785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Net Product Revenue</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Net product revenue increased by $38.6 million, or 28.8%, for the three months ended June 30, 2024, and increased by $74.1 million, or 29.2%, for the six months ended June 30, 2024, compared to the same periods in 2023. The increase for the three months ended June 30, 2024, was primarily due to a 24.1% increase in the number of units shipped, and the impact of a 7% price increase partially offset by higher rebates and co-pay assistance, which resulted in a decrease to net product revenue of approximately 4%. The increase for the six months ended June 30, 2024, was primarily due to a 24.6% increase in the number of units shipped, and the impact of a 7% price increase partially offset by higher rebates and co-pay assistance, which resulted in a decrease to net product revenue of approximately 4%. The price increase occurred in January 2024.</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 of Product Sales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Cost of product sales increased by $7.1 million, or 28.5%, for the three months ended June 30, 2024, and increased by $13.8 million, or 30.2%, for the six months ended June 30, 2024, compared to the same periods in 2023. Cost of product sales as a percentage of net product revenue was 18.6% and 18.2% for the three and six months ended June 30, 2024, respectively, compared to 18.6% and 18.1% for the three and six months ended June 30, 2023, respectively. The increase in cost of product sales in the period was due to higher sales of WAKIX.</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our research and development expenses:</w:t>
      </w: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8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2023</w:t>
            </w: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Change</w:t>
            </w:r>
          </w:p>
        </w:tc>
      </w:tr>
      <w:tr>
        <w:trPr>
          <w:trHeight w:val="196"/>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jc w:val="right"/>
              <w:ind w:right="412"/>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Pitolisant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(1,513)</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$ 14,975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ZYN002</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3,726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7,605</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IPR&amp;D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41,845</w:t>
            </w:r>
          </w:p>
        </w:tc>
      </w:tr>
      <w:tr>
        <w:trPr>
          <w:trHeight w:val="216"/>
        </w:trPr>
        <w:tc>
          <w:tcPr>
            <w:tcW w:w="2840" w:type="dxa"/>
            <w:vAlign w:val="bottom"/>
          </w:tcPr>
          <w:p>
            <w:pPr>
              <w:ind w:left="20"/>
              <w:spacing w:after="0"/>
              <w:rPr>
                <w:sz w:val="20"/>
                <w:szCs w:val="20"/>
                <w:color w:val="auto"/>
              </w:rPr>
            </w:pPr>
            <w:r>
              <w:rPr>
                <w:rFonts w:ascii="Arial" w:cs="Arial" w:eastAsia="Arial" w:hAnsi="Arial"/>
                <w:sz w:val="18"/>
                <w:szCs w:val="18"/>
                <w:color w:val="auto"/>
              </w:rPr>
              <w:t>Personnel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11,196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7,361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3,835</w:t>
            </w:r>
          </w:p>
        </w:tc>
      </w:tr>
      <w:tr>
        <w:trPr>
          <w:trHeight w:val="216"/>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16"/>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research and development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w:t>
            </w:r>
          </w:p>
        </w:tc>
      </w:tr>
      <w:tr>
        <w:trPr>
          <w:trHeight w:val="196"/>
        </w:trPr>
        <w:tc>
          <w:tcPr>
            <w:tcW w:w="28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63,583</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14,969</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48,614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85,772</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$ 28,258</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57,514</w:t>
            </w:r>
          </w:p>
        </w:tc>
      </w:tr>
      <w:tr>
        <w:trPr>
          <w:trHeight w:val="20"/>
        </w:trPr>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Research and development expenses increased by $48.6 million, or 324.8%, for the three months ended June 30, 2024, and increased by $57.5 million or 203.5%, for the six months ended June 30, 2024, compared to the same periods in 2023. The increase for the three months ended June 30, 2024 was primarily driven by $42.6 million in IPR&amp;D charges related to the Bioprojet Sublicense Agreement and the acquisition of Epygenix, a $3.7 million increase in research and development expenses for ZYN002, which did not have any expenses in the prior year, a $ 2.1 million increase in personnel costs associated with higher headcount and a $0.7 million increase in stock compensation associated with new awards partially offset by a $ 1.5 million decrease in clinical development and regulatory work associated with pitolisant, driven by declines for IH and DM indications.</w:t>
      </w:r>
    </w:p>
    <w:p>
      <w:pPr>
        <w:spacing w:after="0" w:line="183"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increase for the six months ended June 30, 2024 was primarily driven by $42.6 million in IPR&amp;D charges related to the Bioprojet Sublicense Agreement and the acquisition of Epygenix, a $7.6 million increase in research and development expenses for ZYN002, which did not have any expenses in the prior year, a $3.8 million increase in personnel costs associated with higher headcount, a $1.4 million increase in clinical development and regulatory work associated with pitolisant, driven by increases for the PWS indication and a $1.1 million increase in stock compensation associated with new awards, partially offset by a $0.8 million IPR&amp;D charge related to preclinical milestones achieved for HBS-102 during the six months ended June 30, 2023.</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 Expenses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Sales and marketing expenses increased by $ 4.0 million, or 16.2%, for the three months ended June 30, 2024, and increased by $8.6 million, or 18.3%, for the six months ended June 30, 2024, compared to the same periods in 2023. The increase for the three months ended June 30, 2024, was primarily due to a $1.9 million increase in patient engagement and marketing activities, a $1.1 million increase in personnel costs, and a $1.0 million increase in stock compensation associated with new awards. The increase for the six months ended June 30, 2024, was primarily due to a $4.4 million increase in patient engagement and marketing activities, a $1.9 million increase in personnel costs, and a $ 1.9 million increase in stock compensation associated with new awards. The increase in patient engagement and marketing activities for both comparable periods was driven by our continued growth of WAKIX and the increase in personnel costs for both comparable periods was related to increased headcount.</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General and administrative expenses increased by $4.4 million, or 19.4%, for the three months ended June 30, 2024, and increased by $8.0 million, or 17.9%, for the six months ended June 30, 2024, compared to the same periods in 2023. The increase in the three months ended June 30, 2024, was primarily due to a $2.0 million increase in legal and professional fees, primarily associated with patent lawsuits, a $1.5 million increase</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in stock compensation associated with new awards, and a $1.0 million increase in personnel costs. The increase in the six months ended June 30, 2024, was primarily due to a $3.4 million increase in legal and professional fees, primarily associated with patent lawsuits, a $4.0 million increase in stock compensation associated with new awards, and a $1.5 million increase in personnel costs, partially offset by a $0.4 million decrease in travel expenses.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Expense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expense decreased by $1.8 million, or 29.2%, for the three months ended June 30, 2024, and decreased by $3.0 million, or 25.2%, for the six months ended June 30, 2024, compared to the same periods in 2023. The decrease for the three and six months ended June 30, 2024, was primarily due to lower interest rates as a result of refinancing into the TLA Credit Agreement (defined below).</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Interest income increased by $ 1.3 million, or 36.7%, for the three months ended June 30, 2024, and increased by $2.6 million, or 39.9%, for the six months ended June 30, 2024, compared to the same periods in 2023. The increase for the three and six months ended June 30, 2024, was primarily a result of having higher invested balances, and higher investment yields on those balances, compared to the prior year periods.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Income tax expense was $10.1 million, representing a 46.6% effective tax rate, for the three months ended June 30, 2024, compared to $9.8 million, representing a 22.2% effective tax rate, for the three months ended June 30, 2023. Income tax expense was $23.6 million, representing a 32.1% effective tax rate, for the six months ended June 30, 2024, compared to $18.1 million, representing a 22.1% effective tax rate, for the six months ended June 30, 2023. The increase in our effective tax rate for both comparable periods was primarily driven by the $17.1M IPR&amp;D charge related to the Epygenix acquisition, which is nondeductible for tax purposes. The effective tax rate of 46.6% for the three months ended June 30, 2024, included 16.5% for nondeductible IPR&amp;D charges and 11.2% in state income taxes, partially offset by a 2.6% benefit from credits. The effective tax rate of 32.1% for the six months ended June 30, 2024, included 4.9% for nondeductible IPR&amp;D charges and 7.4% in state income taxes, partially offset by a 1.5% benefit from credits.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Sources of Funding and Capital Resources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212" w:lineRule="exact"/>
        <w:rPr>
          <w:sz w:val="20"/>
          <w:szCs w:val="20"/>
          <w:color w:val="auto"/>
        </w:rPr>
      </w:pPr>
    </w:p>
    <w:p>
      <w:pPr>
        <w:jc w:val="both"/>
        <w:ind w:left="60" w:right="79" w:firstLine="648"/>
        <w:spacing w:after="0" w:line="271" w:lineRule="auto"/>
        <w:rPr>
          <w:sz w:val="20"/>
          <w:szCs w:val="20"/>
          <w:color w:val="auto"/>
        </w:rPr>
      </w:pPr>
      <w:r>
        <w:rPr>
          <w:rFonts w:ascii="Arial" w:cs="Arial" w:eastAsia="Arial" w:hAnsi="Arial"/>
          <w:sz w:val="18"/>
          <w:szCs w:val="18"/>
          <w:color w:val="auto"/>
        </w:rPr>
        <w:t>As of June 30, 2024, we had cash, cash equivalents, and investments of $434.1 million, outstanding debt of $188.8 million and an accumulated deficit of $93.4 million.</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unaudited condensed consolidated financial statements have been prepared as though we will continue as a going concern, which contemplates the realization of assets and satisfaction of liabilities in the normal course of business.</w:t>
      </w:r>
    </w:p>
    <w:p>
      <w:pPr>
        <w:spacing w:after="0" w:line="169"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We believe that our existing cash, cash equivalents and investments on hand as of June 30, 2024, will enable us to meet our operational liquidity needs and fund our planned investing activities for the next 12 months. We have based our liquidity and cash flow projections on assumptions that may prove to be incorrect, and we could use our capital resources sooner than we expect.</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Term Loan A Credit Agreement</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July 2023, we entered into a Credit Agreement (the “TLA Credit Agreement”) with JPMorgan Chase Bank, N.A., as “Administrative Agent”, and certain lenders. The TLA Credit Agreement provides for a five-year senior secured term loan (the “TLA Term Loan”) in an aggregate principal amount of $185.0 million.</w:t>
      </w:r>
    </w:p>
    <w:p>
      <w:pPr>
        <w:sectPr>
          <w:pgSz w:w="11900" w:h="16838" w:orient="portrait"/>
          <w:cols w:equalWidth="0" w:num="1">
            <w:col w:w="9019"/>
          </w:cols>
          <w:pgMar w:left="1440" w:top="512"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September 2023, we entered into the First Incremental Amendment (the “First Incremental Amendment”) with the Administrative Agent and Bank of America, N.A., as incremental lender. The First Incremental Amendment provides for an incremental senior secured term loan (the “Incremental Term Loan”) in an aggregate principal amount of $15.0 million. The First Incremental Amendment amends the TLA Credit Agreement and provides that the Incremental Term Loan will have identical terms as the TLA Term Loan.</w:t>
      </w:r>
    </w:p>
    <w:p>
      <w:pPr>
        <w:spacing w:after="0" w:line="176"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The repayment schedule for both the TLA Term Loan and the Incremental Term Loan (together, the “Term Loans”) consists of $3.8 million quarterly principal payments, which commence on December 31, 2023, increasing to $5.0 million quarterly principal payments beginning on December 31, 2025, with a $115.0 million payment due on the maturity date of July 26, 2028.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TLA Credit Agreement contains customary affirmative and negative covenants, financial covenants, representations and warranties, events of default and other provisions. We were in compliance with all covenants as of June 30, 2024.</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 Repurchases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October 2023, our Board of Directors approved a share repurchase program (the “October 2023 Repurchase Program”) providing for the repurchase of shares of common stock in an aggregate amount of up to $200,000, excluding commissions and transaction fees. The October 2023 Repurchase Program may be suspended, terminated, or modified at any time for any reason. During the three and six months ended June 30, 2024, no shares of common stock were repurchased and cancelled by the Company under the October 2023 Repurchase Program. As of June 30, 2024, the remaining amount of common stock authorized for repurchases was $150.0 million.</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Zynerba Acquisition</w:t>
      </w:r>
    </w:p>
    <w:p>
      <w:pPr>
        <w:spacing w:after="0" w:line="21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8"/>
          <w:szCs w:val="18"/>
          <w:color w:val="auto"/>
        </w:rPr>
        <w:t>In October 2023, we completed a tender offer (the “Tender Offer”) to acquire all of the outstanding shares of common stock of Zynerba (“Zynerba Common Stock”).</w:t>
      </w:r>
    </w:p>
    <w:p>
      <w:pPr>
        <w:spacing w:after="0" w:line="154"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Under the terms of the Tender Offer, we paid (i) $1.1059 per share of Zynerba Common Stock (the “Common Cash Amount”), the aggregate amount of which was $60,000 and was paid at closing, plus (ii) one contingent value right (each, a “CVR”) per share of Zynerba Common Stock (the “Common CVR Amount”), which represents the right to receive up to approximately $2.5444 per share of Zynerba Common Stock, subject to the achievement of certain clinical, regulatory and sales-based milestones. The Common CVR Amounts are to be paid in cash, subject to any applicable withholding of taxes and without interest. The aggregate consideration we paid to acquire the Zynerba Common Stock upon completion of the Tender Offer was $60 million, exclusive of transaction related fees. We financed the acquisition with cash on hand.</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On July 1, 2024, we announced the change of the name of our wholly owned subsidiary from “Zynerba Pharmaceuticals, Inc.” to “Harmony Biosciences Management, Inc.” As of July 1, 2024, Zynerba Pharmaceuticals, Inc. is now known as Harmony Biosciences Management, Inc.</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Epygenix Acquisition</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In April 2024, we acquired all of the issued and outstanding capital stock of Epygenix, pursuant to the terms of a stock purchase agreement. In connection with the closing of the transaction, we paid the former stockholders of Epygenix up front consideration of $35.0 million less a working capital adjustment. In addition, we will also be obligated to pay up to $130.0 million upon the achievement of development and regulatory milestones and up to $515.0 million upon the achievement of certain sales-based milestones, in each case to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Epygenix’s former stockholders. As a result, the Company now has an exclusive license relating to the use of clemizole, initially for the treatment of DS and LGS.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Asset Purchase Agreement</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In August 2021, we entered into an asset purchase agreement with ConSynance Therapeutics, Inc. (the “APA”) to acquire HBS-102, a potential first-in-class molecule with a novel mechanism of action. Under the terms of the APA, we acquired full development and commercialization rights globally, with the exception of Greater China, for $3.5 million. Additionally, there are payments due upon the achievement of certain milestones below, including $1.0 million for additional preclinical milestones (see “Recent Milestone Payments”), $19.0 million for development milestones, $44.0 million for regulatory milestones and $110.0 million for sales milestones.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License Agreements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April 2024, we entered into a sublicense agreement with Bioprojet for an orexin-2 receptor agonist (OX2R) (the “Licensed Compound”) to be evaluated for the treatment of narcolepsy and other potential indications (the “Sublicense”). Under the Sublicense, the Company obtained the exclusive right to develop, manufacture and commercialize the Licensed Compound in the United States and Latin American territories (the “Licensed Territories”), which are rights that Bioprojet originally licensed from Teijin Pharma, the innovator of the Licensed Compound. The Licensed Compound is currently in pre-clinical development with a Clinical Trial Application currently anticipated in mid-2025. Under the Sublicense, the Company will pay Bioprojet an upfront license fee of $25.5 million and will also be obligated to pay up to $127.5 million upon achievement of development and regulatory milestones and up to $ 240.0 million upon achievement of sales-based milestones, as well as royalty rates in the mid-teens on potential sales in the Licensed Territories.</w:t>
      </w:r>
    </w:p>
    <w:p>
      <w:pPr>
        <w:spacing w:after="0" w:line="274"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In July 2022, we entered into the 2022 LCA with Bioprojet whereby we obtained exclusive rights to manufacture, develop and commercialize one or more new products based on pitolisant in the United States and Latin America, with the potential to add additional indications and formulations upon the agreement of both parties. We paid an initial, non-refundable $30.0 million licensing fee in October 2022 and additional payments of up to $155.0 million are potentially due under the 2022 LCA upon the achievement of certain future development and sales-based milestones. In addition, certain payments will become due upon the achievement of development milestones for new indications and formulations as agreed upon by both parties. The 2022 LCA also includes a fixed trademark royalty and a tiered royalty based on net sales of any new products commercialized, which will be payable to Bioprojet on a quarterly basis.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Milestone Payments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were no milestones achieved or paid during the three and six months ended June 30, 2024.</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a summary of our cash flows for the six months ended June 30, 2024,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2023:</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3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Selected cash flow data</w:t>
            </w:r>
          </w:p>
        </w:tc>
        <w:tc>
          <w:tcPr>
            <w:tcW w:w="33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2024</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3280" w:type="dxa"/>
            <w:vAlign w:val="bottom"/>
            <w:gridSpan w:val="3"/>
            <w:vMerge w:val="continue"/>
          </w:tcPr>
          <w:p>
            <w:pPr>
              <w:spacing w:after="0"/>
              <w:rPr>
                <w:sz w:val="11"/>
                <w:szCs w:val="11"/>
                <w:color w:val="auto"/>
              </w:rPr>
            </w:pPr>
          </w:p>
        </w:tc>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20" w:type="dxa"/>
            <w:vAlign w:val="bottom"/>
            <w:gridSpan w:val="4"/>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Cash provided by (used in):</w:t>
            </w: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6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Operating activities</w:t>
            </w:r>
          </w:p>
        </w:tc>
        <w:tc>
          <w:tcPr>
            <w:tcW w:w="35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73,758</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79,622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26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Investing activities</w:t>
            </w:r>
          </w:p>
        </w:tc>
        <w:tc>
          <w:tcPr>
            <w:tcW w:w="3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(61,042)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60" w:type="dxa"/>
            <w:vAlign w:val="bottom"/>
            <w:gridSpan w:val="2"/>
          </w:tcPr>
          <w:p>
            <w:pPr>
              <w:ind w:left="100"/>
              <w:spacing w:after="0"/>
              <w:rPr>
                <w:sz w:val="20"/>
                <w:szCs w:val="20"/>
                <w:color w:val="auto"/>
              </w:rPr>
            </w:pPr>
            <w:r>
              <w:rPr>
                <w:rFonts w:ascii="Arial" w:cs="Arial" w:eastAsia="Arial" w:hAnsi="Arial"/>
                <w:sz w:val="18"/>
                <w:szCs w:val="18"/>
                <w:color w:val="auto"/>
              </w:rPr>
              <w:t>Financing activities</w:t>
            </w:r>
          </w:p>
        </w:tc>
        <w:tc>
          <w:tcPr>
            <w:tcW w:w="3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(7,080)</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8"/>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60" w:type="dxa"/>
            <w:vAlign w:val="bottom"/>
          </w:tcPr>
          <w:p>
            <w:pPr>
              <w:jc w:val="right"/>
              <w:ind w:right="199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3"/>
        </w:trPr>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Activities</w:t>
      </w:r>
    </w:p>
    <w:p>
      <w:pPr>
        <w:spacing w:after="0" w:line="212" w:lineRule="exact"/>
        <w:rPr>
          <w:sz w:val="20"/>
          <w:szCs w:val="20"/>
          <w:color w:val="auto"/>
        </w:rPr>
      </w:pPr>
    </w:p>
    <w:p>
      <w:pPr>
        <w:jc w:val="both"/>
        <w:ind w:left="60" w:right="59" w:firstLine="648"/>
        <w:spacing w:after="0" w:line="244" w:lineRule="auto"/>
        <w:rPr>
          <w:sz w:val="20"/>
          <w:szCs w:val="20"/>
          <w:color w:val="auto"/>
        </w:rPr>
      </w:pPr>
      <w:r>
        <w:rPr>
          <w:rFonts w:ascii="Arial" w:cs="Arial" w:eastAsia="Arial" w:hAnsi="Arial"/>
          <w:sz w:val="18"/>
          <w:szCs w:val="18"/>
          <w:color w:val="auto"/>
        </w:rPr>
        <w:t>Net cash provided by operating activities for the six months ended June 30, 2024, primarily consisted of net income of $49.9 million adjusted for non-cash items of $42.6 million related to acquired IPR&amp;D, $ 21.4 million related to stock-based compensation expense, and $12.2 million related to intangible amortization and depreciation, offset by $17.8 million related to deferred tax assets. Net working capital excluding cash increased by $34.8 million.</w:t>
      </w:r>
    </w:p>
    <w:p>
      <w:pPr>
        <w:spacing w:after="0" w:line="176"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operating activities for the six months ended June 30, 2023, consisted of net income of $63.8 million adjusted for non-cash items of $7.6 million related to deferred tax assets, $12.1 million related to intangible amortization and depreciation and $14.4 million related to stock-based compensation expense. Net working capital excluding cash decreased by $3.3 million.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investing activities for the six months ended June 30, 2024, was $61.0 million, which was primarily attributable to $46.3 million in purchases of debt securities, a $25.5 million license fee paid to Bioprojet, $33.1 million net cash consideration paid for the acquisition of Epygenix, and $0.6 million in purchases of property and equipment, partially offset by $44.5 million from maturities of investments.</w:t>
      </w:r>
    </w:p>
    <w:p>
      <w:pPr>
        <w:spacing w:after="0" w:line="17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Net cash used in investing activities for the six months ended June 30, 2023, was $9.6 million, which was primarily attributable to $72.8 million in purchases of debt securities, partially offset by $63.5 million in proceeds from sales and maturities of investments and $0.2 million in purchases of property and equipment.</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Financing Activities</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used in financing activities for the six months ended June 30, 2024, was $7.1 million, which primarily consisted of $ 7.5 million in principal payments associated with the TLA Credit Agreement, partially offset by $0.7 million in proceeds from the exercise of stock options, and $0.3 million of employee withholding tax payments related to stock-based awards.</w:t>
      </w:r>
    </w:p>
    <w:p>
      <w:pPr>
        <w:spacing w:after="0" w:line="174"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Net cash provided by financing activities for the six months ended June 30, 2023, was $3.0 million, which primarily consisted of $ 4.6 million in proceeds from exercised options offset by a $1.0 million principal payment associated with the Blackstone Credit Agreement and $0.5 million of employee withholding tax payments related to stock-based awards.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Estimates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financial statements, which have been prepared in accordance with accounting principles generally accepted in the United States of America, or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GAAP, we evaluate our estimates and judgments on an ongoing basis.</w:t>
      </w:r>
    </w:p>
    <w:p>
      <w:pPr>
        <w:spacing w:after="0" w:line="185"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Significant estimates include assumptions used in the determination of the amount of revenue recognized on sales of WAKIX, costs incurred under services type agreements related to the performance of research and development activities, and the measurement of compensation expense pursuant to stock-based awards. We base our estimates on contractual terms, historical experience, and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We define our critical accounting policies as those under GAAP that require us to make subjective estimates and judgments about matters that are uncertain and are likely to have a material impact on our financial condition and results of operations, as well as the specific manner in which we apply those principles. During the quarter covered by this report, there were no material changes to the accounting policies and assumptions previously disclosed, except as disclosed in Note 3 to the unaudited condensed consolidated financial statements contained herein.</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12" w:lineRule="exact"/>
        <w:rPr>
          <w:sz w:val="20"/>
          <w:szCs w:val="20"/>
          <w:color w:val="auto"/>
        </w:rPr>
      </w:pPr>
    </w:p>
    <w:p>
      <w:pPr>
        <w:ind w:left="60" w:right="699" w:firstLine="648"/>
        <w:spacing w:after="0" w:line="271" w:lineRule="auto"/>
        <w:rPr>
          <w:sz w:val="20"/>
          <w:szCs w:val="20"/>
          <w:color w:val="auto"/>
        </w:rPr>
      </w:pPr>
      <w:r>
        <w:rPr>
          <w:rFonts w:ascii="Arial" w:cs="Arial" w:eastAsia="Arial" w:hAnsi="Arial"/>
          <w:sz w:val="18"/>
          <w:szCs w:val="18"/>
          <w:color w:val="auto"/>
        </w:rPr>
        <w:t>See Note 3 to our unaudited condensed consolidated financial statements for recent accounting pronouncements.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Rate Fluctuation Risk</w:t>
      </w:r>
    </w:p>
    <w:p>
      <w:pPr>
        <w:spacing w:after="0" w:line="212" w:lineRule="exact"/>
        <w:rPr>
          <w:sz w:val="20"/>
          <w:szCs w:val="20"/>
          <w:color w:val="auto"/>
        </w:rPr>
      </w:pPr>
    </w:p>
    <w:p>
      <w:pPr>
        <w:jc w:val="both"/>
        <w:ind w:left="60" w:right="59" w:firstLine="648"/>
        <w:spacing w:after="0" w:line="238" w:lineRule="auto"/>
        <w:rPr>
          <w:sz w:val="20"/>
          <w:szCs w:val="20"/>
          <w:color w:val="auto"/>
        </w:rPr>
      </w:pPr>
      <w:r>
        <w:rPr>
          <w:rFonts w:ascii="Arial" w:cs="Arial" w:eastAsia="Arial" w:hAnsi="Arial"/>
          <w:sz w:val="18"/>
          <w:szCs w:val="18"/>
          <w:color w:val="auto"/>
        </w:rPr>
        <w:t>We are exposed to market risk related to changes in interest rates. We invest a portion of our cash in investment-grade, interest-bearing securities. The primary objectives of our investment activities are to preserve principal, maintain liquidity and maximize total return. In order to achieve these objectives, we invest in money market funds, U.S. government and agency securities, corporate bonds and commercial paper in accordance with our investment policy. Our investment policy defines allowable investments and establishes guidelines relating to credit quality, diversification, and maturities of our investments to preserve principal and maintain liquidity. All investment securities have a credit rating of at least A-2/P-2/F2 from at least two National Recognized Statistical Rating Organizations. We do not have any direct investments in asset-backed securities, collateralized debt or loan obligations, or structured investment vehicles. Our primary exposure to market risk is interest income sensitivity, which is affected by changes in the general level of U.S. interest rates. Based on our $387.8 million of investments in money market funds, U.S. treasury notes, corporate bonds and municipal obligations as of June 30, 2024, an immediate 10% change in market interest rates would not have a material impact on the fair market value of our investment portfolio or on our financial position or results of operations.</w:t>
      </w:r>
    </w:p>
    <w:p>
      <w:pPr>
        <w:spacing w:after="0" w:line="180"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As of June 30, 2024, we had $188.8 million in borrowings outstanding. The Term Loans bear interest at a per annum rate equal to, at our option, (i) a base rate plus a specified margin ranging from 2.50% to 3.00%, based on our senior secured net leverage ratio (as defined in the TLA Credit Agreement) or (ii) Term SOFR plus a credit spread adjustment of 0.10% plus a specified margin ranging from 3.50% to 4.00%, based on our senior secured net leverage ratio. Based on the $188.8 million of principal outstanding as of June 30, 2024, an immediate 10% change in the SOFR would not have a material impact on our debt-related obligations, financial position or results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have contracted with and may continue to contract with foreign vendors that are located in Europe. Our operations may be subject to fluctuations in foreign currency exchange rates in the future.</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Inflation Fluctuation Risk</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for each of the three months ended June 30, 2024, and 2023.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12"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8"/>
          <w:szCs w:val="18"/>
          <w:color w:val="auto"/>
        </w:rPr>
        <w:t>Our management, including our principal executive officer and our principal financial officer, has evaluated the effectiveness of our disclosure controls and procedures, as defined in Rules 13a-15(e) and 15d-15(e) under the Exchange Act, as of June 30, 2024. Based on that evaluation, our principal executive officer and principal financial officer concluded that, as of June 30, 2024, our disclosure controls and procedures were effective to provide reasonable assurance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2024, that have materially affected, or are reasonably likely to materially affect, our internal control over financial reporting.</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12" w:lineRule="exact"/>
        <w:rPr>
          <w:sz w:val="20"/>
          <w:szCs w:val="20"/>
          <w:color w:val="auto"/>
        </w:rPr>
      </w:pPr>
    </w:p>
    <w:p>
      <w:pPr>
        <w:jc w:val="both"/>
        <w:ind w:left="60" w:right="59" w:firstLine="648"/>
        <w:spacing w:after="0"/>
        <w:rPr>
          <w:sz w:val="20"/>
          <w:szCs w:val="20"/>
          <w:color w:val="auto"/>
        </w:rPr>
      </w:pPr>
      <w:r>
        <w:rPr>
          <w:rFonts w:ascii="Arial" w:cs="Arial" w:eastAsia="Arial" w:hAnsi="Arial"/>
          <w:sz w:val="18"/>
          <w:szCs w:val="18"/>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b w:val="1"/>
          <w:bCs w:val="1"/>
          <w:i w:val="1"/>
          <w:iCs w:val="1"/>
          <w:color w:val="auto"/>
        </w:rPr>
        <w:t>.</w:t>
      </w:r>
    </w:p>
    <w:p>
      <w:pPr>
        <w:spacing w:after="0" w:line="212"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ANDA Litigation</w:t>
      </w:r>
    </w:p>
    <w:p>
      <w:pPr>
        <w:spacing w:after="0" w:line="198" w:lineRule="exact"/>
        <w:rPr>
          <w:sz w:val="20"/>
          <w:szCs w:val="20"/>
          <w:color w:val="auto"/>
        </w:rPr>
      </w:pPr>
    </w:p>
    <w:p>
      <w:pPr>
        <w:jc w:val="both"/>
        <w:ind w:left="60" w:right="59" w:firstLine="648"/>
        <w:spacing w:after="0" w:line="232" w:lineRule="auto"/>
        <w:rPr>
          <w:sz w:val="20"/>
          <w:szCs w:val="20"/>
          <w:color w:val="auto"/>
        </w:rPr>
      </w:pPr>
      <w:r>
        <w:rPr>
          <w:rFonts w:ascii="Arial" w:cs="Arial" w:eastAsia="Arial" w:hAnsi="Arial"/>
          <w:sz w:val="18"/>
          <w:szCs w:val="18"/>
          <w:color w:val="auto"/>
        </w:rPr>
        <w:t xml:space="preserve">On September 27, 2023, we and our licensor, Bioprojet, received notice from Lupin Limited (“Lupin”)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“Lupin Notice Letter”) that Lupin has submitted ANDA No. 218846 (the “Lupin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Nos. 8,486,947 (“’947 patent”) and 8,207,197 (“’197 patent”). On September 27, 2023, we and Bioprojet received notice from Novugen Pharma Sdn. Bhd. (“Novugen”)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“Novugen Notice Letter”) that Novugen has submitted ANDA No. 218834 (the “Novugen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’197 patent. The ’947 patent and the ‘197 patent are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September 2029 and March 2030, respectively. The Lupin Notice Letter and the Novugen Notice Letter assert that their generic product will not infringe the ’947 patent and the ‘197 patent and/or that the ’947 patent and the ‘197 patent are invalid or unenforceable. On November 9, 2023, we, Bioprojet and Bioprojet’s wholly owned subsidiary, Bioprojet Pharma SAS (“Bioprojet Pharma”), filed a complaint for patent infringement of the ’947</w:t>
      </w:r>
    </w:p>
    <w:p>
      <w:pPr>
        <w:sectPr>
          <w:pgSz w:w="11900" w:h="16838" w:orient="portrait"/>
          <w:cols w:equalWidth="0" w:num="1">
            <w:col w:w="9019"/>
          </w:cols>
          <w:pgMar w:left="1440" w:top="512"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color w:val="auto"/>
        </w:rPr>
        <w:t>patent and the ‘197 patent against Lupin, Novugen and certain of their affiliates and agents in the United States District Court for the District of Delaware in response to the filing of their respective ANDAs with the FDA.</w:t>
      </w:r>
    </w:p>
    <w:p>
      <w:pPr>
        <w:spacing w:after="0" w:line="154" w:lineRule="exact"/>
        <w:rPr>
          <w:sz w:val="20"/>
          <w:szCs w:val="20"/>
          <w:color w:val="auto"/>
        </w:rPr>
      </w:pPr>
    </w:p>
    <w:p>
      <w:pPr>
        <w:jc w:val="both"/>
        <w:ind w:left="60" w:right="59"/>
        <w:spacing w:after="0" w:line="231" w:lineRule="auto"/>
        <w:rPr>
          <w:sz w:val="20"/>
          <w:szCs w:val="20"/>
          <w:color w:val="auto"/>
        </w:rPr>
      </w:pPr>
      <w:r>
        <w:rPr>
          <w:rFonts w:ascii="Arial" w:cs="Arial" w:eastAsia="Arial" w:hAnsi="Arial"/>
          <w:sz w:val="18"/>
          <w:szCs w:val="18"/>
          <w:color w:val="auto"/>
        </w:rPr>
        <w:t xml:space="preserve">On October 12, 2023, we and Bioprojet received notice from Novitium Pharma LLC (“Novitium”),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“Novitium Notice Letter”), that Novitium has submitted ANDA No. 218495 (the “Novitium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U.S. Patent No. 8,354,430 (the “’430 patent”), which is also listed with respect to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in the FDA’s Orange Book and will expire in February 2026, ’947 patent, and ’197 patent. On October 12, 2023, we and Bioprojet received notice from Zenara Pharma Pvt. Ltd. (“Zenara”),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“Zenara Notice Letter”), that Zenara has submitted ANDA No. 218796 (the “Zenara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’947 patent and the ’197 patent. On October 14, 2023, we and Bioprojet received notice from AET Pharma US, Inc. (“AET”),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“AET Notice Letter”), that AET has submitted ANDA No. 218892 (the “AET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’947 patent and the ’197 patent. On October 16, 2023, we and Bioprojet received notice from Annora Pharma Private Limited (“Annora”), pursuant to 21 U.S.C. § 355(j)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21 C.F.R. § 314.95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“Annora Notice Letter”), that Annora has submitted ANDA No. 218832 (the “Annora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before the expiration of the ’430 patent, the ’947 patent and the ’197 patent. AET’s Notice Letter asserts that AET’s generic product will not infringe the ’947 patent and the ‘197 patent and/or that ’947 patent and the ‘197 patent are invalid or unenforceable. The Annora Notice Letter asserts that its generic product will not infringe the ‘430 patent, ’947 patent and the ‘197 patent and/or that the ‘430 patent, ’947 patent and the ‘197 patent are invalid or unenforceable. The Novitium Notice Letter asserts that its generic product will not infringe the ‘430 patent, ’947 patent and the ‘197 patent and/or that the ‘430 patent, ’947 patent and the ‘197 patent are invalid or unenforceable. The Zenara Notice Letter asserts that its generic product will not infringe the ‘430 patent, ’947 patent and the ‘197 patent and/or that the ‘430 patent, ’947 patent and the ‘197 patent are invalid or unenforceable. On November 21, 2023, we, Bioprojet and Bioprojet Pharma filed a complaint for patent infringement of the ’947 patent and the ‘197 patent against AET, Annora, Novitium and Zenara and certain of their affiliates and agents and for patent infringement of the ’430 patent against Annora, Novitium and Zenara and certain of their affiliates and agents in the United States District Court for the District of Delaware in response to their filing of their respective ANDAs with the FDA.</w:t>
      </w:r>
    </w:p>
    <w:p>
      <w:pPr>
        <w:spacing w:after="0" w:line="200"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In October 2023, MSN Pharmaceuticals Inc. (“MSN Pharma”) sent correspondence to us and Bioprojet stating that MSN Pharma has submitted ANDA No. 218873 (the “MSN ANDA”) to the FDA and is seeking regulatory approval to market a generic version of WAKIX</w:t>
      </w:r>
      <w:r>
        <w:rPr>
          <w:rFonts w:ascii="Arial" w:cs="Arial" w:eastAsia="Arial" w:hAnsi="Arial"/>
          <w:sz w:val="20"/>
          <w:szCs w:val="20"/>
          <w:color w:val="auto"/>
          <w:vertAlign w:val="superscript"/>
        </w:rPr>
        <w:t>®</w:t>
      </w:r>
      <w:r>
        <w:rPr>
          <w:rFonts w:ascii="Arial" w:cs="Arial" w:eastAsia="Arial" w:hAnsi="Arial"/>
          <w:sz w:val="20"/>
          <w:szCs w:val="20"/>
          <w:color w:val="auto"/>
          <w:vertAlign w:val="subscript"/>
        </w:rPr>
        <w:t>.</w:t>
      </w:r>
      <w:r>
        <w:rPr>
          <w:rFonts w:ascii="Arial" w:cs="Arial" w:eastAsia="Arial" w:hAnsi="Arial"/>
          <w:sz w:val="18"/>
          <w:szCs w:val="18"/>
          <w:color w:val="auto"/>
        </w:rPr>
        <w:t xml:space="preserve"> On December 8, 2023, MSN Laboratories Private Limited (“MSN”) filed a declaratory judgment action in the United States District Court for the Eastern District of Virginia against Bioprojet claiming that the ‘430 patent, the ’947 patent and the ‘197 patent will not be infringed by MSN’s generic version of WAKIX</w:t>
      </w:r>
      <w:r>
        <w:rPr>
          <w:rFonts w:ascii="Arial" w:cs="Arial" w:eastAsia="Arial" w:hAnsi="Arial"/>
          <w:sz w:val="20"/>
          <w:szCs w:val="20"/>
          <w:color w:val="auto"/>
          <w:vertAlign w:val="superscript"/>
        </w:rPr>
        <w:t>®</w:t>
      </w:r>
      <w:r>
        <w:rPr>
          <w:rFonts w:ascii="Arial" w:cs="Arial" w:eastAsia="Arial" w:hAnsi="Arial"/>
          <w:sz w:val="18"/>
          <w:szCs w:val="18"/>
          <w:color w:val="auto"/>
        </w:rPr>
        <w:t xml:space="preserve"> and that the ‘947 patent is invalid. On December 11, 2023, we, Bioprojet and Bioprojet Pharma filed a complaint in the United States District Court for the District of Delaware for patent infringement of the ‘430 patent, the ’947 patent and the ‘197 patent against MSN and MSN Pharma. On January 12, 2024, the declaratory judgment action was transferred from the United States District Court for the Eastern District of Virginia to the United States District Court for the District of Delaware.</w:t>
      </w:r>
    </w:p>
    <w:p>
      <w:pPr>
        <w:spacing w:after="0" w:line="183" w:lineRule="exact"/>
        <w:rPr>
          <w:sz w:val="20"/>
          <w:szCs w:val="20"/>
          <w:color w:val="auto"/>
        </w:rPr>
      </w:pPr>
    </w:p>
    <w:p>
      <w:pPr>
        <w:jc w:val="both"/>
        <w:ind w:left="60" w:right="59" w:firstLine="648"/>
        <w:spacing w:after="0" w:line="247" w:lineRule="auto"/>
        <w:rPr>
          <w:sz w:val="20"/>
          <w:szCs w:val="20"/>
          <w:color w:val="auto"/>
        </w:rPr>
      </w:pPr>
      <w:r>
        <w:rPr>
          <w:rFonts w:ascii="Arial" w:cs="Arial" w:eastAsia="Arial" w:hAnsi="Arial"/>
          <w:sz w:val="18"/>
          <w:szCs w:val="18"/>
          <w:color w:val="auto"/>
        </w:rPr>
        <w:t>On April 15, 2024, the United States District Court for the District of Delaware issued a scheduling order consolidating the cases described above for all purposes up to and including trial (the “Scheduling Order”). The Scheduling Order set March 27, 2025, as the date for the hearing on claim construction and scheduled a four-day bench trial beginning on February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8"/>
          <w:szCs w:val="18"/>
          <w:color w:val="auto"/>
        </w:rPr>
        <w:t>In addition to the other information included in this report, you should carefully consider the discussion of risk factors affecting the Company as set forth in Part I, Item 1A "Risk Factors” included in our Annual Report on Form 10-K for the year ended December 31, 2023, which could materially affect our business, financial condition or future results. The risks described in these reports are not the only risks facing the Company. Additional risks and uncertainties not currently known to us or that we currently deem to be immaterial may also materially adversely affect our business, financial condition, and operating results.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Rule 10b5-1 Trading Arrangements</w:t>
      </w:r>
    </w:p>
    <w:p>
      <w:pPr>
        <w:spacing w:after="0" w:line="212" w:lineRule="exact"/>
        <w:rPr>
          <w:sz w:val="20"/>
          <w:szCs w:val="20"/>
          <w:color w:val="auto"/>
        </w:rPr>
      </w:pPr>
    </w:p>
    <w:p>
      <w:pPr>
        <w:jc w:val="both"/>
        <w:ind w:left="60" w:right="79" w:firstLine="648"/>
        <w:spacing w:after="0" w:line="253" w:lineRule="auto"/>
        <w:rPr>
          <w:sz w:val="20"/>
          <w:szCs w:val="20"/>
          <w:color w:val="auto"/>
        </w:rPr>
      </w:pPr>
      <w:r>
        <w:rPr>
          <w:rFonts w:ascii="Arial" w:cs="Arial" w:eastAsia="Arial" w:hAnsi="Arial"/>
          <w:sz w:val="18"/>
          <w:szCs w:val="18"/>
          <w:color w:val="auto"/>
        </w:rPr>
        <w:t>During the three months ended June 30, 2024, no director or officer of the Company adopted or terminated a “Rule 10b5-1 trading arrangement” or “non-Rule 10b5-1 trading arrangement,” as each term is defined in Item 408(a) of Regulation S-K.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980" w:type="dxa"/>
            <w:vAlign w:val="bottom"/>
          </w:tcPr>
          <w:p>
            <w:pPr>
              <w:jc w:val="right"/>
              <w:ind w:right="188"/>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55"/>
        </w:trPr>
        <w:tc>
          <w:tcPr>
            <w:tcW w:w="980" w:type="dxa"/>
            <w:vAlign w:val="bottom"/>
          </w:tcPr>
          <w:p>
            <w:pPr>
              <w:jc w:val="right"/>
              <w:ind w:right="308"/>
              <w:spacing w:after="0" w:line="155" w:lineRule="exact"/>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20"/>
          </w:tcPr>
          <w:p>
            <w:pPr>
              <w:ind w:left="360"/>
              <w:spacing w:after="0" w:line="155" w:lineRule="exact"/>
              <w:rPr>
                <w:sz w:val="20"/>
                <w:szCs w:val="20"/>
                <w:color w:val="auto"/>
              </w:rPr>
            </w:pPr>
            <w:r>
              <w:rPr>
                <w:rFonts w:ascii="Arial" w:cs="Arial" w:eastAsia="Arial" w:hAnsi="Arial"/>
                <w:sz w:val="14"/>
                <w:szCs w:val="14"/>
                <w:b w:val="1"/>
                <w:bCs w:val="1"/>
                <w:color w:val="auto"/>
              </w:rPr>
              <w:t>Exhibit Description</w:t>
            </w:r>
          </w:p>
        </w:tc>
        <w:tc>
          <w:tcPr>
            <w:tcW w:w="560" w:type="dxa"/>
            <w:vAlign w:val="bottom"/>
          </w:tcPr>
          <w:p>
            <w:pPr>
              <w:jc w:val="center"/>
              <w:ind w:left="88"/>
              <w:spacing w:after="0" w:line="155" w:lineRule="exact"/>
              <w:rPr>
                <w:sz w:val="20"/>
                <w:szCs w:val="20"/>
                <w:color w:val="auto"/>
              </w:rPr>
            </w:pPr>
            <w:r>
              <w:rPr>
                <w:rFonts w:ascii="Arial" w:cs="Arial" w:eastAsia="Arial" w:hAnsi="Arial"/>
                <w:sz w:val="14"/>
                <w:szCs w:val="14"/>
                <w:b w:val="1"/>
                <w:bCs w:val="1"/>
                <w:color w:val="auto"/>
              </w:rPr>
              <w:t>Form</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8"/>
              </w:rPr>
              <w:t>Date</w:t>
            </w:r>
          </w:p>
        </w:tc>
        <w:tc>
          <w:tcPr>
            <w:tcW w:w="820" w:type="dxa"/>
            <w:vAlign w:val="bottom"/>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42"/>
        </w:trPr>
        <w:tc>
          <w:tcPr>
            <w:tcW w:w="98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20" w:type="dxa"/>
            <w:vAlign w:val="bottom"/>
            <w:tcBorders>
              <w:top w:val="single" w:sz="8" w:color="auto"/>
            </w:tcBorders>
            <w:gridSpan w:val="21"/>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Agreement and Plan of Merger, dated August 14, 2023, by and among</w:t>
              </w:r>
            </w:hyperlink>
          </w:p>
        </w:tc>
        <w:tc>
          <w:tcPr>
            <w:tcW w:w="160" w:type="dxa"/>
            <w:vAlign w:val="bottom"/>
          </w:tcPr>
          <w:p>
            <w:pPr>
              <w:spacing w:after="0"/>
              <w:rPr>
                <w:sz w:val="12"/>
                <w:szCs w:val="12"/>
                <w:color w:val="auto"/>
              </w:rPr>
            </w:pPr>
          </w:p>
        </w:tc>
        <w:tc>
          <w:tcPr>
            <w:tcW w:w="560" w:type="dxa"/>
            <w:vAlign w:val="bottom"/>
            <w:tcBorders>
              <w:top w:val="single" w:sz="8" w:color="auto"/>
            </w:tcBorders>
          </w:tcPr>
          <w:p>
            <w:pPr>
              <w:jc w:val="center"/>
              <w:ind w:left="88"/>
              <w:spacing w:after="0" w:line="142" w:lineRule="exact"/>
              <w:rPr>
                <w:sz w:val="20"/>
                <w:szCs w:val="20"/>
                <w:color w:val="auto"/>
              </w:rPr>
            </w:pPr>
            <w:r>
              <w:rPr>
                <w:rFonts w:ascii="Arial" w:cs="Arial" w:eastAsia="Arial" w:hAnsi="Arial"/>
                <w:sz w:val="14"/>
                <w:szCs w:val="14"/>
                <w:color w:val="auto"/>
              </w:rPr>
              <w:t>8-K/A</w:t>
            </w:r>
          </w:p>
        </w:tc>
        <w:tc>
          <w:tcPr>
            <w:tcW w:w="1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September 14,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20" w:type="dxa"/>
            <w:vAlign w:val="bottom"/>
            <w:tcBorders>
              <w:top w:val="single" w:sz="8" w:color="0000EE"/>
            </w:tcBorders>
            <w:gridSpan w:val="19"/>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Harmony Biosciences Holdings, Inc., Xylophone Acquisition Corp. and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580" w:type="dxa"/>
            <w:vAlign w:val="bottom"/>
            <w:gridSpan w:val="3"/>
          </w:tcPr>
          <w:p>
            <w:pPr>
              <w:jc w:val="center"/>
              <w:ind w:left="228"/>
              <w:spacing w:after="0" w:line="142" w:lineRule="exact"/>
              <w:rPr>
                <w:sz w:val="20"/>
                <w:szCs w:val="20"/>
                <w:color w:val="auto"/>
              </w:rPr>
            </w:pPr>
            <w:r>
              <w:rPr>
                <w:rFonts w:ascii="Arial" w:cs="Arial" w:eastAsia="Arial" w:hAnsi="Arial"/>
                <w:sz w:val="14"/>
                <w:szCs w:val="14"/>
                <w:color w:val="auto"/>
              </w:rPr>
              <w:t>2023</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2"/>
                <w:szCs w:val="12"/>
                <w:color w:val="auto"/>
              </w:rPr>
            </w:pPr>
          </w:p>
        </w:tc>
        <w:tc>
          <w:tcPr>
            <w:tcW w:w="4480" w:type="dxa"/>
            <w:vAlign w:val="bottom"/>
            <w:tcBorders>
              <w:top w:val="single" w:sz="8" w:color="0000EE"/>
            </w:tcBorders>
            <w:gridSpan w:val="17"/>
          </w:tcPr>
          <w:p>
            <w:pPr>
              <w:spacing w:after="0" w:line="142" w:lineRule="exact"/>
              <w:rPr>
                <w:rFonts w:ascii="Arial" w:cs="Arial" w:eastAsia="Arial" w:hAnsi="Arial"/>
                <w:sz w:val="14"/>
                <w:szCs w:val="14"/>
                <w:color w:val="0000EE"/>
              </w:rPr>
            </w:pPr>
            <w:hyperlink r:id="rId52">
              <w:r>
                <w:rPr>
                  <w:rFonts w:ascii="Arial" w:cs="Arial" w:eastAsia="Arial" w:hAnsi="Arial"/>
                  <w:sz w:val="14"/>
                  <w:szCs w:val="14"/>
                  <w:color w:val="0000EE"/>
                </w:rPr>
                <w:t>Zynerba Pharmaceuticals, Inc.</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
        </w:trPr>
        <w:tc>
          <w:tcPr>
            <w:tcW w:w="98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53">
              <w:r>
                <w:rPr>
                  <w:rFonts w:ascii="Arial" w:cs="Arial" w:eastAsia="Arial" w:hAnsi="Arial"/>
                  <w:sz w:val="14"/>
                  <w:szCs w:val="14"/>
                  <w:color w:val="0000EE"/>
                </w:rPr>
                <w:t>Amended and Restated Certificate of Incorporation of Harmony</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08"/>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4020" w:type="dxa"/>
            <w:vAlign w:val="bottom"/>
            <w:tcBorders>
              <w:top w:val="single" w:sz="8" w:color="0000EE"/>
            </w:tcBorders>
            <w:gridSpan w:val="10"/>
          </w:tcPr>
          <w:p>
            <w:pPr>
              <w:spacing w:after="0" w:line="142" w:lineRule="exact"/>
              <w:rPr>
                <w:rFonts w:ascii="Arial" w:cs="Arial" w:eastAsia="Arial" w:hAnsi="Arial"/>
                <w:sz w:val="14"/>
                <w:szCs w:val="14"/>
                <w:color w:val="0000EE"/>
              </w:rPr>
            </w:pPr>
            <w:hyperlink r:id="rId53">
              <w:r>
                <w:rPr>
                  <w:rFonts w:ascii="Arial" w:cs="Arial" w:eastAsia="Arial" w:hAnsi="Arial"/>
                  <w:sz w:val="14"/>
                  <w:szCs w:val="14"/>
                  <w:color w:val="0000EE"/>
                </w:rPr>
                <w:t>Biosciences Holdings, Inc.</w:t>
              </w:r>
            </w:hyperlink>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August 21, 2020</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Borders>
              <w:top w:val="single" w:sz="8" w:color="0000EE"/>
              <w:bottom w:val="single" w:sz="8" w:color="0000EE"/>
            </w:tcBorders>
            <w:gridSpan w:val="4"/>
          </w:tcPr>
          <w:p>
            <w:pPr>
              <w:spacing w:after="0" w:line="142" w:lineRule="exact"/>
              <w:rPr>
                <w:rFonts w:ascii="Arial" w:cs="Arial" w:eastAsia="Arial" w:hAnsi="Arial"/>
                <w:sz w:val="14"/>
                <w:szCs w:val="14"/>
                <w:color w:val="0000EE"/>
              </w:rPr>
            </w:pPr>
            <w:hyperlink r:id="rId54">
              <w:r>
                <w:rPr>
                  <w:rFonts w:ascii="Arial" w:cs="Arial" w:eastAsia="Arial" w:hAnsi="Arial"/>
                  <w:sz w:val="14"/>
                  <w:szCs w:val="14"/>
                  <w:color w:val="0000EE"/>
                </w:rPr>
                <w:t>Amended and Restated</w:t>
              </w:r>
            </w:hyperlink>
          </w:p>
        </w:tc>
        <w:tc>
          <w:tcPr>
            <w:tcW w:w="380" w:type="dxa"/>
            <w:vAlign w:val="bottom"/>
            <w:tcBorders>
              <w:bottom w:val="single" w:sz="8" w:color="0000EE"/>
            </w:tcBorders>
            <w:gridSpan w:val="4"/>
          </w:tcPr>
          <w:p>
            <w:pPr>
              <w:spacing w:after="0" w:line="142" w:lineRule="exact"/>
              <w:rPr>
                <w:rFonts w:ascii="Arial" w:cs="Arial" w:eastAsia="Arial" w:hAnsi="Arial"/>
                <w:sz w:val="14"/>
                <w:szCs w:val="14"/>
                <w:color w:val="0000EE"/>
                <w:w w:val="74"/>
              </w:rPr>
            </w:pPr>
            <w:hyperlink r:id="rId54">
              <w:r>
                <w:rPr>
                  <w:rFonts w:ascii="Arial" w:cs="Arial" w:eastAsia="Arial" w:hAnsi="Arial"/>
                  <w:sz w:val="14"/>
                  <w:szCs w:val="14"/>
                  <w:color w:val="0000EE"/>
                  <w:w w:val="74"/>
                </w:rPr>
                <w:t>Bylaws.</w:t>
              </w:r>
            </w:hyperlink>
          </w:p>
        </w:tc>
        <w:tc>
          <w:tcPr>
            <w:tcW w:w="2740" w:type="dxa"/>
            <w:vAlign w:val="bottom"/>
            <w:gridSpan w:val="15"/>
          </w:tcPr>
          <w:p>
            <w:pPr>
              <w:spacing w:after="0"/>
              <w:rPr>
                <w:sz w:val="12"/>
                <w:szCs w:val="12"/>
                <w:color w:val="auto"/>
              </w:rPr>
            </w:pPr>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jc w:val="right"/>
              <w:ind w:right="348"/>
              <w:spacing w:after="0" w:line="142" w:lineRule="exact"/>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Amendment No. 1 to License and Commercialization Agreement, dated</w:t>
              </w:r>
            </w:hyperlink>
          </w:p>
        </w:tc>
        <w:tc>
          <w:tcPr>
            <w:tcW w:w="560" w:type="dxa"/>
            <w:vAlign w:val="bottom"/>
          </w:tcPr>
          <w:p>
            <w:pPr>
              <w:jc w:val="center"/>
              <w:ind w:left="88"/>
              <w:spacing w:after="0" w:line="142" w:lineRule="exact"/>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color w:val="auto"/>
              </w:rPr>
              <w:t>April 30, 2024</w:t>
            </w:r>
          </w:p>
        </w:tc>
        <w:tc>
          <w:tcPr>
            <w:tcW w:w="820" w:type="dxa"/>
            <w:vAlign w:val="bottom"/>
          </w:tcPr>
          <w:p>
            <w:pPr>
              <w:jc w:val="center"/>
              <w:ind w:left="68"/>
              <w:spacing w:after="0" w:line="142" w:lineRule="exact"/>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1"/>
          </w:tcPr>
          <w:p>
            <w:pPr>
              <w:spacing w:after="0" w:line="142" w:lineRule="exact"/>
              <w:rPr>
                <w:rFonts w:ascii="Arial" w:cs="Arial" w:eastAsia="Arial" w:hAnsi="Arial"/>
                <w:sz w:val="14"/>
                <w:szCs w:val="14"/>
                <w:color w:val="0000EE"/>
              </w:rPr>
            </w:pPr>
            <w:hyperlink r:id="rId55">
              <w:r>
                <w:rPr>
                  <w:rFonts w:ascii="Arial" w:cs="Arial" w:eastAsia="Arial" w:hAnsi="Arial"/>
                  <w:sz w:val="14"/>
                  <w:szCs w:val="14"/>
                  <w:color w:val="0000EE"/>
                </w:rPr>
                <w:t xml:space="preserve">July 31, 2022,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10.2*</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55">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10-Q</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April 30,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Amendment No. 2 to License and Commercialization Agreement, dated</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60" w:type="dxa"/>
            <w:vAlign w:val="bottom"/>
            <w:tcBorders>
              <w:top w:val="single" w:sz="8" w:color="0000EE"/>
            </w:tcBorders>
            <w:gridSpan w:val="21"/>
          </w:tcPr>
          <w:p>
            <w:pPr>
              <w:spacing w:after="0" w:line="142" w:lineRule="exact"/>
              <w:rPr>
                <w:rFonts w:ascii="Arial" w:cs="Arial" w:eastAsia="Arial" w:hAnsi="Arial"/>
                <w:sz w:val="14"/>
                <w:szCs w:val="14"/>
                <w:color w:val="0000EE"/>
              </w:rPr>
            </w:pPr>
            <w:hyperlink r:id="rId56">
              <w:r>
                <w:rPr>
                  <w:rFonts w:ascii="Arial" w:cs="Arial" w:eastAsia="Arial" w:hAnsi="Arial"/>
                  <w:sz w:val="14"/>
                  <w:szCs w:val="14"/>
                  <w:color w:val="0000EE"/>
                </w:rPr>
                <w:t xml:space="preserve">July 28, 2017, by and between </w:t>
              </w:r>
              <w:r>
                <w:rPr>
                  <w:rFonts w:ascii="Arial" w:cs="Arial" w:eastAsia="Arial" w:hAnsi="Arial"/>
                  <w:sz w:val="14"/>
                  <w:szCs w:val="14"/>
                  <w:color w:val="0000EE"/>
                  <w:highlight w:val="white"/>
                </w:rPr>
                <w:t>Bioprojet Société Civile de Recherche</w:t>
              </w:r>
            </w:hyperlink>
          </w:p>
        </w:tc>
        <w:tc>
          <w:tcPr>
            <w:tcW w:w="24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28"/>
              <w:spacing w:after="0"/>
              <w:rPr>
                <w:sz w:val="20"/>
                <w:szCs w:val="20"/>
                <w:color w:val="auto"/>
              </w:rPr>
            </w:pPr>
            <w:r>
              <w:rPr>
                <w:rFonts w:ascii="Arial" w:cs="Arial" w:eastAsia="Arial" w:hAnsi="Arial"/>
                <w:sz w:val="14"/>
                <w:szCs w:val="14"/>
                <w:color w:val="auto"/>
              </w:rPr>
              <w:t>10.3#</w:t>
            </w:r>
          </w:p>
        </w:tc>
        <w:tc>
          <w:tcPr>
            <w:tcW w:w="160" w:type="dxa"/>
            <w:vAlign w:val="bottom"/>
          </w:tcPr>
          <w:p>
            <w:pPr>
              <w:spacing w:after="0"/>
              <w:rPr>
                <w:sz w:val="12"/>
                <w:szCs w:val="12"/>
                <w:color w:val="auto"/>
              </w:rPr>
            </w:pPr>
          </w:p>
        </w:tc>
        <w:tc>
          <w:tcPr>
            <w:tcW w:w="2000" w:type="dxa"/>
            <w:vAlign w:val="bottom"/>
            <w:tcBorders>
              <w:top w:val="single" w:sz="8" w:color="0000EE"/>
              <w:bottom w:val="single" w:sz="8" w:color="0000EE"/>
            </w:tcBorders>
            <w:gridSpan w:val="6"/>
          </w:tcPr>
          <w:p>
            <w:pPr>
              <w:spacing w:after="0" w:line="142" w:lineRule="exact"/>
              <w:rPr>
                <w:rFonts w:ascii="Arial" w:cs="Arial" w:eastAsia="Arial" w:hAnsi="Arial"/>
                <w:sz w:val="14"/>
                <w:szCs w:val="14"/>
                <w:color w:val="0000EE"/>
                <w:w w:val="98"/>
              </w:rPr>
            </w:pPr>
            <w:hyperlink r:id="rId56">
              <w:r>
                <w:rPr>
                  <w:rFonts w:ascii="Arial" w:cs="Arial" w:eastAsia="Arial" w:hAnsi="Arial"/>
                  <w:sz w:val="14"/>
                  <w:szCs w:val="14"/>
                  <w:color w:val="0000EE"/>
                  <w:w w:val="98"/>
                </w:rPr>
                <w:t>and Harmony Biosciences, LLC.</w:t>
              </w:r>
            </w:hyperlink>
          </w:p>
        </w:tc>
        <w:tc>
          <w:tcPr>
            <w:tcW w:w="20" w:type="dxa"/>
            <w:vAlign w:val="bottom"/>
            <w:tcBorders>
              <w:bottom w:val="single" w:sz="8" w:color="0000EE"/>
            </w:tcBorders>
          </w:tcPr>
          <w:p>
            <w:pPr>
              <w:spacing w:after="0"/>
              <w:rPr>
                <w:sz w:val="12"/>
                <w:szCs w:val="12"/>
                <w:color w:val="auto"/>
              </w:rPr>
            </w:pPr>
          </w:p>
        </w:tc>
        <w:tc>
          <w:tcPr>
            <w:tcW w:w="40" w:type="dxa"/>
            <w:vAlign w:val="bottom"/>
            <w:tcBorders>
              <w:top w:val="single" w:sz="8" w:color="0000EE"/>
              <w:bottom w:val="single" w:sz="8" w:color="0000EE"/>
            </w:tcBorders>
          </w:tcPr>
          <w:p>
            <w:pPr>
              <w:spacing w:after="0"/>
              <w:rPr>
                <w:sz w:val="12"/>
                <w:szCs w:val="12"/>
                <w:color w:val="auto"/>
              </w:rPr>
            </w:pPr>
          </w:p>
        </w:tc>
        <w:tc>
          <w:tcPr>
            <w:tcW w:w="178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gridSpan w:val="2"/>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8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vMerge w:val="restart"/>
          </w:tcPr>
          <w:p>
            <w:pPr>
              <w:jc w:val="center"/>
              <w:ind w:left="88"/>
              <w:spacing w:after="0"/>
              <w:rPr>
                <w:sz w:val="20"/>
                <w:szCs w:val="20"/>
                <w:color w:val="auto"/>
              </w:rPr>
            </w:pPr>
            <w:r>
              <w:rPr>
                <w:rFonts w:ascii="Arial" w:cs="Arial" w:eastAsia="Arial" w:hAnsi="Arial"/>
                <w:sz w:val="14"/>
                <w:szCs w:val="14"/>
                <w:color w:val="auto"/>
              </w:rPr>
              <w:t>8-K</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color w:val="auto"/>
              </w:rPr>
              <w:t>May 3, 2024</w:t>
            </w:r>
          </w:p>
        </w:tc>
        <w:tc>
          <w:tcPr>
            <w:tcW w:w="820" w:type="dxa"/>
            <w:vAlign w:val="bottom"/>
            <w:vMerge w:val="restart"/>
          </w:tcPr>
          <w:p>
            <w:pPr>
              <w:jc w:val="center"/>
              <w:ind w:left="6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Employment Letter between Harmony Biosciences, LLC, and Kumar</w:t>
              </w:r>
            </w:hyperlink>
          </w:p>
        </w:tc>
        <w:tc>
          <w:tcPr>
            <w:tcW w:w="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31.1*</w:t>
            </w:r>
          </w:p>
        </w:tc>
        <w:tc>
          <w:tcPr>
            <w:tcW w:w="160" w:type="dxa"/>
            <w:vAlign w:val="bottom"/>
          </w:tcPr>
          <w:p>
            <w:pPr>
              <w:spacing w:after="0"/>
              <w:rPr>
                <w:sz w:val="12"/>
                <w:szCs w:val="12"/>
                <w:color w:val="auto"/>
              </w:rPr>
            </w:pPr>
          </w:p>
        </w:tc>
        <w:tc>
          <w:tcPr>
            <w:tcW w:w="4360" w:type="dxa"/>
            <w:vAlign w:val="bottom"/>
            <w:tcBorders>
              <w:top w:val="single" w:sz="8" w:color="0000EE"/>
            </w:tcBorders>
            <w:gridSpan w:val="13"/>
          </w:tcPr>
          <w:p>
            <w:pPr>
              <w:spacing w:after="0" w:line="142" w:lineRule="exact"/>
              <w:rPr>
                <w:rFonts w:ascii="Arial" w:cs="Arial" w:eastAsia="Arial" w:hAnsi="Arial"/>
                <w:sz w:val="14"/>
                <w:szCs w:val="14"/>
                <w:color w:val="0000EE"/>
              </w:rPr>
            </w:pPr>
            <w:hyperlink r:id="rId57">
              <w:r>
                <w:rPr>
                  <w:rFonts w:ascii="Arial" w:cs="Arial" w:eastAsia="Arial" w:hAnsi="Arial"/>
                  <w:sz w:val="14"/>
                  <w:szCs w:val="14"/>
                  <w:color w:val="0000EE"/>
                </w:rPr>
                <w:t>Budur, as amended.</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Borders>
              <w:top w:val="single" w:sz="8" w:color="0000EE"/>
            </w:tcBorders>
            <w:gridSpan w:val="3"/>
          </w:tcPr>
          <w:p>
            <w:pPr>
              <w:spacing w:after="0" w:line="142" w:lineRule="exact"/>
              <w:rPr>
                <w:sz w:val="20"/>
                <w:szCs w:val="20"/>
                <w:color w:val="auto"/>
              </w:rPr>
            </w:pPr>
            <w:r>
              <w:rPr>
                <w:rFonts w:ascii="Arial" w:cs="Arial" w:eastAsia="Arial" w:hAnsi="Arial"/>
                <w:sz w:val="14"/>
                <w:szCs w:val="14"/>
                <w:color w:val="0000EE"/>
              </w:rPr>
              <w:t>Certification of Chief</w:t>
            </w:r>
          </w:p>
        </w:tc>
        <w:tc>
          <w:tcPr>
            <w:tcW w:w="3500" w:type="dxa"/>
            <w:vAlign w:val="bottom"/>
            <w:gridSpan w:val="20"/>
          </w:tcPr>
          <w:p>
            <w:pPr>
              <w:ind w:left="40"/>
              <w:spacing w:after="0" w:line="142" w:lineRule="exact"/>
              <w:rPr>
                <w:sz w:val="20"/>
                <w:szCs w:val="20"/>
                <w:color w:val="auto"/>
              </w:rPr>
            </w:pPr>
            <w:r>
              <w:rPr>
                <w:rFonts w:ascii="Arial" w:cs="Arial" w:eastAsia="Arial" w:hAnsi="Arial"/>
                <w:sz w:val="14"/>
                <w:szCs w:val="14"/>
                <w:color w:val="0000EE"/>
              </w:rPr>
              <w:t>Executive Officer pursuant to Rules 13a-14(a) and</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tcBorders>
              <w:top w:val="single" w:sz="8" w:color="0000EE"/>
            </w:tcBorders>
            <w:gridSpan w:val="20"/>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26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348"/>
              <w:spacing w:after="0"/>
              <w:rPr>
                <w:sz w:val="20"/>
                <w:szCs w:val="20"/>
                <w:color w:val="auto"/>
              </w:rPr>
            </w:pPr>
            <w:r>
              <w:rPr>
                <w:rFonts w:ascii="Arial" w:cs="Arial" w:eastAsia="Arial" w:hAnsi="Arial"/>
                <w:sz w:val="14"/>
                <w:szCs w:val="14"/>
                <w:color w:val="auto"/>
              </w:rPr>
              <w:t>31.2*</w:t>
            </w:r>
          </w:p>
        </w:tc>
        <w:tc>
          <w:tcPr>
            <w:tcW w:w="160" w:type="dxa"/>
            <w:vAlign w:val="bottom"/>
          </w:tcPr>
          <w:p>
            <w:pPr>
              <w:spacing w:after="0"/>
              <w:rPr>
                <w:sz w:val="12"/>
                <w:szCs w:val="12"/>
                <w:color w:val="auto"/>
              </w:rPr>
            </w:pPr>
          </w:p>
        </w:tc>
        <w:tc>
          <w:tcPr>
            <w:tcW w:w="4400" w:type="dxa"/>
            <w:vAlign w:val="bottom"/>
            <w:tcBorders>
              <w:bottom w:val="single" w:sz="8" w:color="0000EE"/>
            </w:tcBorders>
            <w:gridSpan w:val="15"/>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400" w:type="dxa"/>
            <w:vAlign w:val="bottom"/>
            <w:gridSpan w:val="8"/>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500" w:type="dxa"/>
            <w:vAlign w:val="bottom"/>
            <w:tcBorders>
              <w:bottom w:val="single" w:sz="8" w:color="0000EE"/>
            </w:tcBorders>
            <w:gridSpan w:val="18"/>
          </w:tcPr>
          <w:p>
            <w:pPr>
              <w:spacing w:after="0" w:line="142" w:lineRule="exact"/>
              <w:rPr>
                <w:sz w:val="20"/>
                <w:szCs w:val="20"/>
                <w:color w:val="auto"/>
              </w:rPr>
            </w:pPr>
            <w:r>
              <w:rPr>
                <w:rFonts w:ascii="Arial" w:cs="Arial" w:eastAsia="Arial" w:hAnsi="Arial"/>
                <w:sz w:val="14"/>
                <w:szCs w:val="14"/>
                <w:color w:val="0000EE"/>
              </w:rPr>
              <w:t>Certification of Chief Financial Officer pursuant to Rules 13a-14(a) and</w:t>
            </w:r>
          </w:p>
        </w:tc>
        <w:tc>
          <w:tcPr>
            <w:tcW w:w="300" w:type="dxa"/>
            <w:vAlign w:val="bottom"/>
            <w:gridSpan w:val="5"/>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15d-14(a) of the Securities Exchange Act of 1934, as amended, as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32.1**</w:t>
            </w: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adopted pursuant to Section 302 of the Sarbanes-Oxley Act of 2002.</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380" w:type="dxa"/>
            <w:vAlign w:val="bottom"/>
            <w:tcBorders>
              <w:top w:val="single" w:sz="8" w:color="0000EE"/>
            </w:tcBorders>
            <w:gridSpan w:val="14"/>
          </w:tcPr>
          <w:p>
            <w:pPr>
              <w:spacing w:after="0" w:line="142" w:lineRule="exact"/>
              <w:rPr>
                <w:sz w:val="20"/>
                <w:szCs w:val="20"/>
                <w:color w:val="auto"/>
              </w:rPr>
            </w:pPr>
            <w:r>
              <w:rPr>
                <w:rFonts w:ascii="Arial" w:cs="Arial" w:eastAsia="Arial" w:hAnsi="Arial"/>
                <w:sz w:val="14"/>
                <w:szCs w:val="14"/>
                <w:color w:val="0000EE"/>
              </w:rPr>
              <w:t>Certification of Chief Executive Officer pursuant to 18 U.S.C.</w:t>
            </w:r>
          </w:p>
        </w:tc>
        <w:tc>
          <w:tcPr>
            <w:tcW w:w="420" w:type="dxa"/>
            <w:vAlign w:val="bottom"/>
            <w:gridSpan w:val="9"/>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660" w:type="dxa"/>
            <w:vAlign w:val="bottom"/>
            <w:tcBorders>
              <w:right w:val="single" w:sz="8" w:color="0000EE"/>
            </w:tcBorders>
            <w:gridSpan w:val="7"/>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32.2**</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0"/>
          </w:tcPr>
          <w:p>
            <w:pPr>
              <w:spacing w:after="0"/>
              <w:rPr>
                <w:sz w:val="12"/>
                <w:szCs w:val="12"/>
                <w:color w:val="auto"/>
              </w:rPr>
            </w:pPr>
          </w:p>
        </w:tc>
        <w:tc>
          <w:tcPr>
            <w:tcW w:w="52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Borders>
              <w:bottom w:val="single" w:sz="8" w:color="0000EE"/>
            </w:tcBorders>
            <w:gridSpan w:val="9"/>
          </w:tcPr>
          <w:p>
            <w:pPr>
              <w:spacing w:after="0" w:line="142" w:lineRule="exact"/>
              <w:rPr>
                <w:sz w:val="20"/>
                <w:szCs w:val="20"/>
                <w:color w:val="auto"/>
              </w:rPr>
            </w:pPr>
            <w:r>
              <w:rPr>
                <w:rFonts w:ascii="Arial" w:cs="Arial" w:eastAsia="Arial" w:hAnsi="Arial"/>
                <w:sz w:val="14"/>
                <w:szCs w:val="14"/>
                <w:color w:val="0000EE"/>
              </w:rPr>
              <w:t>Certification of Chief Financial Officer pursuant to 18 U.S.C.</w:t>
            </w:r>
          </w:p>
        </w:tc>
        <w:tc>
          <w:tcPr>
            <w:tcW w:w="960" w:type="dxa"/>
            <w:vAlign w:val="bottom"/>
            <w:gridSpan w:val="14"/>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2" w:lineRule="exact"/>
              <w:rPr>
                <w:sz w:val="20"/>
                <w:szCs w:val="20"/>
                <w:color w:val="auto"/>
              </w:rPr>
            </w:pPr>
            <w:r>
              <w:rPr>
                <w:rFonts w:ascii="Arial" w:cs="Arial" w:eastAsia="Arial" w:hAnsi="Arial"/>
                <w:sz w:val="14"/>
                <w:szCs w:val="14"/>
                <w:color w:val="0000EE"/>
              </w:rPr>
              <w:t>Section 1350, as adopted pursuant to Section 906 of the Sarbanes-</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80" w:type="dxa"/>
            <w:vAlign w:val="bottom"/>
            <w:vMerge w:val="restart"/>
          </w:tcPr>
          <w:p>
            <w:pPr>
              <w:jc w:val="right"/>
              <w:ind w:right="468"/>
              <w:spacing w:after="0"/>
              <w:rPr>
                <w:sz w:val="20"/>
                <w:szCs w:val="20"/>
                <w:color w:val="auto"/>
              </w:rPr>
            </w:pPr>
            <w:r>
              <w:rPr>
                <w:rFonts w:ascii="Arial" w:cs="Arial" w:eastAsia="Arial" w:hAnsi="Arial"/>
                <w:sz w:val="14"/>
                <w:szCs w:val="14"/>
                <w:color w:val="auto"/>
              </w:rPr>
              <w:t>101*</w:t>
            </w:r>
          </w:p>
        </w:tc>
        <w:tc>
          <w:tcPr>
            <w:tcW w:w="160" w:type="dxa"/>
            <w:vAlign w:val="bottom"/>
          </w:tcPr>
          <w:p>
            <w:pPr>
              <w:spacing w:after="0"/>
              <w:rPr>
                <w:sz w:val="12"/>
                <w:szCs w:val="12"/>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Arial" w:cs="Arial" w:eastAsia="Arial" w:hAnsi="Arial"/>
                <w:sz w:val="14"/>
                <w:szCs w:val="14"/>
                <w:color w:val="0000EE"/>
              </w:rPr>
              <w:t>Oxley Act of 2002.</w:t>
            </w:r>
          </w:p>
        </w:tc>
        <w:tc>
          <w:tcPr>
            <w:tcW w:w="3100" w:type="dxa"/>
            <w:vAlign w:val="bottom"/>
            <w:tcBorders>
              <w:top w:val="single" w:sz="8" w:color="0000EE"/>
            </w:tcBorders>
            <w:gridSpan w:val="10"/>
          </w:tcPr>
          <w:p>
            <w:pPr>
              <w:spacing w:after="0"/>
              <w:rPr>
                <w:sz w:val="12"/>
                <w:szCs w:val="12"/>
                <w:color w:val="auto"/>
              </w:rPr>
            </w:pPr>
          </w:p>
        </w:tc>
        <w:tc>
          <w:tcPr>
            <w:tcW w:w="520" w:type="dxa"/>
            <w:vAlign w:val="bottom"/>
            <w:gridSpan w:val="11"/>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800" w:type="dxa"/>
            <w:vAlign w:val="bottom"/>
            <w:gridSpan w:val="23"/>
          </w:tcPr>
          <w:p>
            <w:pPr>
              <w:spacing w:after="0" w:line="147" w:lineRule="exact"/>
              <w:rPr>
                <w:sz w:val="20"/>
                <w:szCs w:val="20"/>
                <w:color w:val="auto"/>
              </w:rPr>
            </w:pPr>
            <w:r>
              <w:rPr>
                <w:rFonts w:ascii="Arial" w:cs="Arial" w:eastAsia="Arial" w:hAnsi="Arial"/>
                <w:sz w:val="14"/>
                <w:szCs w:val="14"/>
                <w:color w:val="auto"/>
              </w:rPr>
              <w:t>The following financial statements from the Company</w:t>
            </w:r>
            <w:r>
              <w:rPr>
                <w:rFonts w:ascii="Times New Roman" w:cs="Times New Roman" w:eastAsia="Times New Roman" w:hAnsi="Times New Roman"/>
                <w:sz w:val="14"/>
                <w:szCs w:val="14"/>
                <w:color w:val="auto"/>
              </w:rPr>
              <w:t>’</w:t>
            </w:r>
            <w:r>
              <w:rPr>
                <w:rFonts w:ascii="Arial" w:cs="Arial" w:eastAsia="Arial" w:hAnsi="Arial"/>
                <w:sz w:val="14"/>
                <w:szCs w:val="14"/>
                <w:color w:val="auto"/>
              </w:rPr>
              <w:t>s Quarterly Report</w:t>
            </w: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on Form 10-Q for the fiscal quarter ended September 30, 2023</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formatted in Inline XBRL: (i) Balance Sheets, (ii) Statements of</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Operations, (iii) Statements of Stockholders</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Equity and (vi) Notes to</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Financial Statements, tagged as blocks of text and including detailed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tags.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jc w:val="right"/>
              <w:ind w:right="468"/>
              <w:spacing w:after="0"/>
              <w:rPr>
                <w:sz w:val="20"/>
                <w:szCs w:val="20"/>
                <w:color w:val="auto"/>
              </w:rPr>
            </w:pPr>
            <w:r>
              <w:rPr>
                <w:rFonts w:ascii="Arial" w:cs="Arial" w:eastAsia="Arial" w:hAnsi="Arial"/>
                <w:sz w:val="14"/>
                <w:szCs w:val="14"/>
                <w:color w:val="auto"/>
              </w:rPr>
              <w:t>104*</w:t>
            </w:r>
          </w:p>
        </w:tc>
        <w:tc>
          <w:tcPr>
            <w:tcW w:w="160" w:type="dxa"/>
            <w:vAlign w:val="bottom"/>
          </w:tcPr>
          <w:p>
            <w:pPr>
              <w:spacing w:after="0"/>
              <w:rPr>
                <w:sz w:val="14"/>
                <w:szCs w:val="14"/>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Cover Page Interactive Date File (formatted as Inline XBRL and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0" w:type="dxa"/>
            <w:vAlign w:val="bottom"/>
            <w:gridSpan w:val="23"/>
          </w:tcPr>
          <w:p>
            <w:pPr>
              <w:spacing w:after="0"/>
              <w:rPr>
                <w:sz w:val="20"/>
                <w:szCs w:val="20"/>
                <w:color w:val="auto"/>
              </w:rPr>
            </w:pPr>
            <w:r>
              <w:rPr>
                <w:rFonts w:ascii="Arial" w:cs="Arial" w:eastAsia="Arial" w:hAnsi="Arial"/>
                <w:sz w:val="14"/>
                <w:szCs w:val="14"/>
                <w:color w:val="auto"/>
              </w:rPr>
              <w:t>contained in Exhibit 101)</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14141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89" w:lineRule="exact"/>
        <w:rPr>
          <w:sz w:val="20"/>
          <w:szCs w:val="20"/>
          <w:color w:val="auto"/>
        </w:rPr>
      </w:pPr>
    </w:p>
    <w:p>
      <w:pPr>
        <w:ind w:left="380" w:hanging="330"/>
        <w:spacing w:after="0"/>
        <w:tabs>
          <w:tab w:leader="none" w:pos="3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17" w:lineRule="exact"/>
        <w:rPr>
          <w:sz w:val="20"/>
          <w:szCs w:val="20"/>
          <w:color w:val="auto"/>
        </w:rPr>
      </w:pPr>
    </w:p>
    <w:p>
      <w:pPr>
        <w:ind w:left="380" w:right="239" w:hanging="330"/>
        <w:spacing w:after="0" w:line="256" w:lineRule="auto"/>
        <w:tabs>
          <w:tab w:leader="none" w:pos="3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Furnished herewith. This certification is deemed furnished, and not filed, with the Securities and Exchange Commission and is not to be incorporated by reference into any filing of Harmony Biosciences Holdings,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7" w:lineRule="exact"/>
        <w:rPr>
          <w:sz w:val="20"/>
          <w:szCs w:val="20"/>
          <w:color w:val="auto"/>
        </w:rPr>
      </w:pPr>
    </w:p>
    <w:p>
      <w:pPr>
        <w:ind w:left="380" w:right="119" w:hanging="330"/>
        <w:spacing w:after="0" w:line="263" w:lineRule="auto"/>
        <w:tabs>
          <w:tab w:leader="none" w:pos="3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 The Company hereby undertakes to furnish supplemental copies of any of the omitted schedules upon request by the SEC; provided, however, that the Company may request confidential treatment pursuant to Rule 24b-2 of the Securities Exchange Act of 1934 for any schedules so furnished.</w:t>
      </w:r>
    </w:p>
    <w:p>
      <w:pPr>
        <w:spacing w:after="0" w:line="173" w:lineRule="exact"/>
        <w:rPr>
          <w:sz w:val="20"/>
          <w:szCs w:val="20"/>
          <w:color w:val="auto"/>
        </w:rPr>
      </w:pPr>
    </w:p>
    <w:p>
      <w:pPr>
        <w:ind w:left="380" w:hanging="330"/>
        <w:spacing w:after="0"/>
        <w:tabs>
          <w:tab w:leader="none" w:pos="3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339" w:firstLine="648"/>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HARMONY BIOSCIENCES HOLDINGS, INC.</w:t>
      </w:r>
    </w:p>
    <w:p>
      <w:pPr>
        <w:spacing w:after="0" w:line="194" w:lineRule="exact"/>
        <w:rPr>
          <w:sz w:val="20"/>
          <w:szCs w:val="20"/>
          <w:color w:val="auto"/>
        </w:rPr>
      </w:pPr>
    </w:p>
    <w:tbl>
      <w:tblPr>
        <w:tblLayout w:type="fixed"/>
        <w:tblInd w:w="4520" w:type="dxa"/>
        <w:tblCellMar>
          <w:top w:w="0" w:type="dxa"/>
          <w:left w:w="0" w:type="dxa"/>
          <w:bottom w:w="0" w:type="dxa"/>
          <w:right w:w="0" w:type="dxa"/>
        </w:tblCellMar>
      </w:tblPr>
      <w:tr>
        <w:trPr>
          <w:trHeight w:val="21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M. Dayno</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Jeffrey M. Dayno</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(principal executive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6, 2024</w:t>
            </w:r>
          </w:p>
        </w:tc>
      </w:tr>
      <w:tr>
        <w:trPr>
          <w:trHeight w:val="381"/>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Sandip Kapadia</w:t>
            </w:r>
          </w:p>
        </w:tc>
      </w:tr>
      <w:tr>
        <w:trPr>
          <w:trHeight w:val="184"/>
        </w:trPr>
        <w:tc>
          <w:tcPr>
            <w:tcW w:w="640" w:type="dxa"/>
            <w:vAlign w:val="bottom"/>
          </w:tcPr>
          <w:p>
            <w:pPr>
              <w:spacing w:after="0" w:line="183" w:lineRule="exact"/>
              <w:rPr>
                <w:sz w:val="20"/>
                <w:szCs w:val="20"/>
                <w:color w:val="auto"/>
              </w:rPr>
            </w:pPr>
            <w:r>
              <w:rPr>
                <w:rFonts w:ascii="Arial" w:cs="Arial" w:eastAsia="Arial" w:hAnsi="Arial"/>
                <w:sz w:val="18"/>
                <w:szCs w:val="18"/>
                <w:color w:val="auto"/>
              </w:rPr>
              <w:t>Name:</w:t>
            </w:r>
          </w:p>
        </w:tc>
        <w:tc>
          <w:tcPr>
            <w:tcW w:w="3800" w:type="dxa"/>
            <w:vAlign w:val="bottom"/>
          </w:tcPr>
          <w:p>
            <w:pPr>
              <w:spacing w:after="0" w:line="183" w:lineRule="exact"/>
              <w:rPr>
                <w:sz w:val="20"/>
                <w:szCs w:val="20"/>
                <w:color w:val="auto"/>
              </w:rPr>
            </w:pPr>
            <w:r>
              <w:rPr>
                <w:rFonts w:ascii="Arial" w:cs="Arial" w:eastAsia="Arial" w:hAnsi="Arial"/>
                <w:sz w:val="18"/>
                <w:szCs w:val="18"/>
                <w:color w:val="auto"/>
              </w:rPr>
              <w:t>Sandip Kapadia</w:t>
            </w:r>
          </w:p>
        </w:tc>
      </w:tr>
      <w:tr>
        <w:trPr>
          <w:trHeight w:val="203"/>
        </w:trPr>
        <w:tc>
          <w:tcPr>
            <w:tcW w:w="640" w:type="dxa"/>
            <w:vAlign w:val="bottom"/>
          </w:tcPr>
          <w:p>
            <w:pPr>
              <w:spacing w:after="0" w:line="202" w:lineRule="exact"/>
              <w:rPr>
                <w:sz w:val="20"/>
                <w:szCs w:val="20"/>
                <w:color w:val="auto"/>
              </w:rPr>
            </w:pPr>
            <w:r>
              <w:rPr>
                <w:rFonts w:ascii="Arial" w:cs="Arial" w:eastAsia="Arial" w:hAnsi="Arial"/>
                <w:sz w:val="18"/>
                <w:szCs w:val="18"/>
                <w:color w:val="auto"/>
              </w:rPr>
              <w:t>Title:</w:t>
            </w: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Chief Financial Officer and Chief Administrative</w:t>
            </w:r>
          </w:p>
        </w:tc>
      </w:tr>
      <w:tr>
        <w:trPr>
          <w:trHeight w:val="203"/>
        </w:trPr>
        <w:tc>
          <w:tcPr>
            <w:tcW w:w="640" w:type="dxa"/>
            <w:vAlign w:val="bottom"/>
          </w:tcPr>
          <w:p>
            <w:pPr>
              <w:spacing w:after="0"/>
              <w:rPr>
                <w:sz w:val="17"/>
                <w:szCs w:val="17"/>
                <w:color w:val="auto"/>
              </w:rPr>
            </w:pPr>
          </w:p>
        </w:tc>
        <w:tc>
          <w:tcPr>
            <w:tcW w:w="3800" w:type="dxa"/>
            <w:vAlign w:val="bottom"/>
          </w:tcPr>
          <w:p>
            <w:pPr>
              <w:spacing w:after="0" w:line="202" w:lineRule="exact"/>
              <w:rPr>
                <w:sz w:val="20"/>
                <w:szCs w:val="20"/>
                <w:color w:val="auto"/>
              </w:rPr>
            </w:pPr>
            <w:r>
              <w:rPr>
                <w:rFonts w:ascii="Arial" w:cs="Arial" w:eastAsia="Arial" w:hAnsi="Arial"/>
                <w:sz w:val="18"/>
                <w:szCs w:val="18"/>
                <w:color w:val="auto"/>
              </w:rPr>
              <w:t>Officer (principal financial officer)</w:t>
            </w:r>
          </w:p>
        </w:tc>
      </w:t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800" w:type="dxa"/>
            <w:vAlign w:val="bottom"/>
          </w:tcPr>
          <w:p>
            <w:pPr>
              <w:spacing w:after="0"/>
              <w:rPr>
                <w:sz w:val="20"/>
                <w:szCs w:val="20"/>
                <w:color w:val="auto"/>
              </w:rPr>
            </w:pPr>
            <w:r>
              <w:rPr>
                <w:rFonts w:ascii="Arial" w:cs="Arial" w:eastAsia="Arial" w:hAnsi="Arial"/>
                <w:sz w:val="18"/>
                <w:szCs w:val="18"/>
                <w:color w:val="auto"/>
              </w:rPr>
              <w:t>August 6,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M. Dayno, certify that:</w:t>
      </w:r>
    </w:p>
    <w:p>
      <w:pPr>
        <w:spacing w:after="0" w:line="225" w:lineRule="exact"/>
        <w:rPr>
          <w:sz w:val="20"/>
          <w:szCs w:val="20"/>
          <w:color w:val="auto"/>
        </w:rPr>
      </w:pPr>
    </w:p>
    <w:p>
      <w:pPr>
        <w:ind w:left="700" w:hanging="341"/>
        <w:spacing w:after="0"/>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00" w:right="240" w:hanging="341"/>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00" w:hanging="341"/>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20" w:hanging="359"/>
        <w:spacing w:after="0" w:line="26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420" w:hanging="359"/>
        <w:spacing w:after="0" w:line="261"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700" w:right="320" w:hanging="341"/>
        <w:spacing w:after="0" w:line="266" w:lineRule="auto"/>
        <w:tabs>
          <w:tab w:leader="none" w:pos="7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420" w:right="340" w:hanging="359"/>
        <w:spacing w:after="0" w:line="266"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420" w:right="160" w:hanging="359"/>
        <w:spacing w:after="0" w:line="282" w:lineRule="auto"/>
        <w:tabs>
          <w:tab w:leader="none" w:pos="14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0"/>
        <w:spacing w:after="0"/>
        <w:tabs>
          <w:tab w:leader="none" w:pos="4940" w:val="left"/>
          <w:tab w:leader="none" w:pos="5520" w:val="left"/>
        </w:tabs>
        <w:rPr>
          <w:sz w:val="20"/>
          <w:szCs w:val="20"/>
          <w:color w:val="auto"/>
        </w:rPr>
      </w:pPr>
      <w:r>
        <w:rPr>
          <w:rFonts w:ascii="Times New Roman" w:cs="Times New Roman" w:eastAsia="Times New Roman" w:hAnsi="Times New Roman"/>
          <w:sz w:val="18"/>
          <w:szCs w:val="18"/>
          <w:color w:val="auto"/>
        </w:rPr>
        <w:t>Date: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43180</wp:posOffset>
            </wp:positionV>
            <wp:extent cx="25546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Jeffrey M. Dayno</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511810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3" w:name="page44"/>
    <w:bookmarkEnd w:id="4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Sandip Kapadia, certify that:</w:t>
      </w:r>
    </w:p>
    <w:p>
      <w:pPr>
        <w:spacing w:after="0" w:line="225" w:lineRule="exact"/>
        <w:rPr>
          <w:sz w:val="20"/>
          <w:szCs w:val="20"/>
          <w:color w:val="auto"/>
        </w:rPr>
      </w:pPr>
    </w:p>
    <w:p>
      <w:pPr>
        <w:ind w:left="740" w:hanging="341"/>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Harmony Biosciences Holdings, Inc.;</w:t>
      </w:r>
    </w:p>
    <w:p>
      <w:pPr>
        <w:spacing w:after="0" w:line="22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40" w:right="280" w:hanging="341"/>
        <w:spacing w:after="0" w:line="266"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740" w:right="40" w:hanging="341"/>
        <w:spacing w:after="0" w:line="266"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1"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460" w:right="40" w:hanging="359"/>
        <w:spacing w:after="0" w:line="266"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18"/>
          <w:szCs w:val="18"/>
          <w:color w:val="auto"/>
        </w:rPr>
      </w:pPr>
    </w:p>
    <w:p>
      <w:pPr>
        <w:jc w:val="both"/>
        <w:ind w:left="1460" w:right="40" w:hanging="359"/>
        <w:spacing w:after="0" w:line="260"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that occurred during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most recent fiscal quarter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fourth fiscal quarter in the case of an annual report) that has materially affected, or is reasonably likely to materially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 and</w:t>
      </w:r>
    </w:p>
    <w:p>
      <w:pPr>
        <w:spacing w:after="0" w:line="180" w:lineRule="exact"/>
        <w:rPr>
          <w:rFonts w:ascii="Times New Roman" w:cs="Times New Roman" w:eastAsia="Times New Roman" w:hAnsi="Times New Roman"/>
          <w:sz w:val="18"/>
          <w:szCs w:val="18"/>
          <w:color w:val="auto"/>
        </w:rPr>
      </w:pPr>
    </w:p>
    <w:p>
      <w:pPr>
        <w:ind w:left="740" w:right="380" w:hanging="341"/>
        <w:spacing w:after="0" w:line="265" w:lineRule="auto"/>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other certifying officer(s) and I have disclosed, based on our most recent evaluation of internal control over financial reporting, to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auditors and the audit committee of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board of directors (or persons performing the equivalent functions):</w:t>
      </w:r>
    </w:p>
    <w:p>
      <w:pPr>
        <w:spacing w:after="0" w:line="177" w:lineRule="exact"/>
        <w:rPr>
          <w:rFonts w:ascii="Times New Roman" w:cs="Times New Roman" w:eastAsia="Times New Roman" w:hAnsi="Times New Roman"/>
          <w:sz w:val="18"/>
          <w:szCs w:val="18"/>
          <w:color w:val="auto"/>
        </w:rPr>
      </w:pPr>
    </w:p>
    <w:p>
      <w:pPr>
        <w:ind w:left="1460" w:right="380" w:hanging="359"/>
        <w:spacing w:after="0" w:line="265"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ability to record, process, summarize and report financial information; and</w:t>
      </w:r>
    </w:p>
    <w:p>
      <w:pPr>
        <w:spacing w:after="0" w:line="177" w:lineRule="exact"/>
        <w:rPr>
          <w:rFonts w:ascii="Times New Roman" w:cs="Times New Roman" w:eastAsia="Times New Roman" w:hAnsi="Times New Roman"/>
          <w:sz w:val="18"/>
          <w:szCs w:val="18"/>
          <w:color w:val="auto"/>
        </w:rPr>
      </w:pPr>
    </w:p>
    <w:p>
      <w:pPr>
        <w:ind w:left="1460" w:right="200" w:hanging="359"/>
        <w:spacing w:after="0" w:line="285" w:lineRule="auto"/>
        <w:tabs>
          <w:tab w:leader="none" w:pos="14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w:t>
      </w:r>
      <w:r>
        <w:rPr>
          <w:rFonts w:ascii="Arial" w:cs="Arial" w:eastAsia="Arial" w:hAnsi="Arial"/>
          <w:sz w:val="18"/>
          <w:szCs w:val="18"/>
          <w:color w:val="auto"/>
        </w:rPr>
        <w:t>’</w:t>
      </w:r>
      <w:r>
        <w:rPr>
          <w:rFonts w:ascii="Times New Roman" w:cs="Times New Roman" w:eastAsia="Times New Roman" w:hAnsi="Times New Roman"/>
          <w:sz w:val="18"/>
          <w:szCs w:val="18"/>
          <w:color w:val="auto"/>
        </w:rPr>
        <w:t>s internal control over financial reporting.</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August 6, 2024</w:t>
            </w:r>
          </w:p>
        </w:tc>
        <w:tc>
          <w:tcPr>
            <w:tcW w:w="676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By:  /s/ Sandip Kapadia</w:t>
            </w:r>
          </w:p>
        </w:tc>
        <w:tc>
          <w:tcPr>
            <w:tcW w:w="40" w:type="dxa"/>
            <w:vAlign w:val="bottom"/>
          </w:tcPr>
          <w:p>
            <w:pPr>
              <w:spacing w:after="0"/>
              <w:rPr>
                <w:sz w:val="20"/>
                <w:szCs w:val="20"/>
                <w:color w:val="auto"/>
              </w:rPr>
            </w:pPr>
          </w:p>
        </w:tc>
      </w:tr>
      <w:tr>
        <w:trPr>
          <w:trHeight w:val="218"/>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Sandip Kapadia</w:t>
            </w:r>
          </w:p>
        </w:tc>
        <w:tc>
          <w:tcPr>
            <w:tcW w:w="40" w:type="dxa"/>
            <w:vAlign w:val="bottom"/>
            <w:tcBorders>
              <w:top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Administrative Officer</w:t>
            </w:r>
          </w:p>
        </w:tc>
        <w:tc>
          <w:tcPr>
            <w:tcW w:w="4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40" w:type="dxa"/>
            <w:vAlign w:val="bottom"/>
          </w:tcPr>
          <w:p>
            <w:pPr>
              <w:spacing w:after="0"/>
              <w:rPr>
                <w:sz w:val="20"/>
                <w:szCs w:val="20"/>
                <w:color w:val="auto"/>
              </w:rPr>
            </w:pPr>
          </w:p>
        </w:tc>
      </w:tr>
      <w:tr>
        <w:trPr>
          <w:trHeight w:val="776"/>
        </w:trPr>
        <w:tc>
          <w:tcPr>
            <w:tcW w:w="4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000"/>
          </w:cols>
          <w:pgMar w:left="940" w:top="117" w:right="9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quarter ended June 30,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660" w:right="2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60"/>
        <w:spacing w:after="0"/>
        <w:tabs>
          <w:tab w:leader="none" w:pos="4240" w:val="left"/>
        </w:tabs>
        <w:rPr>
          <w:sz w:val="20"/>
          <w:szCs w:val="20"/>
          <w:color w:val="auto"/>
        </w:rPr>
      </w:pPr>
      <w:r>
        <w:rPr>
          <w:rFonts w:ascii="Arial" w:cs="Arial" w:eastAsia="Arial" w:hAnsi="Arial"/>
          <w:sz w:val="18"/>
          <w:szCs w:val="18"/>
          <w:color w:val="auto"/>
        </w:rPr>
        <w:t>Date: August 6, 2024</w:t>
      </w:r>
      <w:r>
        <w:rPr>
          <w:sz w:val="20"/>
          <w:szCs w:val="20"/>
          <w:color w:val="auto"/>
        </w:rPr>
        <w:tab/>
      </w:r>
      <w:r>
        <w:rPr>
          <w:rFonts w:ascii="Arial" w:cs="Arial" w:eastAsia="Arial" w:hAnsi="Arial"/>
          <w:sz w:val="18"/>
          <w:szCs w:val="18"/>
          <w:color w:val="auto"/>
        </w:rPr>
        <w:t>By: /s/ Jeffrey M. Dayno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34925</wp:posOffset>
            </wp:positionV>
            <wp:extent cx="25457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8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Jeffrey M. Dayno</w:t>
      </w:r>
    </w:p>
    <w:p>
      <w:pPr>
        <w:spacing w:after="0" w:line="32"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President, Chief Executive Officer and Director</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59"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0" w:lineRule="exact"/>
        <w:rPr>
          <w:sz w:val="20"/>
          <w:szCs w:val="20"/>
          <w:color w:val="auto"/>
        </w:rPr>
      </w:pPr>
    </w:p>
    <w:p>
      <w:pPr>
        <w:ind w:right="500" w:firstLine="355"/>
        <w:spacing w:after="0" w:line="247" w:lineRule="auto"/>
        <w:rPr>
          <w:sz w:val="20"/>
          <w:szCs w:val="20"/>
          <w:color w:val="auto"/>
        </w:rPr>
      </w:pPr>
      <w:r>
        <w:rPr>
          <w:rFonts w:ascii="Arial" w:cs="Arial" w:eastAsia="Arial" w:hAnsi="Arial"/>
          <w:sz w:val="18"/>
          <w:szCs w:val="18"/>
          <w:color w:val="auto"/>
        </w:rPr>
        <w:t>In connection with the Quarterly Report on Form 10-Q of Harmony Biosciences Holdings, Inc. (the “Company”) for the period ended June 30, 2024, as filed with the Securities and Exchange Commission on the date hereof (the “Report”), I certify, pursuant to 18 U.S.C. Section 1350, as adopted pursuant to Section 906 of the Sarbanes-Oxley Act of 2002, that to such officer’s knowledge:</w:t>
      </w:r>
    </w:p>
    <w:p>
      <w:pPr>
        <w:spacing w:after="0" w:line="160" w:lineRule="exact"/>
        <w:rPr>
          <w:sz w:val="20"/>
          <w:szCs w:val="20"/>
          <w:color w:val="auto"/>
        </w:rPr>
      </w:pPr>
    </w:p>
    <w:p>
      <w:pPr>
        <w:ind w:left="700" w:right="220" w:hanging="341"/>
        <w:spacing w:after="0" w:line="271"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40" w:lineRule="exact"/>
        <w:rPr>
          <w:rFonts w:ascii="Arial" w:cs="Arial" w:eastAsia="Arial" w:hAnsi="Arial"/>
          <w:sz w:val="18"/>
          <w:szCs w:val="18"/>
          <w:color w:val="auto"/>
        </w:rPr>
      </w:pPr>
    </w:p>
    <w:p>
      <w:pPr>
        <w:ind w:left="700" w:right="40" w:hanging="341"/>
        <w:spacing w:after="0" w:line="271"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040" w:type="dxa"/>
            <w:vAlign w:val="bottom"/>
            <w:vMerge w:val="restart"/>
          </w:tcPr>
          <w:p>
            <w:pPr>
              <w:spacing w:after="0"/>
              <w:rPr>
                <w:sz w:val="20"/>
                <w:szCs w:val="20"/>
                <w:color w:val="auto"/>
              </w:rPr>
            </w:pPr>
            <w:r>
              <w:rPr>
                <w:rFonts w:ascii="Arial" w:cs="Arial" w:eastAsia="Arial" w:hAnsi="Arial"/>
                <w:sz w:val="18"/>
                <w:szCs w:val="18"/>
                <w:color w:val="auto"/>
              </w:rPr>
              <w:t>Date: August 6, 2024</w:t>
            </w:r>
          </w:p>
        </w:tc>
        <w:tc>
          <w:tcPr>
            <w:tcW w:w="1680" w:type="dxa"/>
            <w:vAlign w:val="bottom"/>
          </w:tcPr>
          <w:p>
            <w:pPr>
              <w:ind w:left="1380"/>
              <w:spacing w:after="0"/>
              <w:rPr>
                <w:sz w:val="20"/>
                <w:szCs w:val="20"/>
                <w:color w:val="auto"/>
              </w:rPr>
            </w:pPr>
            <w:r>
              <w:rPr>
                <w:rFonts w:ascii="Arial" w:cs="Arial" w:eastAsia="Arial" w:hAnsi="Arial"/>
                <w:sz w:val="18"/>
                <w:szCs w:val="18"/>
                <w:color w:val="auto"/>
              </w:rPr>
              <w:t>By</w:t>
            </w:r>
          </w:p>
        </w:tc>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/s/ Sandip Kapadia</w:t>
            </w:r>
          </w:p>
        </w:tc>
        <w:tc>
          <w:tcPr>
            <w:tcW w:w="0" w:type="dxa"/>
            <w:vAlign w:val="bottom"/>
          </w:tcPr>
          <w:p>
            <w:pPr>
              <w:spacing w:after="0"/>
              <w:rPr>
                <w:sz w:val="1"/>
                <w:szCs w:val="1"/>
                <w:color w:val="auto"/>
              </w:rPr>
            </w:pPr>
          </w:p>
        </w:tc>
      </w:tr>
      <w:tr>
        <w:trPr>
          <w:trHeight w:val="194"/>
        </w:trPr>
        <w:tc>
          <w:tcPr>
            <w:tcW w:w="3040" w:type="dxa"/>
            <w:vAlign w:val="bottom"/>
            <w:vMerge w:val="continue"/>
          </w:tcPr>
          <w:p>
            <w:pPr>
              <w:spacing w:after="0"/>
              <w:rPr>
                <w:sz w:val="16"/>
                <w:szCs w:val="16"/>
                <w:color w:val="auto"/>
              </w:rPr>
            </w:pPr>
          </w:p>
        </w:tc>
        <w:tc>
          <w:tcPr>
            <w:tcW w:w="1680" w:type="dxa"/>
            <w:vAlign w:val="bottom"/>
          </w:tcPr>
          <w:p>
            <w:pPr>
              <w:ind w:left="1380"/>
              <w:spacing w:after="0" w:line="189" w:lineRule="exact"/>
              <w:rPr>
                <w:sz w:val="20"/>
                <w:szCs w:val="20"/>
                <w:color w:val="auto"/>
              </w:rPr>
            </w:pPr>
            <w:r>
              <w:rPr>
                <w:rFonts w:ascii="Arial" w:cs="Arial" w:eastAsia="Arial" w:hAnsi="Arial"/>
                <w:sz w:val="18"/>
                <w:szCs w:val="18"/>
                <w:color w:val="auto"/>
              </w:rPr>
              <w:t>:</w:t>
            </w:r>
          </w:p>
        </w:tc>
        <w:tc>
          <w:tcPr>
            <w:tcW w:w="4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6"/>
        </w:trPr>
        <w:tc>
          <w:tcPr>
            <w:tcW w:w="30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Sandip Kapadia</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700" w:type="dxa"/>
            <w:vAlign w:val="bottom"/>
          </w:tcPr>
          <w:p>
            <w:pPr>
              <w:ind w:left="40"/>
              <w:spacing w:after="0" w:line="202" w:lineRule="exact"/>
              <w:rPr>
                <w:sz w:val="20"/>
                <w:szCs w:val="20"/>
                <w:color w:val="auto"/>
              </w:rPr>
            </w:pPr>
            <w:r>
              <w:rPr>
                <w:rFonts w:ascii="Arial" w:cs="Arial" w:eastAsia="Arial" w:hAnsi="Arial"/>
                <w:sz w:val="18"/>
                <w:szCs w:val="18"/>
                <w:color w:val="auto"/>
              </w:rPr>
              <w:t>Chief Financial Officer and Chief Administrative Officer</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(Principal Financial Officer and Principal Accounting</w:t>
            </w:r>
          </w:p>
        </w:tc>
        <w:tc>
          <w:tcPr>
            <w:tcW w:w="0" w:type="dxa"/>
            <w:vAlign w:val="bottom"/>
          </w:tcPr>
          <w:p>
            <w:pPr>
              <w:spacing w:after="0"/>
              <w:rPr>
                <w:sz w:val="1"/>
                <w:szCs w:val="1"/>
                <w:color w:val="auto"/>
              </w:rPr>
            </w:pPr>
          </w:p>
        </w:tc>
      </w:tr>
      <w:tr>
        <w:trPr>
          <w:trHeight w:val="239"/>
        </w:trPr>
        <w:tc>
          <w:tcPr>
            <w:tcW w:w="30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700" w:type="dxa"/>
            <w:vAlign w:val="bottom"/>
          </w:tcPr>
          <w:p>
            <w:pPr>
              <w:ind w:left="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right="920"/>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40"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the Report or on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314960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9"/>
    </w:lvl>
  </w:abstractNum>
  <w:abstractNum w:abstractNumId="7">
    <w:nsid w:val="7FDCC233"/>
    <w:multiLevelType w:val="hybridMultilevel"/>
    <w:lvl w:ilvl="0">
      <w:lvlJc w:val="left"/>
      <w:lvlText w:val="%1."/>
      <w:numFmt w:val="decimal"/>
      <w:start w:val="14"/>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52" Type="http://schemas.openxmlformats.org/officeDocument/2006/relationships/hyperlink" Target="https://www.sec.gov/Archives/edgar/data/1802665/000114036123043963/ef20010653_ex2-1.htm" TargetMode="External"/><Relationship Id="rId53" Type="http://schemas.openxmlformats.org/officeDocument/2006/relationships/hyperlink" Target="https://www.sec.gov/Archives/edgar/data/0001802665/000119312520226978/d97999dex31.htm" TargetMode="External"/><Relationship Id="rId54" Type="http://schemas.openxmlformats.org/officeDocument/2006/relationships/hyperlink" Target="https://www.sec.gov/Archives/edgar/data/0001802665/000119312520226978/d97999dex32.htm" TargetMode="External"/><Relationship Id="rId55" Type="http://schemas.openxmlformats.org/officeDocument/2006/relationships/hyperlink" Target="https://www.sec.gov/Archives/edgar/data/1802665/000155837024006203/hrmy-20240331xex10d1.htm" TargetMode="External"/><Relationship Id="rId56" Type="http://schemas.openxmlformats.org/officeDocument/2006/relationships/hyperlink" Target="https://www.sec.gov/Archives/edgar/data/1802665/000155837024006203/hrmy-20240331xex10d2.htm" TargetMode="External"/><Relationship Id="rId57" Type="http://schemas.openxmlformats.org/officeDocument/2006/relationships/hyperlink" Target="https://www.sec.gov/ix?doc=/Archives/edgar/data/1802665/000155837024006594/hrmy-20240501x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2024-08-06T07:10:16Z</dcterms:created>
  <dcterms:modified xsi:type="dcterms:W3CDTF">2024-08-06T07:10:16Z</dcterms:modified>
</cp:coreProperties>
</file>