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45085</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71755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19"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12" w:lineRule="exact"/>
        <w:rPr>
          <w:sz w:val="24"/>
          <w:szCs w:val="24"/>
          <w:color w:val="auto"/>
        </w:rPr>
      </w:pPr>
    </w:p>
    <w:p>
      <w:pPr>
        <w:ind w:left="480" w:hanging="430"/>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September 30, 2024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95" w:lineRule="exact"/>
        <w:rPr>
          <w:sz w:val="24"/>
          <w:szCs w:val="24"/>
          <w:color w:val="auto"/>
        </w:rPr>
      </w:pPr>
    </w:p>
    <w:p>
      <w:pPr>
        <w:ind w:left="480" w:hanging="430"/>
        <w:spacing w:after="0"/>
        <w:tabs>
          <w:tab w:leader="none" w:pos="4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tbl>
      <w:tblPr>
        <w:tblLayout w:type="fixed"/>
        <w:tblInd w:w="3080" w:type="dxa"/>
        <w:tblCellMar>
          <w:top w:w="0" w:type="dxa"/>
          <w:left w:w="0" w:type="dxa"/>
          <w:bottom w:w="0" w:type="dxa"/>
          <w:right w:w="0" w:type="dxa"/>
        </w:tblCellMar>
      </w:tblPr>
      <w:tr>
        <w:trPr>
          <w:trHeight w:val="162"/>
        </w:trPr>
        <w:tc>
          <w:tcPr>
            <w:tcW w:w="2680" w:type="dxa"/>
            <w:vAlign w:val="bottom"/>
            <w:gridSpan w:val="3"/>
          </w:tcPr>
          <w:p>
            <w:pPr>
              <w:spacing w:after="0"/>
              <w:rPr>
                <w:sz w:val="20"/>
                <w:szCs w:val="20"/>
                <w:color w:val="auto"/>
              </w:rPr>
            </w:pPr>
            <w:r>
              <w:rPr>
                <w:rFonts w:ascii="Arial" w:cs="Arial" w:eastAsia="Arial" w:hAnsi="Arial"/>
                <w:sz w:val="14"/>
                <w:szCs w:val="14"/>
                <w:color w:val="auto"/>
              </w:rPr>
              <w:t>For the transition period from</w:t>
            </w:r>
          </w:p>
        </w:tc>
        <w:tc>
          <w:tcPr>
            <w:tcW w:w="160" w:type="dxa"/>
            <w:vAlign w:val="bottom"/>
          </w:tcPr>
          <w:p>
            <w:pPr>
              <w:ind w:left="40"/>
              <w:spacing w:after="0"/>
              <w:rPr>
                <w:sz w:val="20"/>
                <w:szCs w:val="20"/>
                <w:color w:val="auto"/>
              </w:rPr>
            </w:pPr>
            <w:r>
              <w:rPr>
                <w:rFonts w:ascii="Arial" w:cs="Arial" w:eastAsia="Arial" w:hAnsi="Arial"/>
                <w:sz w:val="14"/>
                <w:szCs w:val="14"/>
                <w:color w:val="auto"/>
                <w:w w:val="85"/>
              </w:rPr>
              <w:t>to</w:t>
            </w:r>
          </w:p>
        </w:tc>
      </w:tr>
      <w:tr>
        <w:trPr>
          <w:trHeight w:val="190"/>
        </w:trPr>
        <w:tc>
          <w:tcPr>
            <w:tcW w:w="2680" w:type="dxa"/>
            <w:vAlign w:val="bottom"/>
            <w:gridSpan w:val="3"/>
          </w:tcPr>
          <w:p>
            <w:pPr>
              <w:ind w:left="240"/>
              <w:spacing w:after="0"/>
              <w:rPr>
                <w:sz w:val="20"/>
                <w:szCs w:val="20"/>
                <w:color w:val="auto"/>
              </w:rPr>
            </w:pPr>
            <w:r>
              <w:rPr>
                <w:rFonts w:ascii="Arial" w:cs="Arial" w:eastAsia="Arial" w:hAnsi="Arial"/>
                <w:sz w:val="14"/>
                <w:szCs w:val="14"/>
                <w:color w:val="auto"/>
              </w:rPr>
              <w:t>Commission File Number: 001-39450</w:t>
            </w:r>
          </w:p>
        </w:tc>
        <w:tc>
          <w:tcPr>
            <w:tcW w:w="160" w:type="dxa"/>
            <w:vAlign w:val="bottom"/>
          </w:tcPr>
          <w:p>
            <w:pPr>
              <w:spacing w:after="0"/>
              <w:rPr>
                <w:sz w:val="16"/>
                <w:szCs w:val="16"/>
                <w:color w:val="auto"/>
              </w:rPr>
            </w:pPr>
          </w:p>
        </w:tc>
      </w:tr>
      <w:tr>
        <w:trPr>
          <w:trHeight w:val="69"/>
        </w:trPr>
        <w:tc>
          <w:tcPr>
            <w:tcW w:w="3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HARMONY BIOSCIENCES HOLDINGS,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48895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51" w:lineRule="exact"/>
        <w:rPr>
          <w:sz w:val="24"/>
          <w:szCs w:val="24"/>
          <w:color w:val="auto"/>
        </w:rPr>
      </w:pPr>
    </w:p>
    <w:tbl>
      <w:tblPr>
        <w:tblLayout w:type="fixed"/>
        <w:tblInd w:w="280" w:type="dxa"/>
        <w:tblCellMar>
          <w:top w:w="0" w:type="dxa"/>
          <w:left w:w="0" w:type="dxa"/>
          <w:bottom w:w="0" w:type="dxa"/>
          <w:right w:w="0" w:type="dxa"/>
        </w:tblCellMar>
      </w:tblP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Delaware</w:t>
            </w:r>
          </w:p>
        </w:tc>
        <w:tc>
          <w:tcPr>
            <w:tcW w:w="2080" w:type="dxa"/>
            <w:vAlign w:val="bottom"/>
          </w:tcPr>
          <w:p>
            <w:pPr>
              <w:jc w:val="right"/>
              <w:ind w:right="108"/>
              <w:spacing w:after="0"/>
              <w:rPr>
                <w:sz w:val="20"/>
                <w:szCs w:val="20"/>
                <w:color w:val="auto"/>
              </w:rPr>
            </w:pPr>
            <w:r>
              <w:rPr>
                <w:rFonts w:ascii="Arial" w:cs="Arial" w:eastAsia="Arial" w:hAnsi="Arial"/>
                <w:sz w:val="14"/>
                <w:szCs w:val="14"/>
                <w:b w:val="1"/>
                <w:bCs w:val="1"/>
                <w:color w:val="auto"/>
              </w:rPr>
              <w:t>82-2279923</w:t>
            </w:r>
          </w:p>
        </w:tc>
      </w:t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(State or other jurisdiction of</w:t>
            </w:r>
          </w:p>
        </w:tc>
        <w:tc>
          <w:tcPr>
            <w:tcW w:w="2080" w:type="dxa"/>
            <w:vAlign w:val="bottom"/>
          </w:tcPr>
          <w:p>
            <w:pPr>
              <w:jc w:val="center"/>
              <w:ind w:left="868"/>
              <w:spacing w:after="0"/>
              <w:rPr>
                <w:sz w:val="20"/>
                <w:szCs w:val="20"/>
                <w:color w:val="auto"/>
              </w:rPr>
            </w:pPr>
            <w:r>
              <w:rPr>
                <w:rFonts w:ascii="Arial" w:cs="Arial" w:eastAsia="Arial" w:hAnsi="Arial"/>
                <w:sz w:val="14"/>
                <w:szCs w:val="14"/>
                <w:color w:val="auto"/>
              </w:rPr>
              <w:t>(I.R.S. Employer</w:t>
            </w:r>
          </w:p>
        </w:tc>
      </w:tr>
      <w:tr>
        <w:trPr>
          <w:trHeight w:val="190"/>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incorporation or organization)</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Identification No.)</w:t>
            </w:r>
          </w:p>
        </w:tc>
      </w:tr>
      <w:tr>
        <w:trPr>
          <w:trHeight w:val="309"/>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630 W. Germantown Pike, Suite 215, Plymouth Meeting, PA</w:t>
            </w:r>
          </w:p>
        </w:tc>
        <w:tc>
          <w:tcPr>
            <w:tcW w:w="2080" w:type="dxa"/>
            <w:vAlign w:val="bottom"/>
          </w:tcPr>
          <w:p>
            <w:pPr>
              <w:jc w:val="right"/>
              <w:ind w:right="288"/>
              <w:spacing w:after="0"/>
              <w:rPr>
                <w:sz w:val="20"/>
                <w:szCs w:val="20"/>
                <w:color w:val="auto"/>
              </w:rPr>
            </w:pPr>
            <w:r>
              <w:rPr>
                <w:rFonts w:ascii="Arial" w:cs="Arial" w:eastAsia="Arial" w:hAnsi="Arial"/>
                <w:sz w:val="14"/>
                <w:szCs w:val="14"/>
                <w:b w:val="1"/>
                <w:bCs w:val="1"/>
                <w:color w:val="auto"/>
              </w:rPr>
              <w:t>19462</w:t>
            </w:r>
          </w:p>
        </w:tc>
      </w:tr>
      <w:tr>
        <w:trPr>
          <w:trHeight w:val="190"/>
        </w:trPr>
        <w:tc>
          <w:tcPr>
            <w:tcW w:w="4940" w:type="dxa"/>
            <w:vAlign w:val="bottom"/>
          </w:tcPr>
          <w:p>
            <w:pPr>
              <w:jc w:val="center"/>
              <w:ind w:right="848"/>
              <w:spacing w:after="0"/>
              <w:rPr>
                <w:sz w:val="20"/>
                <w:szCs w:val="20"/>
                <w:color w:val="auto"/>
              </w:rPr>
            </w:pPr>
            <w:r>
              <w:rPr>
                <w:rFonts w:ascii="Arial" w:cs="Arial" w:eastAsia="Arial" w:hAnsi="Arial"/>
                <w:sz w:val="14"/>
                <w:szCs w:val="14"/>
                <w:color w:val="auto"/>
              </w:rPr>
              <w:t>(Address of principal executive offices)</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(Zip Code)</w:t>
            </w: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(484) 539-9800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0" w:lineRule="exact"/>
        <w:rPr>
          <w:sz w:val="24"/>
          <w:szCs w:val="24"/>
          <w:color w:val="auto"/>
        </w:rPr>
      </w:pPr>
    </w:p>
    <w:p>
      <w:pPr>
        <w:spacing w:after="0" w:line="287" w:lineRule="exact"/>
        <w:rPr>
          <w:sz w:val="24"/>
          <w:szCs w:val="24"/>
          <w:color w:val="auto"/>
        </w:rPr>
      </w:pPr>
    </w:p>
    <w:tbl>
      <w:tblPr>
        <w:tblLayout w:type="fixed"/>
        <w:tblInd w:w="6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Trading</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71"/>
        </w:trPr>
        <w:tc>
          <w:tcPr>
            <w:tcW w:w="3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Title of each class</w:t>
            </w:r>
          </w:p>
        </w:tc>
        <w:tc>
          <w:tcPr>
            <w:tcW w:w="1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46"/>
        </w:trPr>
        <w:tc>
          <w:tcPr>
            <w:tcW w:w="34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Common Stock, par value $0.00001 value per share</w:t>
            </w:r>
          </w:p>
        </w:tc>
        <w:tc>
          <w:tcPr>
            <w:tcW w:w="16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HRMY</w:t>
            </w:r>
          </w:p>
        </w:tc>
        <w:tc>
          <w:tcPr>
            <w:tcW w:w="160" w:type="dxa"/>
            <w:vAlign w:val="bottom"/>
          </w:tcPr>
          <w:p>
            <w:pPr>
              <w:spacing w:after="0"/>
              <w:rPr>
                <w:sz w:val="12"/>
                <w:szCs w:val="12"/>
                <w:color w:val="auto"/>
              </w:rPr>
            </w:pPr>
          </w:p>
        </w:tc>
        <w:tc>
          <w:tcPr>
            <w:tcW w:w="34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The Nasdaq Stock Market LLC</w:t>
            </w:r>
          </w:p>
        </w:tc>
      </w:tr>
      <w:tr>
        <w:trPr>
          <w:trHeight w:val="190"/>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rPr>
              <w:t>(Nasdaq Global Market)</w:t>
            </w:r>
          </w:p>
        </w:tc>
      </w:tr>
    </w:tbl>
    <w:p>
      <w:pPr>
        <w:spacing w:after="0" w:line="134" w:lineRule="exact"/>
        <w:rPr>
          <w:sz w:val="24"/>
          <w:szCs w:val="24"/>
          <w:color w:val="auto"/>
        </w:rPr>
      </w:pPr>
    </w:p>
    <w:p>
      <w:pPr>
        <w:ind w:left="60" w:right="159"/>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60" w:right="199"/>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60" w:right="259"/>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3" w:lineRule="exact"/>
        <w:rPr>
          <w:sz w:val="24"/>
          <w:szCs w:val="24"/>
          <w:color w:val="auto"/>
        </w:rPr>
      </w:pPr>
    </w:p>
    <w:tbl>
      <w:tblPr>
        <w:tblLayout w:type="fixed"/>
        <w:tblInd w:w="100" w:type="dxa"/>
        <w:tblCellMar>
          <w:top w:w="0" w:type="dxa"/>
          <w:left w:w="0" w:type="dxa"/>
          <w:bottom w:w="0" w:type="dxa"/>
          <w:right w:w="0" w:type="dxa"/>
        </w:tblCellMar>
      </w:tblPr>
      <w:tr>
        <w:trPr>
          <w:trHeight w:val="189"/>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5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200" w:type="dxa"/>
            <w:vAlign w:val="bottom"/>
          </w:tcPr>
          <w:p>
            <w:pPr>
              <w:ind w:left="234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4" w:lineRule="exact"/>
        <w:rPr>
          <w:sz w:val="24"/>
          <w:szCs w:val="24"/>
          <w:color w:val="auto"/>
        </w:rPr>
      </w:pPr>
    </w:p>
    <w:p>
      <w:pPr>
        <w:ind w:left="60" w:right="159"/>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60"/>
        <w:spacing w:after="0" w:line="161" w:lineRule="exact"/>
        <w:tabs>
          <w:tab w:leader="none" w:pos="79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ind w:left="60" w:right="359" w:firstLine="648"/>
        <w:spacing w:after="0" w:line="285" w:lineRule="auto"/>
        <w:rPr>
          <w:sz w:val="20"/>
          <w:szCs w:val="20"/>
          <w:color w:val="auto"/>
        </w:rPr>
      </w:pPr>
      <w:r>
        <w:rPr>
          <w:rFonts w:ascii="Arial" w:cs="Arial" w:eastAsia="Arial" w:hAnsi="Arial"/>
          <w:sz w:val="14"/>
          <w:szCs w:val="14"/>
          <w:color w:val="auto"/>
        </w:rPr>
        <w:t>As of October 25, 2024, there were 57,031,297 shares of the registrant’s common stock, par value $0.00001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534670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114300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157480</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200" w:type="dxa"/>
            <w:vAlign w:val="bottom"/>
            <w:gridSpan w:val="7"/>
            <w:vMerge w:val="restart"/>
          </w:tcPr>
          <w:p>
            <w:pPr>
              <w:spacing w:after="0"/>
              <w:rPr>
                <w:sz w:val="20"/>
                <w:szCs w:val="20"/>
                <w:color w:val="auto"/>
              </w:rPr>
            </w:pPr>
            <w:r>
              <w:rPr>
                <w:rFonts w:ascii="Arial" w:cs="Arial" w:eastAsia="Arial" w:hAnsi="Arial"/>
                <w:sz w:val="18"/>
                <w:szCs w:val="18"/>
                <w:color w:val="0000EE"/>
                <w:w w:val="99"/>
              </w:rPr>
              <w:t>Part I. Financial Information</w:t>
            </w:r>
          </w:p>
        </w:tc>
        <w:tc>
          <w:tcPr>
            <w:tcW w:w="5900" w:type="dxa"/>
            <w:vAlign w:val="bottom"/>
            <w:gridSpan w:val="14"/>
            <w:vMerge w:val="restart"/>
          </w:tcPr>
          <w:p>
            <w:pPr>
              <w:spacing w:after="0"/>
              <w:rPr>
                <w:sz w:val="14"/>
                <w:szCs w:val="14"/>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200" w:type="dxa"/>
            <w:vAlign w:val="bottom"/>
            <w:tcBorders>
              <w:bottom w:val="single" w:sz="8" w:color="0000EE"/>
            </w:tcBorders>
            <w:gridSpan w:val="7"/>
            <w:vMerge w:val="continue"/>
          </w:tcPr>
          <w:p>
            <w:pPr>
              <w:spacing w:after="0"/>
              <w:rPr>
                <w:sz w:val="13"/>
                <w:szCs w:val="13"/>
                <w:color w:val="auto"/>
              </w:rPr>
            </w:pPr>
          </w:p>
        </w:tc>
        <w:tc>
          <w:tcPr>
            <w:tcW w:w="5900" w:type="dxa"/>
            <w:vAlign w:val="bottom"/>
            <w:gridSpan w:val="14"/>
            <w:vMerge w:val="continue"/>
          </w:tcPr>
          <w:p>
            <w:pPr>
              <w:spacing w:after="0"/>
              <w:rPr>
                <w:sz w:val="13"/>
                <w:szCs w:val="13"/>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80" w:type="dxa"/>
            <w:vAlign w:val="bottom"/>
            <w:gridSpan w:val="20"/>
          </w:tcPr>
          <w:p>
            <w:pPr>
              <w:spacing w:after="0" w:line="196" w:lineRule="exact"/>
              <w:rPr>
                <w:sz w:val="20"/>
                <w:szCs w:val="20"/>
                <w:color w:val="auto"/>
              </w:rPr>
            </w:pPr>
            <w:r>
              <w:rPr>
                <w:rFonts w:ascii="Arial" w:cs="Arial" w:eastAsia="Arial" w:hAnsi="Arial"/>
                <w:sz w:val="18"/>
                <w:szCs w:val="18"/>
                <w:color w:val="0000EE"/>
              </w:rPr>
              <w:t>Item 1. Financial Statements</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96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5"/>
              </w:rPr>
              <w:t>Condensed Consolidated</w:t>
            </w:r>
          </w:p>
        </w:tc>
        <w:tc>
          <w:tcPr>
            <w:tcW w:w="5500" w:type="dxa"/>
            <w:vAlign w:val="bottom"/>
            <w:gridSpan w:val="11"/>
          </w:tcPr>
          <w:p>
            <w:pPr>
              <w:ind w:left="120"/>
              <w:spacing w:after="0" w:line="182" w:lineRule="exact"/>
              <w:rPr>
                <w:sz w:val="20"/>
                <w:szCs w:val="20"/>
                <w:color w:val="auto"/>
              </w:rPr>
            </w:pPr>
            <w:r>
              <w:rPr>
                <w:rFonts w:ascii="Arial" w:cs="Arial" w:eastAsia="Arial" w:hAnsi="Arial"/>
                <w:sz w:val="18"/>
                <w:szCs w:val="18"/>
                <w:color w:val="0000EE"/>
              </w:rPr>
              <w:t>Balance Sheets (Unaudited)</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19"/>
          </w:tcPr>
          <w:p>
            <w:pPr>
              <w:spacing w:after="0" w:line="182" w:lineRule="exact"/>
              <w:rPr>
                <w:sz w:val="20"/>
                <w:szCs w:val="20"/>
                <w:color w:val="auto"/>
              </w:rPr>
            </w:pPr>
            <w:r>
              <w:rPr>
                <w:rFonts w:ascii="Arial" w:cs="Arial" w:eastAsia="Arial" w:hAnsi="Arial"/>
                <w:sz w:val="18"/>
                <w:szCs w:val="18"/>
                <w:color w:val="0000EE"/>
              </w:rPr>
              <w:t>Condensed Consolidated Statements of Operations and Comprehensive Income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Condensed Consolidated Statements of Stockholders’ Equity (Unaudited)</w:t>
            </w:r>
          </w:p>
        </w:tc>
        <w:tc>
          <w:tcPr>
            <w:tcW w:w="6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6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Condensed Consolidated Statements of Cash Flows (Unaudited)</w:t>
            </w:r>
          </w:p>
        </w:tc>
        <w:tc>
          <w:tcPr>
            <w:tcW w:w="15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19"/>
          </w:tcPr>
          <w:p>
            <w:pPr>
              <w:spacing w:after="0" w:line="182" w:lineRule="exact"/>
              <w:rPr>
                <w:sz w:val="20"/>
                <w:szCs w:val="20"/>
                <w:color w:val="auto"/>
              </w:rPr>
            </w:pPr>
            <w:r>
              <w:rPr>
                <w:rFonts w:ascii="Arial" w:cs="Arial" w:eastAsia="Arial" w:hAnsi="Arial"/>
                <w:sz w:val="18"/>
                <w:szCs w:val="18"/>
                <w:color w:val="0000EE"/>
              </w:rPr>
              <w:t>Notes to Condensed Consolidated Financial Statements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vMerge w:val="restart"/>
          </w:tcPr>
          <w:p>
            <w:pPr>
              <w:spacing w:after="0" w:line="202" w:lineRule="exact"/>
              <w:rPr>
                <w:sz w:val="20"/>
                <w:szCs w:val="20"/>
                <w:color w:val="auto"/>
              </w:rPr>
            </w:pPr>
            <w:r>
              <w:rPr>
                <w:rFonts w:ascii="Arial" w:cs="Arial" w:eastAsia="Arial" w:hAnsi="Arial"/>
                <w:sz w:val="18"/>
                <w:szCs w:val="18"/>
                <w:color w:val="0000EE"/>
                <w:w w:val="85"/>
              </w:rPr>
              <w:t>Item</w:t>
            </w: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7460" w:type="dxa"/>
            <w:vAlign w:val="bottom"/>
            <w:gridSpan w:val="19"/>
          </w:tcPr>
          <w:p>
            <w:pPr>
              <w:ind w:left="80"/>
              <w:spacing w:after="0" w:line="182" w:lineRule="exact"/>
              <w:rPr>
                <w:sz w:val="20"/>
                <w:szCs w:val="20"/>
                <w:color w:val="auto"/>
              </w:rPr>
            </w:pPr>
            <w:r>
              <w:rPr>
                <w:rFonts w:ascii="Arial" w:cs="Arial" w:eastAsia="Arial" w:hAnsi="Arial"/>
                <w:sz w:val="18"/>
                <w:szCs w:val="18"/>
                <w:color w:val="0000EE"/>
              </w:rPr>
              <w:t>2. Management’s Discussion and Analysis of Financial Condition and Results of Operations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6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Item 3. Quantitative and Qualitative Disclosures About Market Risk</w:t>
            </w:r>
          </w:p>
        </w:tc>
        <w:tc>
          <w:tcPr>
            <w:tcW w:w="1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30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Item 4. Controls and Procedures</w:t>
            </w:r>
          </w:p>
        </w:tc>
        <w:tc>
          <w:tcPr>
            <w:tcW w:w="180" w:type="dxa"/>
            <w:vAlign w:val="bottom"/>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32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0"/>
              </w:rPr>
              <w:t>Part</w:t>
            </w:r>
          </w:p>
        </w:tc>
        <w:tc>
          <w:tcPr>
            <w:tcW w:w="1660" w:type="dxa"/>
            <w:vAlign w:val="bottom"/>
            <w:tcBorders>
              <w:top w:val="single" w:sz="8" w:color="0000EE"/>
              <w:bottom w:val="single" w:sz="8" w:color="0000EE"/>
            </w:tcBorders>
            <w:gridSpan w:val="4"/>
          </w:tcPr>
          <w:p>
            <w:pPr>
              <w:ind w:left="60"/>
              <w:spacing w:after="0" w:line="182" w:lineRule="exact"/>
              <w:rPr>
                <w:sz w:val="20"/>
                <w:szCs w:val="20"/>
                <w:color w:val="auto"/>
              </w:rPr>
            </w:pPr>
            <w:r>
              <w:rPr>
                <w:rFonts w:ascii="Arial" w:cs="Arial" w:eastAsia="Arial" w:hAnsi="Arial"/>
                <w:sz w:val="18"/>
                <w:szCs w:val="18"/>
                <w:color w:val="0000EE"/>
                <w:w w:val="98"/>
              </w:rPr>
              <w:t>II. Other Information</w:t>
            </w:r>
          </w:p>
        </w:tc>
        <w:tc>
          <w:tcPr>
            <w:tcW w:w="920" w:type="dxa"/>
            <w:vAlign w:val="bottom"/>
            <w:tcBorders>
              <w:top w:val="single" w:sz="8" w:color="0000EE"/>
            </w:tcBorders>
            <w:gridSpan w:val="7"/>
          </w:tcPr>
          <w:p>
            <w:pPr>
              <w:spacing w:after="0"/>
              <w:rPr>
                <w:sz w:val="15"/>
                <w:szCs w:val="15"/>
                <w:color w:val="auto"/>
              </w:rPr>
            </w:pPr>
          </w:p>
        </w:tc>
        <w:tc>
          <w:tcPr>
            <w:tcW w:w="540" w:type="dxa"/>
            <w:vAlign w:val="bottom"/>
          </w:tcPr>
          <w:p>
            <w:pPr>
              <w:spacing w:after="0"/>
              <w:rPr>
                <w:sz w:val="15"/>
                <w:szCs w:val="15"/>
                <w:color w:val="auto"/>
              </w:rPr>
            </w:pPr>
          </w:p>
        </w:tc>
        <w:tc>
          <w:tcPr>
            <w:tcW w:w="2360" w:type="dxa"/>
            <w:vAlign w:val="bottom"/>
            <w:gridSpan w:val="3"/>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80" w:type="dxa"/>
            <w:vAlign w:val="bottom"/>
            <w:gridSpan w:val="20"/>
          </w:tcPr>
          <w:p>
            <w:pPr>
              <w:spacing w:after="0" w:line="182" w:lineRule="exact"/>
              <w:rPr>
                <w:sz w:val="20"/>
                <w:szCs w:val="20"/>
                <w:color w:val="auto"/>
              </w:rPr>
            </w:pPr>
            <w:r>
              <w:rPr>
                <w:rFonts w:ascii="Arial" w:cs="Arial" w:eastAsia="Arial" w:hAnsi="Arial"/>
                <w:sz w:val="18"/>
                <w:szCs w:val="18"/>
                <w:color w:val="0000EE"/>
              </w:rPr>
              <w:t>Item 1. Legal Proceedings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10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Item 1A. Risk Factors</w:t>
            </w:r>
          </w:p>
        </w:tc>
        <w:tc>
          <w:tcPr>
            <w:tcW w:w="420" w:type="dxa"/>
            <w:vAlign w:val="bottom"/>
            <w:gridSpan w:val="2"/>
          </w:tcPr>
          <w:p>
            <w:pPr>
              <w:spacing w:after="0"/>
              <w:rPr>
                <w:sz w:val="15"/>
                <w:szCs w:val="15"/>
                <w:color w:val="auto"/>
              </w:rPr>
            </w:pPr>
          </w:p>
        </w:tc>
        <w:tc>
          <w:tcPr>
            <w:tcW w:w="600" w:type="dxa"/>
            <w:vAlign w:val="bottom"/>
            <w:gridSpan w:val="2"/>
          </w:tcPr>
          <w:p>
            <w:pPr>
              <w:spacing w:after="0"/>
              <w:rPr>
                <w:sz w:val="15"/>
                <w:szCs w:val="15"/>
                <w:color w:val="auto"/>
              </w:rPr>
            </w:pPr>
          </w:p>
        </w:tc>
        <w:tc>
          <w:tcPr>
            <w:tcW w:w="2360" w:type="dxa"/>
            <w:vAlign w:val="bottom"/>
            <w:gridSpan w:val="3"/>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72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Item 2. Unregistered</w:t>
            </w:r>
          </w:p>
        </w:tc>
        <w:tc>
          <w:tcPr>
            <w:tcW w:w="6060" w:type="dxa"/>
            <w:vAlign w:val="bottom"/>
            <w:gridSpan w:val="15"/>
          </w:tcPr>
          <w:p>
            <w:pPr>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48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Item 3. Defaults upon Senior Securities</w:t>
            </w: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12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4660" w:type="dxa"/>
            <w:vAlign w:val="bottom"/>
            <w:gridSpan w:val="8"/>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52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Item 5. Other Information</w:t>
            </w:r>
          </w:p>
        </w:tc>
        <w:tc>
          <w:tcPr>
            <w:tcW w:w="5260" w:type="dxa"/>
            <w:vAlign w:val="bottom"/>
            <w:gridSpan w:val="10"/>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6. Exhibits</w:t>
            </w:r>
          </w:p>
        </w:tc>
        <w:tc>
          <w:tcPr>
            <w:tcW w:w="5780" w:type="dxa"/>
            <w:vAlign w:val="bottom"/>
            <w:gridSpan w:val="13"/>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560" w:type="dxa"/>
            <w:vAlign w:val="bottom"/>
            <w:gridSpan w:val="17"/>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line="20" w:lineRule="exact"/>
              <w:rPr>
                <w:sz w:val="1"/>
                <w:szCs w:val="1"/>
                <w:color w:val="auto"/>
              </w:rPr>
            </w:pPr>
          </w:p>
        </w:tc>
      </w:tr>
      <w:tr>
        <w:trPr>
          <w:trHeight w:val="183"/>
        </w:trPr>
        <w:tc>
          <w:tcPr>
            <w:tcW w:w="86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Signatures</w:t>
            </w:r>
          </w:p>
        </w:tc>
        <w:tc>
          <w:tcPr>
            <w:tcW w:w="680" w:type="dxa"/>
            <w:vAlign w:val="bottom"/>
          </w:tcPr>
          <w:p>
            <w:pPr>
              <w:spacing w:after="0"/>
              <w:rPr>
                <w:sz w:val="15"/>
                <w:szCs w:val="15"/>
                <w:color w:val="auto"/>
              </w:rPr>
            </w:pPr>
          </w:p>
        </w:tc>
        <w:tc>
          <w:tcPr>
            <w:tcW w:w="6560" w:type="dxa"/>
            <w:vAlign w:val="bottom"/>
            <w:gridSpan w:val="17"/>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104"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r>
      <w:tr>
        <w:trPr>
          <w:trHeight w:val="156"/>
        </w:trPr>
        <w:tc>
          <w:tcPr>
            <w:tcW w:w="65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2"/>
        </w:trPr>
        <w:tc>
          <w:tcPr>
            <w:tcW w:w="6520" w:type="dxa"/>
            <w:vAlign w:val="bottom"/>
          </w:tcPr>
          <w:p>
            <w:pPr>
              <w:ind w:left="10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387,367</w:t>
            </w:r>
          </w:p>
        </w:tc>
        <w:tc>
          <w:tcPr>
            <w:tcW w:w="360" w:type="dxa"/>
            <w:vAlign w:val="bottom"/>
            <w:gridSpan w:val="2"/>
            <w:shd w:val="clear" w:color="auto" w:fill="CCEEFF"/>
          </w:tcPr>
          <w:p>
            <w:pPr>
              <w:jc w:val="right"/>
              <w:ind w:right="82"/>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311,660</w:t>
            </w:r>
          </w:p>
        </w:tc>
      </w:tr>
      <w:tr>
        <w:trPr>
          <w:trHeight w:val="162"/>
        </w:trPr>
        <w:tc>
          <w:tcPr>
            <w:tcW w:w="6520" w:type="dxa"/>
            <w:vAlign w:val="bottom"/>
          </w:tcPr>
          <w:p>
            <w:pPr>
              <w:ind w:left="220"/>
              <w:spacing w:after="0"/>
              <w:rPr>
                <w:sz w:val="20"/>
                <w:szCs w:val="20"/>
                <w:color w:val="auto"/>
              </w:rPr>
            </w:pPr>
            <w:r>
              <w:rPr>
                <w:rFonts w:ascii="Arial" w:cs="Arial" w:eastAsia="Arial" w:hAnsi="Arial"/>
                <w:sz w:val="14"/>
                <w:szCs w:val="14"/>
                <w:color w:val="auto"/>
              </w:rPr>
              <w:t>Investments, short-term</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23,109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41,800</w:t>
            </w: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81,502</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74,140</w:t>
            </w:r>
          </w:p>
        </w:tc>
      </w:tr>
      <w:tr>
        <w:trPr>
          <w:trHeight w:val="162"/>
        </w:trPr>
        <w:tc>
          <w:tcPr>
            <w:tcW w:w="6520" w:type="dxa"/>
            <w:vAlign w:val="bottom"/>
          </w:tcPr>
          <w:p>
            <w:pPr>
              <w:ind w:left="220"/>
              <w:spacing w:after="0"/>
              <w:rPr>
                <w:sz w:val="20"/>
                <w:szCs w:val="20"/>
                <w:color w:val="auto"/>
              </w:rPr>
            </w:pPr>
            <w:r>
              <w:rPr>
                <w:rFonts w:ascii="Arial" w:cs="Arial" w:eastAsia="Arial" w:hAnsi="Arial"/>
                <w:sz w:val="14"/>
                <w:szCs w:val="14"/>
                <w:color w:val="auto"/>
              </w:rPr>
              <w:t>Inventory, net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6,915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5,363</w:t>
            </w: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16,057</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12,570</w:t>
            </w:r>
          </w:p>
        </w:tc>
      </w:tr>
      <w:tr>
        <w:trPr>
          <w:trHeight w:val="162"/>
        </w:trPr>
        <w:tc>
          <w:tcPr>
            <w:tcW w:w="65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assets</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7,455</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5,537</w:t>
            </w:r>
          </w:p>
        </w:tc>
      </w:tr>
      <w:tr>
        <w:trPr>
          <w:trHeight w:val="156"/>
        </w:trPr>
        <w:tc>
          <w:tcPr>
            <w:tcW w:w="652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522,405</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451,070</w:t>
            </w:r>
          </w:p>
        </w:tc>
      </w:tr>
      <w:tr>
        <w:trPr>
          <w:trHeight w:val="155"/>
        </w:trPr>
        <w:tc>
          <w:tcPr>
            <w:tcW w:w="6520" w:type="dxa"/>
            <w:vAlign w:val="bottom"/>
          </w:tcPr>
          <w:p>
            <w:pPr>
              <w:ind w:left="100"/>
              <w:spacing w:after="0" w:line="155" w:lineRule="exact"/>
              <w:rPr>
                <w:sz w:val="20"/>
                <w:szCs w:val="20"/>
                <w:color w:val="auto"/>
              </w:rPr>
            </w:pPr>
            <w:r>
              <w:rPr>
                <w:rFonts w:ascii="Arial" w:cs="Arial" w:eastAsia="Arial" w:hAnsi="Arial"/>
                <w:sz w:val="14"/>
                <w:szCs w:val="14"/>
                <w:color w:val="auto"/>
              </w:rPr>
              <w:t>NONCURRENT ASSETS: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r>
      <w:tr>
        <w:trPr>
          <w:trHeight w:val="162"/>
        </w:trPr>
        <w:tc>
          <w:tcPr>
            <w:tcW w:w="652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long-term</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94,222</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72,169</w:t>
            </w:r>
          </w:p>
        </w:tc>
      </w:tr>
      <w:tr>
        <w:trPr>
          <w:trHeight w:val="162"/>
        </w:trPr>
        <w:tc>
          <w:tcPr>
            <w:tcW w:w="652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119,225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137,108</w:t>
            </w: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 asset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185,016</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144,162</w:t>
            </w:r>
          </w:p>
        </w:tc>
      </w:tr>
      <w:tr>
        <w:trPr>
          <w:trHeight w:val="162"/>
        </w:trPr>
        <w:tc>
          <w:tcPr>
            <w:tcW w:w="65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assets</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6,247</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6,298</w:t>
            </w:r>
          </w:p>
        </w:tc>
      </w:tr>
      <w:tr>
        <w:trPr>
          <w:trHeight w:val="155"/>
        </w:trPr>
        <w:tc>
          <w:tcPr>
            <w:tcW w:w="652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noncurrent assets</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405,730</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360,378</w:t>
            </w:r>
          </w:p>
        </w:tc>
      </w:tr>
      <w:tr>
        <w:trPr>
          <w:trHeight w:val="195"/>
        </w:trPr>
        <w:tc>
          <w:tcPr>
            <w:tcW w:w="652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928,135</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811,448</w:t>
            </w:r>
          </w:p>
        </w:tc>
      </w:tr>
      <w:tr>
        <w:trPr>
          <w:trHeight w:val="143"/>
        </w:trPr>
        <w:tc>
          <w:tcPr>
            <w:tcW w:w="65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AND STOCKHOLDERS’ EQUITY</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62"/>
        </w:trPr>
        <w:tc>
          <w:tcPr>
            <w:tcW w:w="6520" w:type="dxa"/>
            <w:vAlign w:val="bottom"/>
          </w:tcPr>
          <w:p>
            <w:pPr>
              <w:ind w:left="10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10,532</w:t>
            </w:r>
          </w:p>
        </w:tc>
        <w:tc>
          <w:tcPr>
            <w:tcW w:w="360" w:type="dxa"/>
            <w:vAlign w:val="bottom"/>
            <w:gridSpan w:val="2"/>
            <w:shd w:val="clear" w:color="auto" w:fill="CCEEFF"/>
          </w:tcPr>
          <w:p>
            <w:pPr>
              <w:jc w:val="right"/>
              <w:ind w:right="82"/>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17,730</w:t>
            </w:r>
          </w:p>
        </w:tc>
      </w:tr>
      <w:tr>
        <w:trPr>
          <w:trHeight w:val="162"/>
        </w:trPr>
        <w:tc>
          <w:tcPr>
            <w:tcW w:w="652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14,224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23,747</w:t>
            </w: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109,673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99,494</w:t>
            </w:r>
          </w:p>
        </w:tc>
      </w:tr>
      <w:tr>
        <w:trPr>
          <w:trHeight w:val="162"/>
        </w:trPr>
        <w:tc>
          <w:tcPr>
            <w:tcW w:w="6520" w:type="dxa"/>
            <w:vAlign w:val="bottom"/>
          </w:tcPr>
          <w:p>
            <w:pPr>
              <w:ind w:left="22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15,000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11,850</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7,810</w:t>
            </w:r>
          </w:p>
        </w:tc>
      </w:tr>
      <w:tr>
        <w:trPr>
          <w:trHeight w:val="155"/>
        </w:trPr>
        <w:tc>
          <w:tcPr>
            <w:tcW w:w="652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current liabilities</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161,279</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163,781</w:t>
            </w:r>
          </w:p>
        </w:tc>
      </w:tr>
      <w:tr>
        <w:trPr>
          <w:trHeight w:val="155"/>
        </w:trPr>
        <w:tc>
          <w:tcPr>
            <w:tcW w:w="652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NONCURRENT LIABILITIES: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2"/>
        </w:trPr>
        <w:tc>
          <w:tcPr>
            <w:tcW w:w="6520" w:type="dxa"/>
            <w:vAlign w:val="bottom"/>
          </w:tcPr>
          <w:p>
            <w:pPr>
              <w:ind w:left="220"/>
              <w:spacing w:after="0"/>
              <w:rPr>
                <w:sz w:val="20"/>
                <w:szCs w:val="20"/>
                <w:color w:val="auto"/>
              </w:rPr>
            </w:pPr>
            <w:r>
              <w:rPr>
                <w:rFonts w:ascii="Arial" w:cs="Arial" w:eastAsia="Arial" w:hAnsi="Arial"/>
                <w:sz w:val="14"/>
                <w:szCs w:val="14"/>
                <w:color w:val="auto"/>
              </w:rPr>
              <w:t>Long-term debt, net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167,847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178,566</w:t>
            </w: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2,205</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2,109</w:t>
            </w:r>
          </w:p>
        </w:tc>
      </w:tr>
      <w:tr>
        <w:trPr>
          <w:trHeight w:val="156"/>
        </w:trPr>
        <w:tc>
          <w:tcPr>
            <w:tcW w:w="652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noncurrent liabilities</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170,052</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180,675</w:t>
            </w:r>
          </w:p>
        </w:tc>
      </w:tr>
      <w:tr>
        <w:trPr>
          <w:trHeight w:val="155"/>
        </w:trPr>
        <w:tc>
          <w:tcPr>
            <w:tcW w:w="652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331,331</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344,456</w:t>
            </w:r>
          </w:p>
        </w:tc>
      </w:tr>
      <w:tr>
        <w:trPr>
          <w:trHeight w:val="155"/>
        </w:trPr>
        <w:tc>
          <w:tcPr>
            <w:tcW w:w="6520" w:type="dxa"/>
            <w:vAlign w:val="bottom"/>
          </w:tcPr>
          <w:p>
            <w:pPr>
              <w:ind w:left="100"/>
              <w:spacing w:after="0" w:line="155" w:lineRule="exact"/>
              <w:rPr>
                <w:sz w:val="20"/>
                <w:szCs w:val="20"/>
                <w:color w:val="auto"/>
              </w:rPr>
            </w:pPr>
            <w:r>
              <w:rPr>
                <w:rFonts w:ascii="Arial" w:cs="Arial" w:eastAsia="Arial" w:hAnsi="Arial"/>
                <w:sz w:val="14"/>
                <w:szCs w:val="14"/>
                <w:color w:val="auto"/>
              </w:rPr>
              <w:t>COMMITMENTS AND CONTINGENCIES (Note 13)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65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53"/>
        </w:trPr>
        <w:tc>
          <w:tcPr>
            <w:tcW w:w="6520" w:type="dxa"/>
            <w:vAlign w:val="bottom"/>
          </w:tcPr>
          <w:p>
            <w:pPr>
              <w:ind w:left="220"/>
              <w:spacing w:after="0" w:line="153" w:lineRule="exact"/>
              <w:rPr>
                <w:sz w:val="20"/>
                <w:szCs w:val="20"/>
                <w:color w:val="auto"/>
              </w:rPr>
            </w:pPr>
            <w:r>
              <w:rPr>
                <w:rFonts w:ascii="Arial" w:cs="Arial" w:eastAsia="Arial" w:hAnsi="Arial"/>
                <w:sz w:val="14"/>
                <w:szCs w:val="14"/>
                <w:color w:val="auto"/>
              </w:rPr>
              <w:t>Common stock—$0.00001 par value; 500,000,000 shares authorized at September 30, 2024 and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6520" w:type="dxa"/>
            <w:vAlign w:val="bottom"/>
          </w:tcPr>
          <w:p>
            <w:pPr>
              <w:ind w:left="220"/>
              <w:spacing w:after="0"/>
              <w:rPr>
                <w:sz w:val="20"/>
                <w:szCs w:val="20"/>
                <w:color w:val="auto"/>
              </w:rPr>
            </w:pPr>
            <w:r>
              <w:rPr>
                <w:rFonts w:ascii="Arial" w:cs="Arial" w:eastAsia="Arial" w:hAnsi="Arial"/>
                <w:sz w:val="14"/>
                <w:szCs w:val="14"/>
                <w:color w:val="auto"/>
              </w:rPr>
              <w:t>December 31, 2023, respectively; 57,030,897 and 56,769,081 shares issued and outstanding at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6520" w:type="dxa"/>
            <w:vAlign w:val="bottom"/>
          </w:tcPr>
          <w:p>
            <w:pPr>
              <w:ind w:left="220"/>
              <w:spacing w:after="0"/>
              <w:rPr>
                <w:sz w:val="20"/>
                <w:szCs w:val="20"/>
                <w:color w:val="auto"/>
              </w:rPr>
            </w:pPr>
            <w:r>
              <w:rPr>
                <w:rFonts w:ascii="Arial" w:cs="Arial" w:eastAsia="Arial" w:hAnsi="Arial"/>
                <w:sz w:val="14"/>
                <w:szCs w:val="14"/>
                <w:color w:val="auto"/>
              </w:rPr>
              <w:t>September 30, 2024 and December 31, 2023, respectively</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 in capital</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643,563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610,266</w:t>
            </w:r>
          </w:p>
        </w:tc>
      </w:tr>
      <w:tr>
        <w:trPr>
          <w:trHeight w:val="162"/>
        </w:trPr>
        <w:tc>
          <w:tcPr>
            <w:tcW w:w="6520" w:type="dxa"/>
            <w:vAlign w:val="bottom"/>
          </w:tcPr>
          <w:p>
            <w:pPr>
              <w:ind w:left="220"/>
              <w:spacing w:after="0"/>
              <w:rPr>
                <w:sz w:val="20"/>
                <w:szCs w:val="20"/>
                <w:color w:val="auto"/>
              </w:rPr>
            </w:pPr>
            <w:r>
              <w:rPr>
                <w:rFonts w:ascii="Arial" w:cs="Arial" w:eastAsia="Arial" w:hAnsi="Arial"/>
                <w:sz w:val="14"/>
                <w:szCs w:val="14"/>
                <w:color w:val="auto"/>
              </w:rPr>
              <w:t>Accumulated other comprehensive (loss) income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(47,259)</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(143,277)</w:t>
            </w:r>
          </w:p>
        </w:tc>
      </w:tr>
      <w:tr>
        <w:trPr>
          <w:trHeight w:val="155"/>
        </w:trPr>
        <w:tc>
          <w:tcPr>
            <w:tcW w:w="652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596,804</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466,992</w:t>
            </w:r>
          </w:p>
        </w:tc>
      </w:tr>
      <w:tr>
        <w:trPr>
          <w:trHeight w:val="156"/>
        </w:trPr>
        <w:tc>
          <w:tcPr>
            <w:tcW w:w="652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928,135</w:t>
            </w: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811,448</w:t>
            </w: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10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UNAUDITED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6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3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2023</w:t>
            </w:r>
          </w:p>
        </w:tc>
      </w:tr>
      <w:tr>
        <w:trPr>
          <w:trHeight w:val="155"/>
        </w:trPr>
        <w:tc>
          <w:tcPr>
            <w:tcW w:w="33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product revenue</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186,038</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160,268</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513,467</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413,610</w:t>
            </w:r>
          </w:p>
        </w:tc>
      </w:tr>
      <w:tr>
        <w:trPr>
          <w:trHeight w:val="162"/>
        </w:trPr>
        <w:tc>
          <w:tcPr>
            <w:tcW w:w="3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Cost of product sold</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42,778</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32,296</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102,406</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78,084</w:t>
            </w:r>
          </w:p>
        </w:tc>
      </w:tr>
      <w:tr>
        <w:trPr>
          <w:trHeight w:val="155"/>
        </w:trPr>
        <w:tc>
          <w:tcPr>
            <w:tcW w:w="3380" w:type="dxa"/>
            <w:vAlign w:val="bottom"/>
            <w:shd w:val="clear" w:color="auto" w:fill="CCEEFF"/>
          </w:tcPr>
          <w:p>
            <w:pPr>
              <w:ind w:left="420"/>
              <w:spacing w:after="0" w:line="155" w:lineRule="exact"/>
              <w:rPr>
                <w:sz w:val="20"/>
                <w:szCs w:val="20"/>
                <w:color w:val="auto"/>
              </w:rPr>
            </w:pPr>
            <w:r>
              <w:rPr>
                <w:rFonts w:ascii="Arial" w:cs="Arial" w:eastAsia="Arial" w:hAnsi="Arial"/>
                <w:sz w:val="14"/>
                <w:szCs w:val="14"/>
                <w:color w:val="auto"/>
              </w:rPr>
              <w:t>Gross profit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143,260</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127,972</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411,061</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335,526</w:t>
            </w: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3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25,387</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17,499</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111,159</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45,757</w:t>
            </w:r>
          </w:p>
        </w:tc>
      </w:tr>
      <w:tr>
        <w:trPr>
          <w:trHeight w:val="162"/>
        </w:trPr>
        <w:tc>
          <w:tcPr>
            <w:tcW w:w="3380" w:type="dxa"/>
            <w:vAlign w:val="bottom"/>
          </w:tcPr>
          <w:p>
            <w:pPr>
              <w:ind w:left="220"/>
              <w:spacing w:after="0"/>
              <w:rPr>
                <w:sz w:val="20"/>
                <w:szCs w:val="20"/>
                <w:color w:val="auto"/>
              </w:rPr>
            </w:pPr>
            <w:r>
              <w:rPr>
                <w:rFonts w:ascii="Arial" w:cs="Arial" w:eastAsia="Arial" w:hAnsi="Arial"/>
                <w:sz w:val="14"/>
                <w:szCs w:val="14"/>
                <w:color w:val="auto"/>
              </w:rPr>
              <w:t>Sales and marketing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27,576</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23,418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83,316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70,518</w:t>
            </w:r>
          </w:p>
        </w:tc>
      </w:tr>
      <w:tr>
        <w:trPr>
          <w:trHeight w:val="162"/>
        </w:trPr>
        <w:tc>
          <w:tcPr>
            <w:tcW w:w="3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28,587</w:t>
            </w:r>
          </w:p>
        </w:tc>
        <w:tc>
          <w:tcPr>
            <w:tcW w:w="1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22,546</w:t>
            </w: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81,487</w:t>
            </w:r>
          </w:p>
        </w:tc>
        <w:tc>
          <w:tcPr>
            <w:tcW w:w="2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67,417</w:t>
            </w:r>
          </w:p>
        </w:tc>
      </w:tr>
      <w:tr>
        <w:trPr>
          <w:trHeight w:val="155"/>
        </w:trPr>
        <w:tc>
          <w:tcPr>
            <w:tcW w:w="3380" w:type="dxa"/>
            <w:vAlign w:val="bottom"/>
          </w:tcPr>
          <w:p>
            <w:pPr>
              <w:ind w:left="420"/>
              <w:spacing w:after="0" w:line="155" w:lineRule="exact"/>
              <w:rPr>
                <w:sz w:val="20"/>
                <w:szCs w:val="20"/>
                <w:color w:val="auto"/>
              </w:rPr>
            </w:pPr>
            <w:r>
              <w:rPr>
                <w:rFonts w:ascii="Arial" w:cs="Arial" w:eastAsia="Arial" w:hAnsi="Arial"/>
                <w:sz w:val="14"/>
                <w:szCs w:val="14"/>
                <w:color w:val="auto"/>
              </w:rPr>
              <w:t>Total operating expenses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8"/>
              <w:spacing w:after="0" w:line="155" w:lineRule="exact"/>
              <w:rPr>
                <w:sz w:val="20"/>
                <w:szCs w:val="20"/>
                <w:color w:val="auto"/>
              </w:rPr>
            </w:pPr>
            <w:r>
              <w:rPr>
                <w:rFonts w:ascii="Arial" w:cs="Arial" w:eastAsia="Arial" w:hAnsi="Arial"/>
                <w:sz w:val="14"/>
                <w:szCs w:val="14"/>
                <w:color w:val="auto"/>
              </w:rPr>
              <w:t>81,550</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63,463</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8"/>
              <w:spacing w:after="0" w:line="155" w:lineRule="exact"/>
              <w:rPr>
                <w:sz w:val="20"/>
                <w:szCs w:val="20"/>
                <w:color w:val="auto"/>
              </w:rPr>
            </w:pPr>
            <w:r>
              <w:rPr>
                <w:rFonts w:ascii="Arial" w:cs="Arial" w:eastAsia="Arial" w:hAnsi="Arial"/>
                <w:sz w:val="14"/>
                <w:szCs w:val="14"/>
                <w:color w:val="auto"/>
              </w:rPr>
              <w:t>275,962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8"/>
              <w:spacing w:after="0" w:line="155" w:lineRule="exact"/>
              <w:rPr>
                <w:sz w:val="20"/>
                <w:szCs w:val="20"/>
                <w:color w:val="auto"/>
              </w:rPr>
            </w:pPr>
            <w:r>
              <w:rPr>
                <w:rFonts w:ascii="Arial" w:cs="Arial" w:eastAsia="Arial" w:hAnsi="Arial"/>
                <w:sz w:val="14"/>
                <w:szCs w:val="14"/>
                <w:color w:val="auto"/>
              </w:rPr>
              <w:t>183,692</w:t>
            </w:r>
          </w:p>
        </w:tc>
      </w:tr>
      <w:tr>
        <w:trPr>
          <w:trHeight w:val="162"/>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61,710</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64,509</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135,099</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151,834</w:t>
            </w: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Loss on debt extinguishment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(9,766)</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(9,766)</w:t>
            </w:r>
          </w:p>
        </w:tc>
      </w:tr>
      <w:tr>
        <w:trPr>
          <w:trHeight w:val="162"/>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Other (expense) income, net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(4,348)</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(7,012)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(13,287)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(18,961)</w:t>
            </w:r>
          </w:p>
        </w:tc>
      </w:tr>
      <w:tr>
        <w:trPr>
          <w:trHeight w:val="162"/>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4,932</w:t>
            </w:r>
          </w:p>
        </w:tc>
        <w:tc>
          <w:tcPr>
            <w:tcW w:w="1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4,106</w:t>
            </w: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14,065</w:t>
            </w:r>
          </w:p>
        </w:tc>
        <w:tc>
          <w:tcPr>
            <w:tcW w:w="2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10,634</w:t>
            </w:r>
          </w:p>
        </w:tc>
      </w:tr>
      <w:tr>
        <w:trPr>
          <w:trHeight w:val="156"/>
        </w:trPr>
        <w:tc>
          <w:tcPr>
            <w:tcW w:w="3380" w:type="dxa"/>
            <w:vAlign w:val="bottom"/>
          </w:tcPr>
          <w:p>
            <w:pPr>
              <w:spacing w:after="0" w:line="155" w:lineRule="exact"/>
              <w:rPr>
                <w:sz w:val="20"/>
                <w:szCs w:val="20"/>
                <w:color w:val="auto"/>
              </w:rPr>
            </w:pPr>
            <w:r>
              <w:rPr>
                <w:rFonts w:ascii="Arial" w:cs="Arial" w:eastAsia="Arial" w:hAnsi="Arial"/>
                <w:sz w:val="14"/>
                <w:szCs w:val="14"/>
                <w:color w:val="auto"/>
              </w:rPr>
              <w:t>Income before income taxes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8"/>
              <w:spacing w:after="0" w:line="155" w:lineRule="exact"/>
              <w:rPr>
                <w:sz w:val="20"/>
                <w:szCs w:val="20"/>
                <w:color w:val="auto"/>
              </w:rPr>
            </w:pPr>
            <w:r>
              <w:rPr>
                <w:rFonts w:ascii="Arial" w:cs="Arial" w:eastAsia="Arial" w:hAnsi="Arial"/>
                <w:sz w:val="14"/>
                <w:szCs w:val="14"/>
                <w:color w:val="auto"/>
              </w:rPr>
              <w:t>62,170</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51,832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8"/>
              <w:spacing w:after="0" w:line="155" w:lineRule="exact"/>
              <w:rPr>
                <w:sz w:val="20"/>
                <w:szCs w:val="20"/>
                <w:color w:val="auto"/>
              </w:rPr>
            </w:pPr>
            <w:r>
              <w:rPr>
                <w:rFonts w:ascii="Arial" w:cs="Arial" w:eastAsia="Arial" w:hAnsi="Arial"/>
                <w:sz w:val="14"/>
                <w:szCs w:val="14"/>
                <w:color w:val="auto"/>
              </w:rPr>
              <w:t>135,649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8"/>
              <w:spacing w:after="0" w:line="155" w:lineRule="exact"/>
              <w:rPr>
                <w:sz w:val="20"/>
                <w:szCs w:val="20"/>
                <w:color w:val="auto"/>
              </w:rPr>
            </w:pPr>
            <w:r>
              <w:rPr>
                <w:rFonts w:ascii="Arial" w:cs="Arial" w:eastAsia="Arial" w:hAnsi="Arial"/>
                <w:sz w:val="14"/>
                <w:szCs w:val="14"/>
                <w:color w:val="auto"/>
              </w:rPr>
              <w:t>133,707</w:t>
            </w:r>
          </w:p>
        </w:tc>
      </w:tr>
      <w:tr>
        <w:trPr>
          <w:trHeight w:val="162"/>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(16,077)</w:t>
            </w:r>
          </w:p>
        </w:tc>
        <w:tc>
          <w:tcPr>
            <w:tcW w:w="1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(13,371)</w:t>
            </w: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(39,631)</w:t>
            </w:r>
          </w:p>
        </w:tc>
        <w:tc>
          <w:tcPr>
            <w:tcW w:w="2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(31,461)</w:t>
            </w:r>
          </w:p>
        </w:tc>
      </w:tr>
      <w:tr>
        <w:trPr>
          <w:trHeight w:val="156"/>
        </w:trPr>
        <w:tc>
          <w:tcPr>
            <w:tcW w:w="3380" w:type="dxa"/>
            <w:vAlign w:val="bottom"/>
          </w:tcPr>
          <w:p>
            <w:pPr>
              <w:spacing w:after="0" w:line="155"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ind w:right="8"/>
              <w:spacing w:after="0" w:line="155" w:lineRule="exact"/>
              <w:rPr>
                <w:sz w:val="20"/>
                <w:szCs w:val="20"/>
                <w:color w:val="auto"/>
              </w:rPr>
            </w:pPr>
            <w:r>
              <w:rPr>
                <w:rFonts w:ascii="Arial" w:cs="Arial" w:eastAsia="Arial" w:hAnsi="Arial"/>
                <w:sz w:val="14"/>
                <w:szCs w:val="14"/>
                <w:color w:val="auto"/>
              </w:rPr>
              <w:t>46,093</w:t>
            </w:r>
          </w:p>
        </w:tc>
        <w:tc>
          <w:tcPr>
            <w:tcW w:w="160" w:type="dxa"/>
            <w:vAlign w:val="bottom"/>
          </w:tcPr>
          <w:p>
            <w:pPr>
              <w:spacing w:after="0"/>
              <w:rPr>
                <w:sz w:val="13"/>
                <w:szCs w:val="13"/>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38,461</w:t>
            </w:r>
          </w:p>
        </w:tc>
        <w:tc>
          <w:tcPr>
            <w:tcW w:w="160" w:type="dxa"/>
            <w:vAlign w:val="bottom"/>
          </w:tcPr>
          <w:p>
            <w:pPr>
              <w:spacing w:after="0"/>
              <w:rPr>
                <w:sz w:val="13"/>
                <w:szCs w:val="13"/>
                <w:color w:val="auto"/>
              </w:rPr>
            </w:pP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line="155" w:lineRule="exact"/>
              <w:rPr>
                <w:sz w:val="20"/>
                <w:szCs w:val="20"/>
                <w:color w:val="auto"/>
              </w:rPr>
            </w:pPr>
            <w:r>
              <w:rPr>
                <w:rFonts w:ascii="Arial" w:cs="Arial" w:eastAsia="Arial" w:hAnsi="Arial"/>
                <w:sz w:val="14"/>
                <w:szCs w:val="14"/>
                <w:color w:val="auto"/>
              </w:rPr>
              <w:t>96,018</w:t>
            </w:r>
          </w:p>
        </w:tc>
        <w:tc>
          <w:tcPr>
            <w:tcW w:w="240" w:type="dxa"/>
            <w:vAlign w:val="bottom"/>
          </w:tcPr>
          <w:p>
            <w:pPr>
              <w:spacing w:after="0"/>
              <w:rPr>
                <w:sz w:val="13"/>
                <w:szCs w:val="13"/>
                <w:color w:val="auto"/>
              </w:rPr>
            </w:pP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line="155" w:lineRule="exact"/>
              <w:rPr>
                <w:sz w:val="20"/>
                <w:szCs w:val="20"/>
                <w:color w:val="auto"/>
              </w:rPr>
            </w:pPr>
            <w:r>
              <w:rPr>
                <w:rFonts w:ascii="Arial" w:cs="Arial" w:eastAsia="Arial" w:hAnsi="Arial"/>
                <w:sz w:val="14"/>
                <w:szCs w:val="14"/>
                <w:color w:val="auto"/>
              </w:rPr>
              <w:t>102,246</w:t>
            </w:r>
          </w:p>
        </w:tc>
      </w:tr>
      <w:tr>
        <w:trPr>
          <w:trHeight w:val="162"/>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Unrealized (loss) income on investments</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733</w:t>
            </w:r>
          </w:p>
        </w:tc>
        <w:tc>
          <w:tcPr>
            <w:tcW w:w="1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497</w:t>
            </w:r>
          </w:p>
        </w:tc>
        <w:tc>
          <w:tcPr>
            <w:tcW w:w="2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196"/>
        </w:trPr>
        <w:tc>
          <w:tcPr>
            <w:tcW w:w="33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Comprehensive income</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46,826</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38,467</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96,515</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101,881</w:t>
            </w:r>
          </w:p>
        </w:tc>
      </w:tr>
      <w:tr>
        <w:trPr>
          <w:trHeight w:val="143"/>
        </w:trPr>
        <w:tc>
          <w:tcPr>
            <w:tcW w:w="33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EARNINGS PER SHARE: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62"/>
        </w:trPr>
        <w:tc>
          <w:tcPr>
            <w:tcW w:w="3380" w:type="dxa"/>
            <w:vAlign w:val="bottom"/>
          </w:tcPr>
          <w:p>
            <w:pPr>
              <w:ind w:left="220"/>
              <w:spacing w:after="0"/>
              <w:rPr>
                <w:sz w:val="20"/>
                <w:szCs w:val="20"/>
                <w:color w:val="auto"/>
              </w:rPr>
            </w:pPr>
            <w:r>
              <w:rPr>
                <w:rFonts w:ascii="Arial" w:cs="Arial" w:eastAsia="Arial" w:hAnsi="Arial"/>
                <w:sz w:val="14"/>
                <w:szCs w:val="14"/>
                <w:color w:val="auto"/>
              </w:rPr>
              <w:t>Basic</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0.81</w:t>
            </w:r>
          </w:p>
        </w:tc>
        <w:tc>
          <w:tcPr>
            <w:tcW w:w="42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0.64</w:t>
            </w:r>
          </w:p>
        </w:tc>
        <w:tc>
          <w:tcPr>
            <w:tcW w:w="3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1.69</w:t>
            </w:r>
          </w:p>
        </w:tc>
        <w:tc>
          <w:tcPr>
            <w:tcW w:w="4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1.71</w:t>
            </w:r>
          </w:p>
        </w:tc>
      </w:tr>
      <w:tr>
        <w:trPr>
          <w:trHeight w:val="162"/>
        </w:trPr>
        <w:tc>
          <w:tcPr>
            <w:tcW w:w="3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0.79</w:t>
            </w:r>
          </w:p>
        </w:tc>
        <w:tc>
          <w:tcPr>
            <w:tcW w:w="42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w:t>
            </w:r>
          </w:p>
        </w:tc>
        <w:tc>
          <w:tcPr>
            <w:tcW w:w="4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r>
      <w:tr>
        <w:trPr>
          <w:trHeight w:val="153"/>
        </w:trPr>
        <w:tc>
          <w:tcPr>
            <w:tcW w:w="3380" w:type="dxa"/>
            <w:vAlign w:val="bottom"/>
          </w:tcPr>
          <w:p>
            <w:pPr>
              <w:ind w:left="220"/>
              <w:spacing w:after="0" w:line="153" w:lineRule="exact"/>
              <w:rPr>
                <w:sz w:val="20"/>
                <w:szCs w:val="20"/>
                <w:color w:val="auto"/>
              </w:rPr>
            </w:pPr>
            <w:r>
              <w:rPr>
                <w:rFonts w:ascii="Arial" w:cs="Arial" w:eastAsia="Arial" w:hAnsi="Arial"/>
                <w:sz w:val="14"/>
                <w:szCs w:val="14"/>
                <w:color w:val="auto"/>
              </w:rPr>
              <w:t>Weighted average number of shares of common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1"/>
        </w:trPr>
        <w:tc>
          <w:tcPr>
            <w:tcW w:w="3380" w:type="dxa"/>
            <w:vAlign w:val="bottom"/>
          </w:tcPr>
          <w:p>
            <w:pPr>
              <w:ind w:left="220"/>
              <w:spacing w:after="0"/>
              <w:rPr>
                <w:sz w:val="20"/>
                <w:szCs w:val="20"/>
                <w:color w:val="auto"/>
              </w:rPr>
            </w:pPr>
            <w:r>
              <w:rPr>
                <w:rFonts w:ascii="Arial" w:cs="Arial" w:eastAsia="Arial" w:hAnsi="Arial"/>
                <w:sz w:val="14"/>
                <w:szCs w:val="14"/>
                <w:color w:val="auto"/>
              </w:rPr>
              <w:t>stock - basic</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56,870,234</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59,863,102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56,815,167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59,856,941</w:t>
            </w:r>
          </w:p>
        </w:tc>
      </w:tr>
      <w:tr>
        <w:trPr>
          <w:trHeight w:val="153"/>
        </w:trPr>
        <w:tc>
          <w:tcPr>
            <w:tcW w:w="338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Weighted average number of shares of common</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71"/>
        </w:trPr>
        <w:tc>
          <w:tcPr>
            <w:tcW w:w="3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 diluted</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58,103,963</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60,681,676</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57,754,016</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60,892,992</w:t>
            </w:r>
          </w:p>
        </w:tc>
      </w:tr>
    </w:tbl>
    <w:p>
      <w:pPr>
        <w:spacing w:after="0" w:line="184"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820" w:type="dxa"/>
            <w:vAlign w:val="bottom"/>
          </w:tcPr>
          <w:p>
            <w:pPr>
              <w:spacing w:after="0"/>
              <w:rPr>
                <w:sz w:val="14"/>
                <w:szCs w:val="14"/>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comprehensive</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2820" w:type="dxa"/>
            <w:vAlign w:val="bottom"/>
          </w:tcPr>
          <w:p>
            <w:pPr>
              <w:spacing w:after="0"/>
              <w:rPr>
                <w:sz w:val="13"/>
                <w:szCs w:val="13"/>
                <w:color w:val="auto"/>
              </w:rPr>
            </w:pPr>
          </w:p>
        </w:tc>
        <w:tc>
          <w:tcPr>
            <w:tcW w:w="96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9"/>
              </w:rPr>
              <w:t>capital</w:t>
            </w:r>
          </w:p>
        </w:tc>
        <w:tc>
          <w:tcPr>
            <w:tcW w:w="80" w:type="dxa"/>
            <w:vAlign w:val="bottom"/>
          </w:tcPr>
          <w:p>
            <w:pPr>
              <w:spacing w:after="0"/>
              <w:rPr>
                <w:sz w:val="13"/>
                <w:szCs w:val="13"/>
                <w:color w:val="auto"/>
              </w:rPr>
            </w:pPr>
          </w:p>
        </w:tc>
        <w:tc>
          <w:tcPr>
            <w:tcW w:w="116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(loss) income</w:t>
            </w:r>
          </w:p>
        </w:tc>
        <w:tc>
          <w:tcPr>
            <w:tcW w:w="180" w:type="dxa"/>
            <w:vAlign w:val="bottom"/>
          </w:tcPr>
          <w:p>
            <w:pPr>
              <w:spacing w:after="0"/>
              <w:rPr>
                <w:sz w:val="13"/>
                <w:szCs w:val="13"/>
                <w:color w:val="auto"/>
              </w:rPr>
            </w:pPr>
          </w:p>
        </w:tc>
        <w:tc>
          <w:tcPr>
            <w:tcW w:w="9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82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equity</w:t>
            </w:r>
          </w:p>
        </w:tc>
      </w:tr>
      <w:tr>
        <w:trPr>
          <w:trHeight w:val="155"/>
        </w:trPr>
        <w:tc>
          <w:tcPr>
            <w:tcW w:w="28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2023</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56,769,081</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610,266</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(143,277)</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466,992</w:t>
            </w:r>
          </w:p>
        </w:tc>
      </w:tr>
      <w:tr>
        <w:trPr>
          <w:trHeight w:val="162"/>
        </w:trPr>
        <w:tc>
          <w:tcPr>
            <w:tcW w:w="28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96,018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96,018</w:t>
            </w:r>
          </w:p>
        </w:tc>
      </w:tr>
      <w:tr>
        <w:trPr>
          <w:trHeight w:val="162"/>
        </w:trPr>
        <w:tc>
          <w:tcPr>
            <w:tcW w:w="2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r>
      <w:tr>
        <w:trPr>
          <w:trHeight w:val="153"/>
        </w:trPr>
        <w:tc>
          <w:tcPr>
            <w:tcW w:w="2820" w:type="dxa"/>
            <w:vAlign w:val="bottom"/>
          </w:tcPr>
          <w:p>
            <w:pPr>
              <w:ind w:left="220"/>
              <w:spacing w:after="0" w:line="153" w:lineRule="exact"/>
              <w:rPr>
                <w:sz w:val="20"/>
                <w:szCs w:val="20"/>
                <w:color w:val="auto"/>
              </w:rPr>
            </w:pPr>
            <w:r>
              <w:rPr>
                <w:rFonts w:ascii="Arial" w:cs="Arial" w:eastAsia="Arial" w:hAnsi="Arial"/>
                <w:sz w:val="14"/>
                <w:szCs w:val="14"/>
                <w:color w:val="auto"/>
              </w:rPr>
              <w:t>Exercise of options and restricted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1"/>
        </w:trPr>
        <w:tc>
          <w:tcPr>
            <w:tcW w:w="2820" w:type="dxa"/>
            <w:vAlign w:val="bottom"/>
          </w:tcPr>
          <w:p>
            <w:pPr>
              <w:ind w:left="220"/>
              <w:spacing w:after="0"/>
              <w:rPr>
                <w:sz w:val="20"/>
                <w:szCs w:val="20"/>
                <w:color w:val="auto"/>
              </w:rPr>
            </w:pPr>
            <w:r>
              <w:rPr>
                <w:rFonts w:ascii="Arial" w:cs="Arial" w:eastAsia="Arial" w:hAnsi="Arial"/>
                <w:sz w:val="14"/>
                <w:szCs w:val="14"/>
                <w:color w:val="auto"/>
              </w:rPr>
              <w:t>stock units</w:t>
            </w:r>
          </w:p>
        </w:tc>
        <w:tc>
          <w:tcPr>
            <w:tcW w:w="840" w:type="dxa"/>
            <w:vAlign w:val="bottom"/>
          </w:tcPr>
          <w:p>
            <w:pPr>
              <w:jc w:val="right"/>
              <w:spacing w:after="0"/>
              <w:rPr>
                <w:sz w:val="20"/>
                <w:szCs w:val="20"/>
                <w:color w:val="auto"/>
              </w:rPr>
            </w:pPr>
            <w:r>
              <w:rPr>
                <w:rFonts w:ascii="Arial" w:cs="Arial" w:eastAsia="Arial" w:hAnsi="Arial"/>
                <w:sz w:val="14"/>
                <w:szCs w:val="14"/>
                <w:color w:val="auto"/>
              </w:rPr>
              <w:t>261,816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767</w:t>
            </w:r>
          </w:p>
        </w:tc>
      </w:tr>
      <w:tr>
        <w:trPr>
          <w:trHeight w:val="162"/>
        </w:trPr>
        <w:tc>
          <w:tcPr>
            <w:tcW w:w="2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32,530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32,530</w:t>
            </w:r>
          </w:p>
        </w:tc>
      </w:tr>
      <w:tr>
        <w:trPr>
          <w:trHeight w:val="156"/>
        </w:trPr>
        <w:tc>
          <w:tcPr>
            <w:tcW w:w="2820" w:type="dxa"/>
            <w:vAlign w:val="bottom"/>
          </w:tcPr>
          <w:p>
            <w:pPr>
              <w:ind w:left="20"/>
              <w:spacing w:after="0" w:line="155" w:lineRule="exact"/>
              <w:rPr>
                <w:sz w:val="20"/>
                <w:szCs w:val="20"/>
                <w:color w:val="auto"/>
              </w:rPr>
            </w:pPr>
            <w:r>
              <w:rPr>
                <w:rFonts w:ascii="Arial" w:cs="Arial" w:eastAsia="Arial" w:hAnsi="Arial"/>
                <w:sz w:val="14"/>
                <w:szCs w:val="14"/>
                <w:color w:val="auto"/>
              </w:rPr>
              <w:t>Balance as of September 30, 2024</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57,030,897</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643,563</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(47,259)</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596,804</w:t>
            </w:r>
          </w:p>
        </w:tc>
      </w:tr>
      <w:tr>
        <w:trPr>
          <w:trHeight w:val="20"/>
        </w:trPr>
        <w:tc>
          <w:tcPr>
            <w:tcW w:w="2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71"/>
        </w:trPr>
        <w:tc>
          <w:tcPr>
            <w:tcW w:w="2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2"/>
        </w:trPr>
        <w:tc>
          <w:tcPr>
            <w:tcW w:w="2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820" w:type="dxa"/>
            <w:vAlign w:val="bottom"/>
          </w:tcPr>
          <w:p>
            <w:pPr>
              <w:spacing w:after="0"/>
              <w:rPr>
                <w:sz w:val="14"/>
                <w:szCs w:val="14"/>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comprehensive</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820" w:type="dxa"/>
            <w:vAlign w:val="bottom"/>
          </w:tcPr>
          <w:p>
            <w:pPr>
              <w:spacing w:after="0"/>
              <w:rPr>
                <w:sz w:val="13"/>
                <w:szCs w:val="13"/>
                <w:color w:val="auto"/>
              </w:rPr>
            </w:pPr>
          </w:p>
        </w:tc>
        <w:tc>
          <w:tcPr>
            <w:tcW w:w="96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9"/>
              </w:rPr>
              <w:t>capital</w:t>
            </w:r>
          </w:p>
        </w:tc>
        <w:tc>
          <w:tcPr>
            <w:tcW w:w="80" w:type="dxa"/>
            <w:vAlign w:val="bottom"/>
          </w:tcPr>
          <w:p>
            <w:pPr>
              <w:spacing w:after="0"/>
              <w:rPr>
                <w:sz w:val="13"/>
                <w:szCs w:val="13"/>
                <w:color w:val="auto"/>
              </w:rPr>
            </w:pPr>
          </w:p>
        </w:tc>
        <w:tc>
          <w:tcPr>
            <w:tcW w:w="116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(loss) income</w:t>
            </w:r>
          </w:p>
        </w:tc>
        <w:tc>
          <w:tcPr>
            <w:tcW w:w="180" w:type="dxa"/>
            <w:vAlign w:val="bottom"/>
          </w:tcPr>
          <w:p>
            <w:pPr>
              <w:spacing w:after="0"/>
              <w:rPr>
                <w:sz w:val="13"/>
                <w:szCs w:val="13"/>
                <w:color w:val="auto"/>
              </w:rPr>
            </w:pPr>
          </w:p>
        </w:tc>
        <w:tc>
          <w:tcPr>
            <w:tcW w:w="9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82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equity</w:t>
            </w:r>
          </w:p>
        </w:tc>
      </w:tr>
      <w:tr>
        <w:trPr>
          <w:trHeight w:val="156"/>
        </w:trPr>
        <w:tc>
          <w:tcPr>
            <w:tcW w:w="28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June 30, 2024</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56,833,771</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632,168</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(234)</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(93,352)</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538,583</w:t>
            </w:r>
          </w:p>
        </w:tc>
      </w:tr>
      <w:tr>
        <w:trPr>
          <w:trHeight w:val="162"/>
        </w:trPr>
        <w:tc>
          <w:tcPr>
            <w:tcW w:w="28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46,093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46,093</w:t>
            </w:r>
          </w:p>
        </w:tc>
      </w:tr>
      <w:tr>
        <w:trPr>
          <w:trHeight w:val="162"/>
        </w:trPr>
        <w:tc>
          <w:tcPr>
            <w:tcW w:w="2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r>
      <w:tr>
        <w:trPr>
          <w:trHeight w:val="162"/>
        </w:trPr>
        <w:tc>
          <w:tcPr>
            <w:tcW w:w="2820" w:type="dxa"/>
            <w:vAlign w:val="bottom"/>
          </w:tcPr>
          <w:p>
            <w:pPr>
              <w:ind w:left="220"/>
              <w:spacing w:after="0"/>
              <w:rPr>
                <w:sz w:val="20"/>
                <w:szCs w:val="20"/>
                <w:color w:val="auto"/>
              </w:rPr>
            </w:pPr>
            <w:r>
              <w:rPr>
                <w:rFonts w:ascii="Arial" w:cs="Arial" w:eastAsia="Arial" w:hAnsi="Arial"/>
                <w:sz w:val="14"/>
                <w:szCs w:val="14"/>
                <w:color w:val="auto"/>
              </w:rPr>
              <w:t>Exercise of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197,126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347</w:t>
            </w:r>
          </w:p>
        </w:tc>
      </w:tr>
      <w:tr>
        <w:trPr>
          <w:trHeight w:val="162"/>
        </w:trPr>
        <w:tc>
          <w:tcPr>
            <w:tcW w:w="2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11,048</w:t>
            </w:r>
          </w:p>
        </w:tc>
      </w:tr>
      <w:tr>
        <w:trPr>
          <w:trHeight w:val="156"/>
        </w:trPr>
        <w:tc>
          <w:tcPr>
            <w:tcW w:w="2820" w:type="dxa"/>
            <w:vAlign w:val="bottom"/>
          </w:tcPr>
          <w:p>
            <w:pPr>
              <w:ind w:left="20"/>
              <w:spacing w:after="0" w:line="155" w:lineRule="exact"/>
              <w:rPr>
                <w:sz w:val="20"/>
                <w:szCs w:val="20"/>
                <w:color w:val="auto"/>
              </w:rPr>
            </w:pPr>
            <w:r>
              <w:rPr>
                <w:rFonts w:ascii="Arial" w:cs="Arial" w:eastAsia="Arial" w:hAnsi="Arial"/>
                <w:sz w:val="14"/>
                <w:szCs w:val="14"/>
                <w:color w:val="auto"/>
              </w:rPr>
              <w:t>Balance as of September 30, 2024</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57,030,897</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643,563</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(47,259)</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596,804</w:t>
            </w:r>
          </w:p>
        </w:tc>
      </w:tr>
      <w:tr>
        <w:trPr>
          <w:trHeight w:val="20"/>
        </w:trPr>
        <w:tc>
          <w:tcPr>
            <w:tcW w:w="2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580" w:type="dxa"/>
            <w:vAlign w:val="bottom"/>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comprehensive</w:t>
            </w: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580" w:type="dxa"/>
            <w:vAlign w:val="bottom"/>
          </w:tcPr>
          <w:p>
            <w:pPr>
              <w:spacing w:after="0"/>
              <w:rPr>
                <w:sz w:val="13"/>
                <w:szCs w:val="13"/>
                <w:color w:val="auto"/>
              </w:rPr>
            </w:pPr>
          </w:p>
        </w:tc>
        <w:tc>
          <w:tcPr>
            <w:tcW w:w="10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(loss) income</w:t>
            </w:r>
          </w:p>
        </w:tc>
        <w:tc>
          <w:tcPr>
            <w:tcW w:w="180" w:type="dxa"/>
            <w:vAlign w:val="bottom"/>
          </w:tcPr>
          <w:p>
            <w:pPr>
              <w:spacing w:after="0"/>
              <w:rPr>
                <w:sz w:val="13"/>
                <w:szCs w:val="13"/>
                <w:color w:val="auto"/>
              </w:rPr>
            </w:pPr>
          </w:p>
        </w:tc>
        <w:tc>
          <w:tcPr>
            <w:tcW w:w="96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82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equity</w:t>
            </w:r>
          </w:p>
        </w:tc>
      </w:tr>
      <w:tr>
        <w:trPr>
          <w:trHeight w:val="155"/>
        </w:trPr>
        <w:tc>
          <w:tcPr>
            <w:tcW w:w="25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2022</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59,615,731</w:t>
            </w:r>
          </w:p>
        </w:tc>
        <w:tc>
          <w:tcPr>
            <w:tcW w:w="1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2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675,118</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(151)</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(272,130)</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402,838</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102,246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102,246</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(365)</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(1,439,792)</w:t>
            </w:r>
          </w:p>
        </w:tc>
        <w:tc>
          <w:tcPr>
            <w:tcW w:w="40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(50,543)</w:t>
            </w:r>
          </w:p>
        </w:tc>
        <w:tc>
          <w:tcPr>
            <w:tcW w:w="10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(50,543)</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Exercise of stock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396,005</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4,314</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22,842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22,842</w:t>
            </w:r>
          </w:p>
        </w:tc>
      </w:tr>
      <w:tr>
        <w:trPr>
          <w:trHeight w:val="155"/>
        </w:trPr>
        <w:tc>
          <w:tcPr>
            <w:tcW w:w="258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September 30, 2023</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58,571,944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2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651,731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(169,884)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481,332</w:t>
            </w:r>
          </w:p>
        </w:tc>
      </w:tr>
      <w:tr>
        <w:trPr>
          <w:trHeight w:val="20"/>
        </w:trPr>
        <w:tc>
          <w:tcPr>
            <w:tcW w:w="2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525"/>
        </w:trPr>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2"/>
        </w:trPr>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580" w:type="dxa"/>
            <w:vAlign w:val="bottom"/>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comprehensive</w:t>
            </w: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580" w:type="dxa"/>
            <w:vAlign w:val="bottom"/>
          </w:tcPr>
          <w:p>
            <w:pPr>
              <w:spacing w:after="0"/>
              <w:rPr>
                <w:sz w:val="13"/>
                <w:szCs w:val="13"/>
                <w:color w:val="auto"/>
              </w:rPr>
            </w:pPr>
          </w:p>
        </w:tc>
        <w:tc>
          <w:tcPr>
            <w:tcW w:w="10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(loss) income</w:t>
            </w:r>
          </w:p>
        </w:tc>
        <w:tc>
          <w:tcPr>
            <w:tcW w:w="180" w:type="dxa"/>
            <w:vAlign w:val="bottom"/>
          </w:tcPr>
          <w:p>
            <w:pPr>
              <w:spacing w:after="0"/>
              <w:rPr>
                <w:sz w:val="13"/>
                <w:szCs w:val="13"/>
                <w:color w:val="auto"/>
              </w:rPr>
            </w:pPr>
          </w:p>
        </w:tc>
        <w:tc>
          <w:tcPr>
            <w:tcW w:w="96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82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equity</w:t>
            </w:r>
          </w:p>
        </w:tc>
      </w:tr>
      <w:tr>
        <w:trPr>
          <w:trHeight w:val="155"/>
        </w:trPr>
        <w:tc>
          <w:tcPr>
            <w:tcW w:w="25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June 30, 2023</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59,999,658</w:t>
            </w:r>
          </w:p>
        </w:tc>
        <w:tc>
          <w:tcPr>
            <w:tcW w:w="1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2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694,038</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(522)</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(208,345)</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485,172</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38,461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38,461</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(1,439,792)</w:t>
            </w:r>
          </w:p>
        </w:tc>
        <w:tc>
          <w:tcPr>
            <w:tcW w:w="40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(50,543)</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(50,543)</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Exercise of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12,078</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7,991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7,991</w:t>
            </w:r>
          </w:p>
        </w:tc>
      </w:tr>
      <w:tr>
        <w:trPr>
          <w:trHeight w:val="155"/>
        </w:trPr>
        <w:tc>
          <w:tcPr>
            <w:tcW w:w="258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September 30, 2023</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58,571,944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2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651,731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(169,884)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481,332</w:t>
            </w:r>
          </w:p>
        </w:tc>
      </w:tr>
      <w:tr>
        <w:trPr>
          <w:trHeight w:val="20"/>
        </w:trPr>
        <w:tc>
          <w:tcPr>
            <w:tcW w:w="2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The accompanying notes are an integral part of the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10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660" w:type="dxa"/>
            <w:vAlign w:val="bottom"/>
            <w:tcBorders>
              <w:bottom w:val="single" w:sz="8" w:color="auto"/>
            </w:tcBorders>
            <w:gridSpan w:val="5"/>
          </w:tcPr>
          <w:p>
            <w:pPr>
              <w:jc w:val="right"/>
              <w:ind w:right="88"/>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624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2023</w:t>
            </w:r>
          </w:p>
        </w:tc>
      </w:tr>
      <w:tr>
        <w:trPr>
          <w:trHeight w:val="155"/>
        </w:trPr>
        <w:tc>
          <w:tcPr>
            <w:tcW w:w="62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OPERATING ACTIVITIES</w:t>
            </w: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2"/>
        </w:trPr>
        <w:tc>
          <w:tcPr>
            <w:tcW w:w="6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96,018</w:t>
            </w: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102,246</w:t>
            </w:r>
          </w:p>
        </w:tc>
      </w:tr>
      <w:tr>
        <w:trPr>
          <w:trHeight w:val="162"/>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to net cash used in operating activities:</w:t>
            </w: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2"/>
        </w:trPr>
        <w:tc>
          <w:tcPr>
            <w:tcW w:w="624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8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350</w:t>
            </w: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amortization</w:t>
            </w: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17,883</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17,884</w:t>
            </w:r>
          </w:p>
        </w:tc>
      </w:tr>
      <w:tr>
        <w:trPr>
          <w:trHeight w:val="162"/>
        </w:trPr>
        <w:tc>
          <w:tcPr>
            <w:tcW w:w="6240" w:type="dxa"/>
            <w:vAlign w:val="bottom"/>
          </w:tcPr>
          <w:p>
            <w:pPr>
              <w:ind w:left="220"/>
              <w:spacing w:after="0"/>
              <w:rPr>
                <w:sz w:val="20"/>
                <w:szCs w:val="20"/>
                <w:color w:val="auto"/>
              </w:rPr>
            </w:pPr>
            <w:r>
              <w:rPr>
                <w:rFonts w:ascii="Arial" w:cs="Arial" w:eastAsia="Arial" w:hAnsi="Arial"/>
                <w:sz w:val="14"/>
                <w:szCs w:val="14"/>
                <w:color w:val="auto"/>
              </w:rPr>
              <w:t>Acquired in-process research &amp; development (IPR&amp;D) expense</w:t>
            </w:r>
          </w:p>
        </w:tc>
        <w:tc>
          <w:tcPr>
            <w:tcW w:w="8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42,595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and employee stock purchase compensation expense</w:t>
            </w: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32,530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22,842</w:t>
            </w:r>
          </w:p>
        </w:tc>
      </w:tr>
      <w:tr>
        <w:trPr>
          <w:trHeight w:val="162"/>
        </w:trPr>
        <w:tc>
          <w:tcPr>
            <w:tcW w:w="6240" w:type="dxa"/>
            <w:vAlign w:val="bottom"/>
          </w:tcPr>
          <w:p>
            <w:pPr>
              <w:ind w:left="220"/>
              <w:spacing w:after="0"/>
              <w:rPr>
                <w:sz w:val="20"/>
                <w:szCs w:val="20"/>
                <w:color w:val="auto"/>
              </w:rPr>
            </w:pPr>
            <w:r>
              <w:rPr>
                <w:rFonts w:ascii="Arial" w:cs="Arial" w:eastAsia="Arial" w:hAnsi="Arial"/>
                <w:sz w:val="14"/>
                <w:szCs w:val="14"/>
                <w:color w:val="auto"/>
              </w:rPr>
              <w:t>Stock appreciation rights market adjustment</w:t>
            </w:r>
          </w:p>
        </w:tc>
        <w:tc>
          <w:tcPr>
            <w:tcW w:w="8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(531)</w:t>
            </w: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issuance costs amortization</w:t>
            </w: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2,089</w:t>
            </w:r>
          </w:p>
        </w:tc>
      </w:tr>
      <w:tr>
        <w:trPr>
          <w:trHeight w:val="162"/>
        </w:trPr>
        <w:tc>
          <w:tcPr>
            <w:tcW w:w="6240" w:type="dxa"/>
            <w:vAlign w:val="bottom"/>
          </w:tcPr>
          <w:p>
            <w:pPr>
              <w:ind w:left="220"/>
              <w:spacing w:after="0"/>
              <w:rPr>
                <w:sz w:val="20"/>
                <w:szCs w:val="20"/>
                <w:color w:val="auto"/>
              </w:rPr>
            </w:pPr>
            <w:r>
              <w:rPr>
                <w:rFonts w:ascii="Arial" w:cs="Arial" w:eastAsia="Arial" w:hAnsi="Arial"/>
                <w:sz w:val="14"/>
                <w:szCs w:val="14"/>
                <w:color w:val="auto"/>
              </w:rPr>
              <w:t>Deferred taxes</w:t>
            </w:r>
          </w:p>
        </w:tc>
        <w:tc>
          <w:tcPr>
            <w:tcW w:w="8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(22,586)</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(14,542)</w:t>
            </w: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premiums and accretion of discounts on Investment securities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(1,770)</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r>
      <w:tr>
        <w:trPr>
          <w:trHeight w:val="162"/>
        </w:trPr>
        <w:tc>
          <w:tcPr>
            <w:tcW w:w="6240" w:type="dxa"/>
            <w:vAlign w:val="bottom"/>
          </w:tcPr>
          <w:p>
            <w:pPr>
              <w:ind w:left="220"/>
              <w:spacing w:after="0"/>
              <w:rPr>
                <w:sz w:val="20"/>
                <w:szCs w:val="20"/>
                <w:color w:val="auto"/>
              </w:rPr>
            </w:pPr>
            <w:r>
              <w:rPr>
                <w:rFonts w:ascii="Arial" w:cs="Arial" w:eastAsia="Arial" w:hAnsi="Arial"/>
                <w:sz w:val="14"/>
                <w:szCs w:val="14"/>
                <w:color w:val="auto"/>
              </w:rPr>
              <w:t>Loss on debt extinguishment</w:t>
            </w:r>
          </w:p>
        </w:tc>
        <w:tc>
          <w:tcPr>
            <w:tcW w:w="8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9,766</w:t>
            </w: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non-cash expenses</w:t>
            </w: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w:t>
            </w:r>
          </w:p>
        </w:tc>
      </w:tr>
      <w:tr>
        <w:trPr>
          <w:trHeight w:val="162"/>
        </w:trPr>
        <w:tc>
          <w:tcPr>
            <w:tcW w:w="6240" w:type="dxa"/>
            <w:vAlign w:val="bottom"/>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(7,362)</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(12,524)</w:t>
            </w:r>
          </w:p>
        </w:tc>
      </w:tr>
      <w:tr>
        <w:trPr>
          <w:trHeight w:val="162"/>
        </w:trPr>
        <w:tc>
          <w:tcPr>
            <w:tcW w:w="6240" w:type="dxa"/>
            <w:vAlign w:val="bottom"/>
          </w:tcPr>
          <w:p>
            <w:pPr>
              <w:ind w:left="220"/>
              <w:spacing w:after="0"/>
              <w:rPr>
                <w:sz w:val="20"/>
                <w:szCs w:val="20"/>
                <w:color w:val="auto"/>
              </w:rPr>
            </w:pPr>
            <w:r>
              <w:rPr>
                <w:rFonts w:ascii="Arial" w:cs="Arial" w:eastAsia="Arial" w:hAnsi="Arial"/>
                <w:sz w:val="14"/>
                <w:szCs w:val="14"/>
                <w:color w:val="auto"/>
              </w:rPr>
              <w:t>Inventory</w:t>
            </w:r>
          </w:p>
        </w:tc>
        <w:tc>
          <w:tcPr>
            <w:tcW w:w="8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(1,552)</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(790)</w:t>
            </w: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assets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(4,851)</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w:t>
            </w:r>
          </w:p>
        </w:tc>
      </w:tr>
      <w:tr>
        <w:trPr>
          <w:trHeight w:val="162"/>
        </w:trPr>
        <w:tc>
          <w:tcPr>
            <w:tcW w:w="6240" w:type="dxa"/>
            <w:vAlign w:val="bottom"/>
          </w:tcPr>
          <w:p>
            <w:pPr>
              <w:ind w:left="220"/>
              <w:spacing w:after="0"/>
              <w:rPr>
                <w:sz w:val="20"/>
                <w:szCs w:val="20"/>
                <w:color w:val="auto"/>
              </w:rPr>
            </w:pPr>
            <w:r>
              <w:rPr>
                <w:rFonts w:ascii="Arial" w:cs="Arial" w:eastAsia="Arial" w:hAnsi="Arial"/>
                <w:sz w:val="14"/>
                <w:szCs w:val="14"/>
                <w:color w:val="auto"/>
              </w:rPr>
              <w:t>Trade payables</w:t>
            </w:r>
          </w:p>
        </w:tc>
        <w:tc>
          <w:tcPr>
            <w:tcW w:w="8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(8,596)</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2,753</w:t>
            </w: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liabilities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(776)</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15,711</w:t>
            </w:r>
          </w:p>
        </w:tc>
      </w:tr>
      <w:tr>
        <w:trPr>
          <w:trHeight w:val="156"/>
        </w:trPr>
        <w:tc>
          <w:tcPr>
            <w:tcW w:w="62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8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144,259</w:t>
            </w:r>
          </w:p>
        </w:tc>
        <w:tc>
          <w:tcPr>
            <w:tcW w:w="24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142,722</w:t>
            </w:r>
          </w:p>
        </w:tc>
      </w:tr>
      <w:tr>
        <w:trPr>
          <w:trHeight w:val="155"/>
        </w:trPr>
        <w:tc>
          <w:tcPr>
            <w:tcW w:w="62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INVESTING ACTIVITIES:</w:t>
            </w: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2"/>
        </w:trPr>
        <w:tc>
          <w:tcPr>
            <w:tcW w:w="6240" w:type="dxa"/>
            <w:vAlign w:val="bottom"/>
          </w:tcPr>
          <w:p>
            <w:pPr>
              <w:ind w:left="220"/>
              <w:spacing w:after="0"/>
              <w:rPr>
                <w:sz w:val="20"/>
                <w:szCs w:val="20"/>
                <w:color w:val="auto"/>
              </w:rPr>
            </w:pPr>
            <w:r>
              <w:rPr>
                <w:rFonts w:ascii="Arial" w:cs="Arial" w:eastAsia="Arial" w:hAnsi="Arial"/>
                <w:sz w:val="14"/>
                <w:szCs w:val="14"/>
                <w:color w:val="auto"/>
              </w:rPr>
              <w:t>Purchase of investment securities</w:t>
            </w:r>
          </w:p>
        </w:tc>
        <w:tc>
          <w:tcPr>
            <w:tcW w:w="8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(69,604)</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(105,856)</w:t>
            </w: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maturities and sales of investment securities</w:t>
            </w: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68,516</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95,687</w:t>
            </w:r>
          </w:p>
        </w:tc>
      </w:tr>
      <w:tr>
        <w:trPr>
          <w:trHeight w:val="162"/>
        </w:trPr>
        <w:tc>
          <w:tcPr>
            <w:tcW w:w="6240" w:type="dxa"/>
            <w:vAlign w:val="bottom"/>
          </w:tcPr>
          <w:p>
            <w:pPr>
              <w:ind w:left="220"/>
              <w:spacing w:after="0"/>
              <w:rPr>
                <w:sz w:val="20"/>
                <w:szCs w:val="20"/>
                <w:color w:val="auto"/>
              </w:rPr>
            </w:pPr>
            <w:r>
              <w:rPr>
                <w:rFonts w:ascii="Arial" w:cs="Arial" w:eastAsia="Arial" w:hAnsi="Arial"/>
                <w:sz w:val="14"/>
                <w:szCs w:val="14"/>
                <w:color w:val="auto"/>
              </w:rPr>
              <w:t>Purchase of property and equipment</w:t>
            </w:r>
          </w:p>
        </w:tc>
        <w:tc>
          <w:tcPr>
            <w:tcW w:w="8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(640)</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(205)</w:t>
            </w: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of Epygenix Therapeutics, Inc., net of cash acquired</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(33,069)</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240" w:type="dxa"/>
            <w:vAlign w:val="bottom"/>
          </w:tcPr>
          <w:p>
            <w:pPr>
              <w:ind w:left="220"/>
              <w:spacing w:after="0"/>
              <w:rPr>
                <w:sz w:val="20"/>
                <w:szCs w:val="20"/>
                <w:color w:val="auto"/>
              </w:rPr>
            </w:pPr>
            <w:r>
              <w:rPr>
                <w:rFonts w:ascii="Arial" w:cs="Arial" w:eastAsia="Arial" w:hAnsi="Arial"/>
                <w:sz w:val="14"/>
                <w:szCs w:val="14"/>
                <w:color w:val="auto"/>
              </w:rPr>
              <w:t>Payment of license fee</w:t>
            </w:r>
          </w:p>
        </w:tc>
        <w:tc>
          <w:tcPr>
            <w:tcW w:w="8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(25,500)</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5"/>
        </w:trPr>
        <w:tc>
          <w:tcPr>
            <w:tcW w:w="62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cash used in investing activities</w:t>
            </w: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(60,297)</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(10,374)</w:t>
            </w:r>
          </w:p>
        </w:tc>
      </w:tr>
      <w:tr>
        <w:trPr>
          <w:trHeight w:val="155"/>
        </w:trPr>
        <w:tc>
          <w:tcPr>
            <w:tcW w:w="6240" w:type="dxa"/>
            <w:vAlign w:val="bottom"/>
          </w:tcPr>
          <w:p>
            <w:pPr>
              <w:ind w:left="20"/>
              <w:spacing w:after="0" w:line="155" w:lineRule="exact"/>
              <w:rPr>
                <w:sz w:val="20"/>
                <w:szCs w:val="20"/>
                <w:color w:val="auto"/>
              </w:rPr>
            </w:pPr>
            <w:r>
              <w:rPr>
                <w:rFonts w:ascii="Arial" w:cs="Arial" w:eastAsia="Arial" w:hAnsi="Arial"/>
                <w:sz w:val="14"/>
                <w:szCs w:val="14"/>
                <w:color w:val="auto"/>
              </w:rPr>
              <w:t>CASH FLOWS FROM FINANCING ACTIVITIES:</w:t>
            </w: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long-term debt</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r>
      <w:tr>
        <w:trPr>
          <w:trHeight w:val="162"/>
        </w:trPr>
        <w:tc>
          <w:tcPr>
            <w:tcW w:w="6240" w:type="dxa"/>
            <w:vAlign w:val="bottom"/>
          </w:tcPr>
          <w:p>
            <w:pPr>
              <w:ind w:left="220"/>
              <w:spacing w:after="0"/>
              <w:rPr>
                <w:sz w:val="20"/>
                <w:szCs w:val="20"/>
                <w:color w:val="auto"/>
              </w:rPr>
            </w:pPr>
            <w:r>
              <w:rPr>
                <w:rFonts w:ascii="Arial" w:cs="Arial" w:eastAsia="Arial" w:hAnsi="Arial"/>
                <w:sz w:val="14"/>
                <w:szCs w:val="14"/>
                <w:color w:val="auto"/>
              </w:rPr>
              <w:t>Debt issuance costs</w:t>
            </w:r>
          </w:p>
        </w:tc>
        <w:tc>
          <w:tcPr>
            <w:tcW w:w="8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(2,997)</w:t>
            </w: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Extinguishment of debt</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(196,500)</w:t>
            </w:r>
          </w:p>
        </w:tc>
      </w:tr>
      <w:tr>
        <w:trPr>
          <w:trHeight w:val="162"/>
        </w:trPr>
        <w:tc>
          <w:tcPr>
            <w:tcW w:w="6240" w:type="dxa"/>
            <w:vAlign w:val="bottom"/>
          </w:tcPr>
          <w:p>
            <w:pPr>
              <w:ind w:left="220"/>
              <w:spacing w:after="0"/>
              <w:rPr>
                <w:sz w:val="20"/>
                <w:szCs w:val="20"/>
                <w:color w:val="auto"/>
              </w:rPr>
            </w:pPr>
            <w:r>
              <w:rPr>
                <w:rFonts w:ascii="Arial" w:cs="Arial" w:eastAsia="Arial" w:hAnsi="Arial"/>
                <w:sz w:val="14"/>
                <w:szCs w:val="14"/>
                <w:color w:val="auto"/>
              </w:rPr>
              <w:t>Extinguishment of debt exit fees</w:t>
            </w:r>
          </w:p>
        </w:tc>
        <w:tc>
          <w:tcPr>
            <w:tcW w:w="8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(5,846)</w:t>
            </w: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Principal repayment of long-term debt</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(11,250)</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62"/>
        </w:trPr>
        <w:tc>
          <w:tcPr>
            <w:tcW w:w="624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8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(50,000)</w:t>
            </w: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of employee withholding taxes related to stock-based awards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(269)</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r>
      <w:tr>
        <w:trPr>
          <w:trHeight w:val="162"/>
        </w:trPr>
        <w:tc>
          <w:tcPr>
            <w:tcW w:w="6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Proceeds from exercised options</w:t>
            </w: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3,264</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4,828</w:t>
            </w:r>
          </w:p>
        </w:tc>
      </w:tr>
      <w:tr>
        <w:trPr>
          <w:trHeight w:val="155"/>
        </w:trPr>
        <w:tc>
          <w:tcPr>
            <w:tcW w:w="62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8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(8,255)</w:t>
            </w:r>
          </w:p>
        </w:tc>
        <w:tc>
          <w:tcPr>
            <w:tcW w:w="2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(52,029)</w:t>
            </w:r>
          </w:p>
        </w:tc>
      </w:tr>
      <w:tr>
        <w:trPr>
          <w:trHeight w:val="156"/>
        </w:trPr>
        <w:tc>
          <w:tcPr>
            <w:tcW w:w="62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INCREASE IN CASH, CASH EQUIVALENTS, AND RESTRICTED CASH</w:t>
            </w:r>
          </w:p>
        </w:tc>
        <w:tc>
          <w:tcPr>
            <w:tcW w:w="8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75,707</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80,319</w:t>
            </w:r>
          </w:p>
        </w:tc>
      </w:tr>
      <w:tr>
        <w:trPr>
          <w:trHeight w:val="155"/>
        </w:trPr>
        <w:tc>
          <w:tcPr>
            <w:tcW w:w="62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CASH EQUIVALENTS, AND RESTRICTED CASH—Beginning of period</w:t>
            </w:r>
          </w:p>
        </w:tc>
        <w:tc>
          <w:tcPr>
            <w:tcW w:w="8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311,930</w:t>
            </w:r>
          </w:p>
        </w:tc>
        <w:tc>
          <w:tcPr>
            <w:tcW w:w="2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244,534</w:t>
            </w:r>
          </w:p>
        </w:tc>
      </w:tr>
      <w:tr>
        <w:trPr>
          <w:trHeight w:val="155"/>
        </w:trPr>
        <w:tc>
          <w:tcPr>
            <w:tcW w:w="62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880" w:type="dxa"/>
            <w:vAlign w:val="bottom"/>
            <w:tcBorders>
              <w:bottom w:val="single" w:sz="8" w:color="auto"/>
            </w:tcBorders>
          </w:tcPr>
          <w:p>
            <w:pPr>
              <w:jc w:val="right"/>
              <w:ind w:right="72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387,637</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324,853</w:t>
            </w:r>
          </w:p>
        </w:tc>
      </w:tr>
      <w:tr>
        <w:trPr>
          <w:trHeight w:val="155"/>
        </w:trPr>
        <w:tc>
          <w:tcPr>
            <w:tcW w:w="62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2"/>
        </w:trPr>
        <w:tc>
          <w:tcPr>
            <w:tcW w:w="6240" w:type="dxa"/>
            <w:vAlign w:val="bottom"/>
          </w:tcPr>
          <w:p>
            <w:pPr>
              <w:ind w:left="220"/>
              <w:spacing w:after="0"/>
              <w:rPr>
                <w:sz w:val="20"/>
                <w:szCs w:val="20"/>
                <w:color w:val="auto"/>
              </w:rPr>
            </w:pPr>
            <w:r>
              <w:rPr>
                <w:rFonts w:ascii="Arial" w:cs="Arial" w:eastAsia="Arial" w:hAnsi="Arial"/>
                <w:sz w:val="14"/>
                <w:szCs w:val="14"/>
                <w:color w:val="auto"/>
              </w:rPr>
              <w:t>Cash paid during the year for interest</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13,170</w:t>
            </w: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15,653</w:t>
            </w:r>
          </w:p>
        </w:tc>
      </w:tr>
      <w:tr>
        <w:trPr>
          <w:trHeight w:val="162"/>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the year for taxes</w:t>
            </w: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58,549</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36,543</w:t>
            </w:r>
          </w:p>
        </w:tc>
      </w:tr>
    </w:tbl>
    <w:p>
      <w:pPr>
        <w:spacing w:after="0" w:line="184"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50" w:right="70"/>
        <w:spacing w:after="0" w:line="257" w:lineRule="auto"/>
        <w:rPr>
          <w:sz w:val="20"/>
          <w:szCs w:val="20"/>
          <w:color w:val="auto"/>
        </w:rPr>
      </w:pPr>
      <w:r>
        <w:rPr>
          <w:rFonts w:ascii="Arial" w:cs="Arial" w:eastAsia="Arial" w:hAnsi="Arial"/>
          <w:sz w:val="18"/>
          <w:szCs w:val="18"/>
          <w:b w:val="1"/>
          <w:bCs w:val="1"/>
          <w:color w:val="auto"/>
        </w:rPr>
        <w:t>HARMONY BIOSCIENCES HOLDINGS, INC. AND SUBSIDIARIES NOTES TO UNAUDITED CONDENSED CONSOLIDATED FINANCIAL STATEMENTS (In thousands, except share and per share data)</w:t>
      </w:r>
    </w:p>
    <w:p>
      <w:pPr>
        <w:spacing w:after="0" w:line="159" w:lineRule="exact"/>
        <w:rPr>
          <w:sz w:val="20"/>
          <w:szCs w:val="20"/>
          <w:color w:val="auto"/>
        </w:rPr>
      </w:pPr>
    </w:p>
    <w:p>
      <w:pPr>
        <w:ind w:left="700" w:right="4399" w:hanging="650"/>
        <w:spacing w:after="0" w:line="485" w:lineRule="auto"/>
        <w:tabs>
          <w:tab w:leader="none" w:pos="2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The Company</w:t>
      </w:r>
    </w:p>
    <w:p>
      <w:pPr>
        <w:jc w:val="both"/>
        <w:ind w:left="60" w:right="59" w:firstLine="648"/>
        <w:spacing w:after="0" w:line="239" w:lineRule="auto"/>
        <w:rPr>
          <w:sz w:val="20"/>
          <w:szCs w:val="20"/>
          <w:color w:val="auto"/>
        </w:rPr>
      </w:pPr>
      <w:r>
        <w:rPr>
          <w:rFonts w:ascii="Arial" w:cs="Arial" w:eastAsia="Arial" w:hAnsi="Arial"/>
          <w:sz w:val="18"/>
          <w:szCs w:val="18"/>
          <w:color w:val="auto"/>
        </w:rPr>
        <w:t>Harmony Biosciences Holdings, Inc., and its consolidated subsidiaries (the “Company”), was founded in July 2017 as Harmony Biosciences II, LLC, a Delaware limited liability company. The Company converted to a Delaware corporation named Harmony Biosciences II, Inc. in September 2017 and, in February 2020, the Company changed its name to Harmony Biosciences Holdings, Inc. The Company’s operations are conducted in its wholly owned subsidiaries, Harmony Biosciences, LLC (“Harmony”), and Harmony Biosciences Management, Inc. The Company is a commercial-stage pharmaceutical company focused on developing and commercializing innovative therapies for patients living with rare neurological disorders as well as patients living with other neurological diseases who have unmet medical needs. The Company is headquartered in Plymouth Meeting, Pennsylvania.</w:t>
      </w:r>
    </w:p>
    <w:p>
      <w:pPr>
        <w:spacing w:after="0" w:line="183"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On October 10, 2023, the Company completed a tender offer to acquire all of the outstanding shares of common stock of Zynerba Pharmaceuticals, Inc. (together with its subsidiary, Zynerba Pharmaceutical Pty, Ltd., “Zynerba”). Zynerba was a clinical -stage pharmaceutical company focused on innovative pharmaceutically produced transdermal cannabidiol therapies for orphan neurobehavioral disorders, including Fragile X Syndrome. As of July 1, 2024, Zynerba was renamed and is known as Harmony Biosciences Management, Inc.</w:t>
      </w:r>
    </w:p>
    <w:p>
      <w:pPr>
        <w:spacing w:after="0" w:line="17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On April 30, 2024, the Company acquired all of the issued and outstanding capital stock of Epygenix Therapeutics, Inc., a Wyoming corporation (“Epygenix”). As a result, the Company now has an exclusive license relating to the use of clemizole, initially for the treatment of Dravet Syndrome and Lennox-Gastaut Syndrome.</w:t>
      </w:r>
    </w:p>
    <w:p>
      <w:pPr>
        <w:spacing w:after="0" w:line="152" w:lineRule="exact"/>
        <w:rPr>
          <w:sz w:val="20"/>
          <w:szCs w:val="20"/>
          <w:color w:val="auto"/>
        </w:rPr>
      </w:pPr>
    </w:p>
    <w:p>
      <w:pPr>
        <w:ind w:left="260" w:hanging="210"/>
        <w:spacing w:after="0"/>
        <w:tabs>
          <w:tab w:leader="none" w:pos="2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unaudited condensed consolidated financial statements have been prepared as though the Company will continue as a going concern, which contemplates the realization of assets and satisfaction of liabilities in the normal course of business. The Company had an accumulated deficit of $47,259 and $143,277, as of September 30, 2024, and December 31, 2023, respectively. As of September 30, 2024, the Company had cash, cash equivalents and investments of $504,698.</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believes that its existing cash, cash equivalents and investments on hand as of September 30, 2024, as well as additional cash generated from operating and financing activities will meet its operational liquidity needs and fund potential investing activities for the next twelve months from the date of issuance of these unaudited condensed consolidated financial statements.</w:t>
      </w:r>
    </w:p>
    <w:p>
      <w:pPr>
        <w:spacing w:after="0" w:line="174" w:lineRule="exact"/>
        <w:rPr>
          <w:sz w:val="20"/>
          <w:szCs w:val="20"/>
          <w:color w:val="auto"/>
        </w:rPr>
      </w:pPr>
    </w:p>
    <w:p>
      <w:pPr>
        <w:ind w:left="700" w:right="4179" w:hanging="650"/>
        <w:spacing w:after="0" w:line="485" w:lineRule="auto"/>
        <w:tabs>
          <w:tab w:leader="none" w:pos="2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left="60" w:right="59" w:firstLine="648"/>
        <w:spacing w:after="0"/>
        <w:rPr>
          <w:sz w:val="20"/>
          <w:szCs w:val="20"/>
          <w:color w:val="auto"/>
        </w:rPr>
      </w:pPr>
      <w:r>
        <w:rPr>
          <w:rFonts w:ascii="Arial" w:cs="Arial" w:eastAsia="Arial" w:hAnsi="Arial"/>
          <w:sz w:val="18"/>
          <w:szCs w:val="18"/>
          <w:color w:val="auto"/>
        </w:rPr>
        <w:t>The unaudited condensed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 The unaudited condensed consolidated balance sheet as of September 30, 2024, the unaudited condensed consolidated statements of cash flows for the nine months ended September 30, 2024, and 2023, and the unaudited condensed consolidated statements of operations and comprehensive income and the unaudited condensed consolidated statements of shareholders’ equity for the three and nine months ended September 30, 2024, and 2023, are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unaudited. The balance sheet as of December 31, 2023, was derived from audited financial statements as of and for the year ended December 31, 2023. The unaudited interim condensed consolidated financial statements have been prepared on the same basis as the audited annual financial statements as of and for the year ended December 31, 2023, and, in the opinion of management, reflect all adjustments, which include only normal recurring adjustments, necessary for the fair presentation of the Company’s financial position as of September 30, 2024, and the results of its operations and its cash flows for the three and nine months ended September 30, 2024, and 2023. The unaudited condensed consolidated results of operations are not necessarily indicative of the results that may occur for the full fiscal year. Certain information and disclosures normally included in the financial statements prepared in accordance with GAAP have been condensed or omitted under the SEC’s rules and regulations. These unaudited condensed consolidated financial statements should be read in conjunction with the audited financial statements and accompanying notes thereto contained in the Company’s Annual Report on Form 10-K for the year ended December 31, 2023.</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Reclassifications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Certain prior period amounts within the unaudited condensed consolidated statements of operations and comprehensive income have been reclassified to conform to current period presentation. In particular, interest expense and interest income were previously classified together as interest expense, net and are now separately classified as interest expense and interest income, respectively. The reclassification of these items had no impact on net income, earnings per share or accumulated deficit in current or prior periods.</w:t>
      </w:r>
    </w:p>
    <w:p>
      <w:pPr>
        <w:spacing w:after="0" w:line="17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Significant Risks and Uncertainties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clinical trial results of the Company’s product candidates; the Company’s ability to obtain regulatory approval to market its products; competition from products manufactured and sold or being developed by other companies, including generic competition; the price of, and demand for, the Company’s products, if approved; the Company’s ability to negotiate favorable licensing or other manufacturing and marketing agreements for its product candidates.</w:t>
      </w:r>
    </w:p>
    <w:p>
      <w:pPr>
        <w:spacing w:after="0" w:line="17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currently has one commercially approved product, WAKIX, and there can be no assurance that the Company’s research and development efforts will result in successfully commercialized products in addition to WAKIX.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unaudited condensed consolidated financial statements, including the notes thereto, and elsewhere in this report. Actual results may differ significantly from estimates, which include rebates due pursuant to commercial and government contracts, accrued research and development expenses, stock-based compensation expense and income taxes.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Operating Segments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Makers in deciding how to allocate resources to an individual segment and in assessing performance. The Company has determined it operates in a single operating segment and has one reportable segment. The Company holds all its tangible assets, conducts its operations, and generates its revenue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Company’s unaudited condensed consolidated financial statements include cash, cash equivalents, restricted cash, accounts payable, and accrued liabilities, all of which are short term in nature and, accordingly, approximate fair value.</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It is the Company’s policy to measure non-financial assets and liabilities at fair value on a nonrecurring basis. These non-financial assets and liabilities are not measured at fair value on an ongoing basis but are subject to fair value adjustments in certain circumstances (such as evidence of impairment), which, if material, are disclosed in the accompanying footnotes.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measures certain assets and liabilities at fair value based on the fair value hierarchy that prioritizes inputs to valuation techniques used to measure fair value into three levels based on the source of inputs as follows:</w:t>
      </w:r>
    </w:p>
    <w:p>
      <w:pPr>
        <w:spacing w:after="0" w:line="169" w:lineRule="exact"/>
        <w:rPr>
          <w:sz w:val="20"/>
          <w:szCs w:val="20"/>
          <w:color w:val="auto"/>
        </w:rPr>
      </w:pPr>
    </w:p>
    <w:p>
      <w:pPr>
        <w:ind w:left="700" w:right="739"/>
        <w:spacing w:after="0" w:line="271" w:lineRule="auto"/>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154" w:lineRule="exact"/>
        <w:rPr>
          <w:sz w:val="20"/>
          <w:szCs w:val="20"/>
          <w:color w:val="auto"/>
        </w:rPr>
      </w:pPr>
    </w:p>
    <w:p>
      <w:pPr>
        <w:ind w:left="700" w:right="199"/>
        <w:spacing w:after="0" w:line="271"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54" w:lineRule="exact"/>
        <w:rPr>
          <w:sz w:val="20"/>
          <w:szCs w:val="20"/>
          <w:color w:val="auto"/>
        </w:rPr>
      </w:pPr>
    </w:p>
    <w:p>
      <w:pPr>
        <w:ind w:left="700" w:right="119"/>
        <w:spacing w:after="0" w:line="271" w:lineRule="auto"/>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15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September 30, 2024, or December 31, 2023.</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12"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Cash and cash equivalents and restricted cash consist of cash and, if applicable, highly liquid investments with an original maturity of three months or less when purchased, including investments in Money Market Funds and debt securities that approximate fair value. The following table provides a reconciliation of cash, cash equivalents, and restricted cash reported within the balance sheet and the statements of cash flows.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04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387,367</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311,660</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164"/>
        </w:trPr>
        <w:tc>
          <w:tcPr>
            <w:tcW w:w="6340" w:type="dxa"/>
            <w:vAlign w:val="bottom"/>
            <w:shd w:val="clear" w:color="auto" w:fill="CCEEFF"/>
          </w:tcPr>
          <w:p>
            <w:pPr>
              <w:spacing w:after="0" w:line="163" w:lineRule="exact"/>
              <w:rPr>
                <w:sz w:val="20"/>
                <w:szCs w:val="20"/>
                <w:color w:val="auto"/>
              </w:rPr>
            </w:pPr>
            <w:r>
              <w:rPr>
                <w:rFonts w:ascii="Arial" w:cs="Arial" w:eastAsia="Arial" w:hAnsi="Arial"/>
                <w:sz w:val="18"/>
                <w:szCs w:val="18"/>
                <w:color w:val="auto"/>
              </w:rPr>
              <w:t>Total cash, cash equivalents, and restricted cash shown in the statements of</w:t>
            </w:r>
          </w:p>
        </w:tc>
        <w:tc>
          <w:tcPr>
            <w:tcW w:w="500" w:type="dxa"/>
            <w:vAlign w:val="bottom"/>
            <w:gridSpan w:val="2"/>
            <w:vMerge w:val="restart"/>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387,637</w:t>
            </w:r>
          </w:p>
        </w:tc>
        <w:tc>
          <w:tcPr>
            <w:tcW w:w="40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311,930</w:t>
            </w:r>
          </w:p>
        </w:tc>
        <w:tc>
          <w:tcPr>
            <w:tcW w:w="0" w:type="dxa"/>
            <w:vAlign w:val="bottom"/>
          </w:tcPr>
          <w:p>
            <w:pPr>
              <w:spacing w:after="0"/>
              <w:rPr>
                <w:sz w:val="1"/>
                <w:szCs w:val="1"/>
                <w:color w:val="auto"/>
              </w:rPr>
            </w:pPr>
          </w:p>
        </w:tc>
      </w:tr>
      <w:tr>
        <w:trPr>
          <w:trHeight w:val="20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flows</w:t>
            </w:r>
          </w:p>
        </w:tc>
        <w:tc>
          <w:tcPr>
            <w:tcW w:w="50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Restricted cash includes amounts required to be held as a security deposit in the form of letters of credit for the Company’s credit card program and the fleet program.</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Company’s investments consist of debt securities that are classified as available-for-sale. Short-term and long-term investments are carried at fair value and unrealized gains and losses are recorded as a</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component of accumulated comprehensive income in stockholders’ equity. Interest income earned on cash and investment balances, accretion of the discount on investments in debt securities, amortization of premiums and realized gains and losses, if any, are recorded in interest income on the unaudited condensed consolidated statement of operations and comprehensive income. Realized gains and losses that result from the sale of investments are determined on a specific identification basis.</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each reporting period, the Company reviews any unrealized losses position to determine if the decline in the fair value of the underlying investments is a result of credit losses or other factors. If the assessment indicates that a credit loss exists, any impairment is recognized as an allowance for credit losses in our consolidated statement of operations.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Risk</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Substantially all of the Company’s cash and money market funds are held in five financial institutions. Due to their size, the Company believes these financial institutions represent minimal credit risk. Deposits may exceed the amount of insurance provided on such deposits by the Federal Deposit Insurance Corporation for U.S. institutions. The Company has not experienced any losses on its deposits of cash and cash equivalents. The Company believes that it is not exposed to significant credit risk due to the financial position of the depository institutions in which those deposits are held.</w:t>
      </w:r>
    </w:p>
    <w:p>
      <w:pPr>
        <w:spacing w:after="0" w:line="17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Company is subject to credit risk from its trade receivables related to its product sales. The Company extends credit to specialty pharmaceutical distribution companies within the United States. Customer creditworthiness is monitored, and collateral is not required. Historically, the Company has not experienced credit losses on its accounts receivable. The Company monitors its exposure within accounts receivable and would record a reserve against uncollectible accounts receivable if necessary. As of September 30, 2024, three customers accounted for 100% of gross accounts receivable; Caremark LLC (“CVS Caremark”), which accounted for 34% of gross accounts receivable; Accredo Health Group, Inc. (“Accredo”), which accounted for 34% of gross accounts receivable; and PANTHERx Specialty Pharmacy LLC (“Pantherx”), which accounted for 32% of gross accounts receivable. As of December 31, 2023, three customers accounted for 100% of gross accounts receivable; Accredo, which accounted for 39% of gross accounts receivable, CVS Caremark, which accounted for 32% of gross accounts receivable; and Pantherx, which accounted for 29% of gross accounts receivable.</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For the nine months ended September 30, 2024, three customers accounted for 100% of gross product revenue; CVS Caremark accounted for 40% of gross product revenue; Accredo accounted for 33% of gross product revenue; and Pantherx accounted for 27% of gross product revenue. For the nine months ended September 30, 2023, three customers accounted for 100% of gross product revenue; CVS Caremark accounted for 37% of gross product revenue; Accredo accounted for 32% of gross product revenue; and Pantherx accounted for 31% of gross product revenue.</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Company depends on a single supplier of the active pharmaceutical ingredient (“API”) for its commercial product, WAKIX, and single API suppliers for each of its potential product candidates.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ind w:left="60" w:right="79" w:firstLine="648"/>
        <w:spacing w:after="0" w:line="244" w:lineRule="auto"/>
        <w:rPr>
          <w:sz w:val="20"/>
          <w:szCs w:val="20"/>
          <w:color w:val="auto"/>
        </w:rPr>
      </w:pPr>
      <w:r>
        <w:rPr>
          <w:rFonts w:ascii="Arial" w:cs="Arial" w:eastAsia="Arial" w:hAnsi="Arial"/>
          <w:sz w:val="18"/>
          <w:szCs w:val="18"/>
          <w:color w:val="auto"/>
        </w:rPr>
        <w:t>The Company accounts for share repurchases as constructive retirements, whereby it reduces common stock and additional paid-in capital by the amount of the original issuance, with any excess purchase price recorded as a reduction to retained earnings. Under this method, issued and outstanding shares of common stock are reduced by the amount of shares of common stock repurchased, and no treasury stock is recognized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Business Combinations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 xml:space="preserve">Business combinations and asset acquisitions are accounted for in accordance with FASB ASC 805 Business Combinations. Refer to Note 4, </w:t>
      </w:r>
      <w:r>
        <w:rPr>
          <w:rFonts w:ascii="Arial" w:cs="Arial" w:eastAsia="Arial" w:hAnsi="Arial"/>
          <w:sz w:val="18"/>
          <w:szCs w:val="18"/>
          <w:i w:val="1"/>
          <w:iCs w:val="1"/>
          <w:color w:val="auto"/>
        </w:rPr>
        <w:t>Acquisitions</w:t>
      </w:r>
      <w:r>
        <w:rPr>
          <w:rFonts w:ascii="Arial" w:cs="Arial" w:eastAsia="Arial" w:hAnsi="Arial"/>
          <w:sz w:val="18"/>
          <w:szCs w:val="18"/>
          <w:color w:val="auto"/>
        </w:rPr>
        <w:t>, for a more detailed discussion of the Company’s acquisitions of Zynerba and Epygenix.</w:t>
      </w:r>
    </w:p>
    <w:p>
      <w:pPr>
        <w:spacing w:after="0" w:line="15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 xml:space="preserve">In November 2023, the FASB issued Accounting Standards Update (“ASU”) No. 2023-07,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xml:space="preserve"> (“ASU 2023-07”). ASU 2023-07 is intended to improve reportable segment disclosures primarily through enhanced disclosure of reportable segment expenses and requires that a public entity that has a single reportable segment provide all the disclosures required by ASU 2023-07 and all existing segment disclosures in Topic 280. This ASU is effective for annual reporting periods beginning after December 15, 2023, and interim periods within fiscal years beginning after December 15, 2024. Early adoption is permitted. ASU 2023-07 is required to be applied retrospectively to all prior periods presented in the financial statements. The Company has one reportable segment and is currently evaluating the impact that ASU 2023-07 will have on its condensed consolidated financial statements.</w:t>
      </w:r>
    </w:p>
    <w:p>
      <w:pPr>
        <w:spacing w:after="0" w:line="17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 xml:space="preserve">In December 2023, the FASB issued Accounting Standards Update (“ASU”) No 2023-09,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(Topic 740): Improvements to Income Tax Disclosures” </w:t>
      </w:r>
      <w:r>
        <w:rPr>
          <w:rFonts w:ascii="Arial" w:cs="Arial" w:eastAsia="Arial" w:hAnsi="Arial"/>
          <w:sz w:val="18"/>
          <w:szCs w:val="18"/>
          <w:color w:val="auto"/>
        </w:rPr>
        <w:t>(“ASU 2023-09”). ASU 2023-09 expands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in the rate reconciliation and requires disclosure of income taxes paid by jurisdiction. ASU 2023-09 is effective for fiscal years beginning after December 15, 2024. Early adoption is permitted. The Company is currently evaluating the impact that ASU 2023-09 will have on its condensed consolidated financial statements.</w:t>
      </w:r>
    </w:p>
    <w:p>
      <w:pPr>
        <w:spacing w:after="0" w:line="163" w:lineRule="exact"/>
        <w:rPr>
          <w:sz w:val="20"/>
          <w:szCs w:val="20"/>
          <w:color w:val="auto"/>
        </w:rPr>
      </w:pPr>
    </w:p>
    <w:p>
      <w:pPr>
        <w:ind w:left="700" w:right="6539" w:hanging="650"/>
        <w:spacing w:after="0" w:line="485" w:lineRule="auto"/>
        <w:tabs>
          <w:tab w:leader="none" w:pos="2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Acquisition of Zynerba</w:t>
      </w:r>
    </w:p>
    <w:p>
      <w:pPr>
        <w:jc w:val="both"/>
        <w:ind w:left="60" w:right="59" w:firstLine="648"/>
        <w:spacing w:after="0" w:line="239" w:lineRule="auto"/>
        <w:rPr>
          <w:sz w:val="20"/>
          <w:szCs w:val="20"/>
          <w:color w:val="auto"/>
        </w:rPr>
      </w:pPr>
      <w:r>
        <w:rPr>
          <w:rFonts w:ascii="Arial" w:cs="Arial" w:eastAsia="Arial" w:hAnsi="Arial"/>
          <w:sz w:val="18"/>
          <w:szCs w:val="18"/>
          <w:color w:val="auto"/>
        </w:rPr>
        <w:t>In October 2023, the Company completed a tender offer to purchase the outstanding common stock of Zynerba (“Zynerba Common Stock”) for (i) $1.1059 per share of Zynerba Common Stock (the “Common Cash Amount”), the aggregate amount of which was $60,000 and was paid at closing, plus (ii) one contingent value right (each, a “CVR”) per share of Zynerba Common Stock (the “Common CVR Amount”), which represents the right to receive up to approximately $2.5444 per share of Zynerba Common Stock, subject to the achievement of certain clinical, regulatory and sales-based milestones. The Common CVR Amounts are to be paid in cash, subject to any applicable withholding of taxes and without interest. The aggregate amount of consideration to acquire Zynerba Common Stock was $60,000, excluding transaction related fees of $2,645 and was paid by the Company using cash on hand.</w:t>
      </w:r>
    </w:p>
    <w:p>
      <w:pPr>
        <w:spacing w:after="0" w:line="18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Zynerba Acquisition was accounted for as an asset acquisition under ASC Topic 805, Business Combinations, because substantially all of the fair value of the gross assets acquired was concentrated in a single identifiable IPR&amp;D asset, ZYN002, Zynerba’s lead asset. ZYN002 is the first and only pharmaceutically manufactured, synthetic cannabidiol, devoid of THC, formulated as a patent-protected permeation-enhanced gel for transdermal delivery through the skin and into the circulatory system and is currently in Phase III clinical trial for the potential treatment of Fragile X Syndrome. The Company recognized the acquired assets and assumed liabilities based on the consideration paid, including transaction costs, on a relative fair value basis, and after first allocating the preliminary excess of the fair value of net assets acquired over the purchase price consideration to certain qualifying assets, principally, the IPR&amp;D asset.</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Acquisition of Epygenix</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April 30, 2024, the Company acquired all of the issued and outstanding capital stock of Epygenix pursuant to the terms of a stock purchase agreement. The Company paid the former stockholders of Epygenix up front consideration of $35,000 less a working capital adjustment. In addition, the Company will be obligated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to pay up to $130,000 upon the achievement of development and regulatory milestones and up to $515,000 upon the achievement of certain sales-based milestones, in each case to Epygenix’s former stockholders. As a result, the Company now has an exclusive license relating to the use of clemizole, initially for the treatment of Dravet Syndrome and Lennox-Gastaut Syndrome.</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7520" w:type="dxa"/>
            <w:vAlign w:val="bottom"/>
          </w:tcPr>
          <w:p>
            <w:pPr>
              <w:ind w:left="660"/>
              <w:spacing w:after="0"/>
              <w:rPr>
                <w:sz w:val="20"/>
                <w:szCs w:val="20"/>
                <w:color w:val="auto"/>
              </w:rPr>
            </w:pPr>
            <w:r>
              <w:rPr>
                <w:rFonts w:ascii="Arial" w:cs="Arial" w:eastAsia="Arial" w:hAnsi="Arial"/>
                <w:sz w:val="18"/>
                <w:szCs w:val="18"/>
                <w:color w:val="auto"/>
              </w:rPr>
              <w:t>The total purchase consideration for Epygenix was as follows:</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2"/>
        </w:trPr>
        <w:tc>
          <w:tcPr>
            <w:tcW w:w="7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2"/>
        </w:trPr>
        <w:tc>
          <w:tcPr>
            <w:tcW w:w="7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 consideration paid to selling shareholders and to settle restricted stock units ("RSUs")</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32,686</w:t>
            </w:r>
          </w:p>
        </w:tc>
      </w:tr>
      <w:tr>
        <w:trPr>
          <w:trHeight w:val="203"/>
        </w:trPr>
        <w:tc>
          <w:tcPr>
            <w:tcW w:w="75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Transaction costs</w:t>
            </w:r>
          </w:p>
        </w:tc>
        <w:tc>
          <w:tcPr>
            <w:tcW w:w="3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450</w:t>
            </w:r>
          </w:p>
        </w:tc>
      </w:tr>
      <w:tr>
        <w:trPr>
          <w:trHeight w:val="196"/>
        </w:trPr>
        <w:tc>
          <w:tcPr>
            <w:tcW w:w="75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purchase consideration</w:t>
            </w:r>
          </w:p>
        </w:tc>
        <w:tc>
          <w:tcPr>
            <w:tcW w:w="3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33,136</w:t>
            </w:r>
          </w:p>
        </w:tc>
      </w:tr>
      <w:tr>
        <w:trPr>
          <w:trHeight w:val="20"/>
        </w:trPr>
        <w:tc>
          <w:tcPr>
            <w:tcW w:w="7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acquisition of Epygenix was accounted for as an asset acquisition under ASC Topic 805, Business Combinations. The Company did not acquire any outputs and there was not an acquired substantive process in place to create outputs. The Company recognized the acquired assets and assumed liabilities based on the consideration paid, including transaction costs, on a relative fair value basis, and after first allocating the preliminary excess of the fair value of net assets acquired over the purchase price consideration to certain qualifying assets, principally, the IPR&amp;D asset. In accordance with the accounting for asset acquisitions, an entity that acquires IPR&amp;D assets in an asset acquisition follows the guidance in ASC Topic 730, Research and Development, which requires that both tangible and intangible identifiable research and development assets with no alternative future use be allocated a portion of the consideration transferred and recorded as research and development expense at the acquisition date. As a result, the Company recorded a charge of $17,095 related to acquired in-process research and development expense during the nine months ended September 30, 2024.</w:t>
      </w:r>
    </w:p>
    <w:p>
      <w:pPr>
        <w:spacing w:after="0" w:line="183" w:lineRule="exact"/>
        <w:rPr>
          <w:sz w:val="20"/>
          <w:szCs w:val="20"/>
          <w:color w:val="auto"/>
        </w:rPr>
      </w:pPr>
    </w:p>
    <w:p>
      <w:pPr>
        <w:jc w:val="both"/>
        <w:ind w:left="60" w:right="59" w:firstLine="698"/>
        <w:spacing w:after="0" w:line="253" w:lineRule="auto"/>
        <w:rPr>
          <w:sz w:val="20"/>
          <w:szCs w:val="20"/>
          <w:color w:val="auto"/>
        </w:rPr>
      </w:pPr>
      <w:r>
        <w:rPr>
          <w:rFonts w:ascii="Arial" w:cs="Arial" w:eastAsia="Arial" w:hAnsi="Arial"/>
          <w:sz w:val="18"/>
          <w:szCs w:val="18"/>
          <w:color w:val="auto"/>
        </w:rPr>
        <w:t>The following table shows the allocation of the purchase consideration based on the relative fair value of assets acquired and liabilities assumed by the Company, after reducing the excess fair value of the IPR&amp;D asset as described above:</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acquired</w:t>
            </w:r>
          </w:p>
        </w:tc>
        <w:tc>
          <w:tcPr>
            <w:tcW w:w="1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3"/>
        </w:trPr>
        <w:tc>
          <w:tcPr>
            <w:tcW w:w="5620" w:type="dxa"/>
            <w:vAlign w:val="bottom"/>
          </w:tcPr>
          <w:p>
            <w:pPr>
              <w:ind w:left="20"/>
              <w:spacing w:after="0" w:line="202" w:lineRule="exact"/>
              <w:rPr>
                <w:sz w:val="20"/>
                <w:szCs w:val="20"/>
                <w:color w:val="auto"/>
              </w:rPr>
            </w:pPr>
            <w:r>
              <w:rPr>
                <w:rFonts w:ascii="Arial" w:cs="Arial" w:eastAsia="Arial" w:hAnsi="Arial"/>
                <w:sz w:val="18"/>
                <w:szCs w:val="18"/>
                <w:color w:val="auto"/>
              </w:rPr>
              <w:t>Acquired in-process research and development</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17,095</w:t>
            </w:r>
          </w:p>
        </w:tc>
      </w:tr>
      <w:tr>
        <w:trPr>
          <w:trHeight w:val="203"/>
        </w:trPr>
        <w:tc>
          <w:tcPr>
            <w:tcW w:w="5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tax asset</w:t>
            </w:r>
          </w:p>
        </w:tc>
        <w:tc>
          <w:tcPr>
            <w:tcW w:w="19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18,268</w:t>
            </w:r>
          </w:p>
        </w:tc>
      </w:tr>
      <w:tr>
        <w:trPr>
          <w:trHeight w:val="203"/>
        </w:trPr>
        <w:tc>
          <w:tcPr>
            <w:tcW w:w="56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assets</w:t>
            </w:r>
          </w:p>
        </w:tc>
        <w:tc>
          <w:tcPr>
            <w:tcW w:w="196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590</w:t>
            </w:r>
          </w:p>
        </w:tc>
      </w:tr>
      <w:tr>
        <w:trPr>
          <w:trHeight w:val="196"/>
        </w:trPr>
        <w:tc>
          <w:tcPr>
            <w:tcW w:w="5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assets acquired</w:t>
            </w:r>
          </w:p>
        </w:tc>
        <w:tc>
          <w:tcPr>
            <w:tcW w:w="1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35,953</w:t>
            </w:r>
          </w:p>
        </w:tc>
      </w:tr>
      <w:tr>
        <w:trPr>
          <w:trHeight w:val="203"/>
        </w:trPr>
        <w:tc>
          <w:tcPr>
            <w:tcW w:w="56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Total liabilities assumed</w:t>
            </w:r>
          </w:p>
        </w:tc>
        <w:tc>
          <w:tcPr>
            <w:tcW w:w="196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2,817</w:t>
            </w:r>
          </w:p>
        </w:tc>
      </w:tr>
      <w:tr>
        <w:trPr>
          <w:trHeight w:val="196"/>
        </w:trPr>
        <w:tc>
          <w:tcPr>
            <w:tcW w:w="56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r>
      <w:tr>
        <w:trPr>
          <w:trHeight w:val="196"/>
        </w:trPr>
        <w:tc>
          <w:tcPr>
            <w:tcW w:w="56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assets acquired</w:t>
            </w: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33,136</w:t>
            </w:r>
          </w:p>
        </w:tc>
      </w:tr>
      <w:tr>
        <w:trPr>
          <w:trHeight w:val="20"/>
        </w:trPr>
        <w:tc>
          <w:tcPr>
            <w:tcW w:w="5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INVESTMENTS</w:t>
      </w:r>
    </w:p>
    <w:p>
      <w:pPr>
        <w:spacing w:after="0" w:line="200" w:lineRule="exact"/>
        <w:rPr>
          <w:sz w:val="20"/>
          <w:szCs w:val="20"/>
          <w:color w:val="auto"/>
        </w:rPr>
      </w:pPr>
    </w:p>
    <w:p>
      <w:pPr>
        <w:spacing w:after="0" w:line="21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carrying value and amortized cost of the Company’s available-for-sale debt securities, summarized by type of security, consisted of the following:</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September 30, 2024</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Amortized</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Unrealized</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1"/>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Gains</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10,259</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10,280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12,829</w:t>
            </w:r>
          </w:p>
        </w:tc>
        <w:tc>
          <w:tcPr>
            <w:tcW w:w="0" w:type="dxa"/>
            <w:vAlign w:val="bottom"/>
          </w:tcPr>
          <w:p>
            <w:pPr>
              <w:spacing w:after="0"/>
              <w:rPr>
                <w:sz w:val="1"/>
                <w:szCs w:val="1"/>
                <w:color w:val="auto"/>
              </w:rPr>
            </w:pPr>
          </w:p>
        </w:tc>
      </w:tr>
      <w:tr>
        <w:trPr>
          <w:trHeight w:val="196"/>
        </w:trPr>
        <w:tc>
          <w:tcPr>
            <w:tcW w:w="5020" w:type="dxa"/>
            <w:vAlign w:val="bottom"/>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23,063</w:t>
            </w:r>
          </w:p>
        </w:tc>
        <w:tc>
          <w:tcPr>
            <w:tcW w:w="1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w:t>
            </w:r>
          </w:p>
        </w:tc>
        <w:tc>
          <w:tcPr>
            <w:tcW w:w="1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23,109</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20"/>
              <w:spacing w:after="0"/>
              <w:rPr>
                <w:sz w:val="20"/>
                <w:szCs w:val="20"/>
                <w:color w:val="auto"/>
              </w:rPr>
            </w:pPr>
            <w:r>
              <w:rPr>
                <w:rFonts w:ascii="Arial" w:cs="Arial" w:eastAsia="Arial" w:hAnsi="Arial"/>
                <w:sz w:val="18"/>
                <w:szCs w:val="18"/>
                <w:color w:val="auto"/>
              </w:rPr>
              <w:t>Long-term:</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68,172</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U.S. government securities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26,047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26,050</w:t>
            </w: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93,769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94,222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gridSpan w:val="4"/>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Amortized</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Unrealized</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Gains</w:t>
            </w:r>
          </w:p>
        </w:tc>
        <w:tc>
          <w:tcPr>
            <w:tcW w:w="9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rPr>
              <w:t>Losses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020" w:type="dxa"/>
            <w:vAlign w:val="bottom"/>
          </w:tcPr>
          <w:p>
            <w:pPr>
              <w:ind w:left="20"/>
              <w:spacing w:after="0"/>
              <w:rPr>
                <w:sz w:val="20"/>
                <w:szCs w:val="20"/>
                <w:color w:val="auto"/>
              </w:rPr>
            </w:pPr>
            <w:r>
              <w:rPr>
                <w:rFonts w:ascii="Arial" w:cs="Arial" w:eastAsia="Arial" w:hAnsi="Arial"/>
                <w:sz w:val="18"/>
                <w:szCs w:val="18"/>
                <w:color w:val="auto"/>
              </w:rPr>
              <w:t>Short-term:</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23,865</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15,968</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15,996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41,740</w:t>
            </w:r>
          </w:p>
        </w:tc>
        <w:tc>
          <w:tcPr>
            <w:tcW w:w="18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18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41,800</w:t>
            </w: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Long-term:</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42,688</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42,741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28,684</w:t>
            </w:r>
          </w:p>
        </w:tc>
        <w:tc>
          <w:tcPr>
            <w:tcW w:w="0" w:type="dxa"/>
            <w:vAlign w:val="bottom"/>
          </w:tcPr>
          <w:p>
            <w:pPr>
              <w:spacing w:after="0"/>
              <w:rPr>
                <w:sz w:val="1"/>
                <w:szCs w:val="1"/>
                <w:color w:val="auto"/>
              </w:rPr>
            </w:pPr>
          </w:p>
        </w:tc>
      </w:tr>
      <w:tr>
        <w:trPr>
          <w:trHeight w:val="196"/>
        </w:trPr>
        <w:tc>
          <w:tcPr>
            <w:tcW w:w="5020" w:type="dxa"/>
            <w:vAlign w:val="bottom"/>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72,227</w:t>
            </w:r>
          </w:p>
        </w:tc>
        <w:tc>
          <w:tcPr>
            <w:tcW w:w="1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1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72,169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classifies investments with an original maturity of less than one year as current and investments with an original maturity date of greater than one year as noncurrent on its unaudited condensed consolidated balance sheet. The investments classified as noncurrent have original maturity dates ranging from 1-2 years. The Company did not have any available-for-sale debt security investments in a continuous unrealized loss position of greater than 12 months as of September 30, 2024, and December 31, 2023, respectively.</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FAIR VALUE MEASUREMENTS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September 30, 2024, or December 31, 2023.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assets measured at fair value consisted of the following:</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20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September 30, 2024</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December 31, 2023</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8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1</w:t>
            </w: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9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$ 296,384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296,384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$ 244,569</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243,685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24,609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24,609</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jc w:val="right"/>
              <w:spacing w:after="0"/>
              <w:rPr>
                <w:sz w:val="20"/>
                <w:szCs w:val="20"/>
                <w:color w:val="auto"/>
              </w:rPr>
            </w:pPr>
            <w:r>
              <w:rPr>
                <w:rFonts w:ascii="Arial" w:cs="Arial" w:eastAsia="Arial" w:hAnsi="Arial"/>
                <w:sz w:val="18"/>
                <w:szCs w:val="18"/>
                <w:color w:val="auto"/>
              </w:rPr>
              <w:t>81,001</w:t>
            </w:r>
          </w:p>
        </w:tc>
        <w:tc>
          <w:tcPr>
            <w:tcW w:w="16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81,001</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58,737</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58,737</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26,050</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30,623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w:t>
            </w:r>
          </w:p>
        </w:tc>
        <w:tc>
          <w:tcPr>
            <w:tcW w:w="0" w:type="dxa"/>
            <w:vAlign w:val="bottom"/>
          </w:tcPr>
          <w:p>
            <w:pPr>
              <w:spacing w:after="0"/>
              <w:rPr>
                <w:sz w:val="1"/>
                <w:szCs w:val="1"/>
                <w:color w:val="auto"/>
              </w:rPr>
            </w:pPr>
          </w:p>
        </w:tc>
      </w:tr>
      <w:tr>
        <w:trPr>
          <w:trHeight w:val="196"/>
        </w:trPr>
        <w:tc>
          <w:tcPr>
            <w:tcW w:w="308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$ 413,715</w:t>
            </w:r>
          </w:p>
        </w:tc>
        <w:tc>
          <w:tcPr>
            <w:tcW w:w="1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296,384</w:t>
            </w:r>
          </w:p>
        </w:tc>
        <w:tc>
          <w:tcPr>
            <w:tcW w:w="18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117,331</w:t>
            </w:r>
          </w:p>
        </w:tc>
        <w:tc>
          <w:tcPr>
            <w:tcW w:w="220" w:type="dxa"/>
            <w:vAlign w:val="bottom"/>
          </w:tcPr>
          <w:p>
            <w:pPr>
              <w:spacing w:after="0"/>
              <w:rPr>
                <w:sz w:val="17"/>
                <w:szCs w:val="17"/>
                <w:color w:val="auto"/>
              </w:rPr>
            </w:pPr>
          </w:p>
        </w:tc>
        <w:tc>
          <w:tcPr>
            <w:tcW w:w="9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$ 358,538</w:t>
            </w:r>
          </w:p>
        </w:tc>
        <w:tc>
          <w:tcPr>
            <w:tcW w:w="16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243,685</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114,853</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7. INVENTORY</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30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120" w:type="dxa"/>
            <w:vAlign w:val="bottom"/>
            <w:gridSpan w:val="3"/>
          </w:tcPr>
          <w:p>
            <w:pPr>
              <w:ind w:left="660"/>
              <w:spacing w:after="0"/>
              <w:rPr>
                <w:sz w:val="20"/>
                <w:szCs w:val="20"/>
                <w:color w:val="auto"/>
              </w:rPr>
            </w:pPr>
            <w:r>
              <w:rPr>
                <w:rFonts w:ascii="Arial" w:cs="Arial" w:eastAsia="Arial" w:hAnsi="Arial"/>
                <w:sz w:val="18"/>
                <w:szCs w:val="18"/>
                <w:color w:val="auto"/>
              </w:rPr>
              <w:t>Inventory, net consisted of the following:</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September 30,</w:t>
            </w:r>
          </w:p>
        </w:tc>
        <w:tc>
          <w:tcPr>
            <w:tcW w:w="1000" w:type="dxa"/>
            <w:vAlign w:val="bottom"/>
            <w:gridSpan w:val="4"/>
          </w:tcPr>
          <w:p>
            <w:pPr>
              <w:ind w:left="20"/>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76"/>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Raw materials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1,033</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2,549</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Finished goods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3,333</w:t>
            </w:r>
          </w:p>
        </w:tc>
        <w:tc>
          <w:tcPr>
            <w:tcW w:w="1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line="196" w:lineRule="exact"/>
              <w:rPr>
                <w:sz w:val="20"/>
                <w:szCs w:val="20"/>
                <w:color w:val="auto"/>
              </w:rPr>
            </w:pPr>
            <w:r>
              <w:rPr>
                <w:rFonts w:ascii="Arial" w:cs="Arial" w:eastAsia="Arial" w:hAnsi="Arial"/>
                <w:sz w:val="18"/>
                <w:szCs w:val="18"/>
                <w:color w:val="auto"/>
              </w:rPr>
              <w:t>Total inventory, net</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6,915</w:t>
            </w:r>
          </w:p>
        </w:tc>
        <w:tc>
          <w:tcPr>
            <w:tcW w:w="160" w:type="dxa"/>
            <w:vAlign w:val="bottom"/>
          </w:tcPr>
          <w:p>
            <w:pPr>
              <w:spacing w:after="0"/>
              <w:rPr>
                <w:sz w:val="17"/>
                <w:szCs w:val="17"/>
                <w:color w:val="auto"/>
              </w:rPr>
            </w:pPr>
          </w:p>
        </w:tc>
        <w:tc>
          <w:tcPr>
            <w:tcW w:w="2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INTANGIBLE ASSETS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August 2019, the Company received FDA approval of WAKIX</w:t>
      </w:r>
      <w:r>
        <w:rPr>
          <w:rFonts w:ascii="Arial" w:cs="Arial" w:eastAsia="Arial" w:hAnsi="Arial"/>
          <w:sz w:val="12"/>
          <w:szCs w:val="12"/>
          <w:color w:val="auto"/>
        </w:rPr>
        <w:t>®</w:t>
      </w:r>
      <w:r>
        <w:rPr>
          <w:rFonts w:ascii="Arial" w:cs="Arial" w:eastAsia="Arial" w:hAnsi="Arial"/>
          <w:sz w:val="18"/>
          <w:szCs w:val="18"/>
          <w:color w:val="auto"/>
        </w:rPr>
        <w:t xml:space="preserve"> (pitolisant) for the treatment of excessive daytime sleepiness (“EDS”) in adult patients with narcolepsy. This event triggered a milestone payment of $ 75,000 under the provisions of the 2017 LCA (defined below) which the Company capitalized as an intangible asset. The Company determined a useful life of 10 years for such intangible asset, and, as of September 30, 2024, the remaining useful life was 5.0 years.</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October 2020, the Company received FDA approval for the New Drug Application (“NDA”) for WAKIX for the treatment of cataplexy in adult patients with narcolepsy. This event triggered a milestone payment of $100,000 under the provisions of the 2017 LCA which the Company capitalized as an intangible asset and paid in January of 2021. The Company determined a useful life of 9 years for such intangible asset, and, as of September 30, 2024, the remaining useful life was 5.0 years.</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February 2022, the Company attained $500,000 in life-to-date aggregate net sales of WAKIX in the United States. This event triggered a final $40,000 payment under the provisions of the 2017 LCA which the Company capitalized as an intangible asset and paid in March of 2022. The Company determined a useful life of 7.6 years for such intangible asset, and, as of September 30, 2024, the remaining useful life was 5.0 years.</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Amortization expense was $5,961 and $5,962 for the three months ended September 30, 2024, and 2023, respectively, and $17,883 and $17,884 for the nine months ended September 30, 2024, and 2023, respectively, and is recorded in general and administrative on the unaudited condensed consolidated statements of operations and comprehensive income.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The Company expects the future annual amortization expense for the unamortized intangible assets to be as follows:</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638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3"/>
        </w:trPr>
        <w:tc>
          <w:tcPr>
            <w:tcW w:w="6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2024 (excluding the nine months ended September 30, 2024)</w:t>
            </w:r>
          </w:p>
        </w:tc>
        <w:tc>
          <w:tcPr>
            <w:tcW w:w="1640" w:type="dxa"/>
            <w:vAlign w:val="bottom"/>
            <w:gridSpan w:val="2"/>
            <w:shd w:val="clear" w:color="auto" w:fill="CCEEFF"/>
          </w:tcPr>
          <w:p>
            <w:pPr>
              <w:jc w:val="right"/>
              <w:ind w:right="107"/>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5,961</w:t>
            </w:r>
          </w:p>
        </w:tc>
      </w:tr>
      <w:tr>
        <w:trPr>
          <w:trHeight w:val="203"/>
        </w:trPr>
        <w:tc>
          <w:tcPr>
            <w:tcW w:w="6380" w:type="dxa"/>
            <w:vAlign w:val="bottom"/>
          </w:tcPr>
          <w:p>
            <w:pPr>
              <w:ind w:left="100"/>
              <w:spacing w:after="0" w:line="202" w:lineRule="exact"/>
              <w:rPr>
                <w:sz w:val="20"/>
                <w:szCs w:val="20"/>
                <w:color w:val="auto"/>
              </w:rPr>
            </w:pPr>
            <w:r>
              <w:rPr>
                <w:rFonts w:ascii="Arial" w:cs="Arial" w:eastAsia="Arial" w:hAnsi="Arial"/>
                <w:sz w:val="18"/>
                <w:szCs w:val="18"/>
                <w:color w:val="auto"/>
              </w:rPr>
              <w:t>2025</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2026</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380" w:type="dxa"/>
            <w:vAlign w:val="bottom"/>
          </w:tcPr>
          <w:p>
            <w:pPr>
              <w:ind w:left="100"/>
              <w:spacing w:after="0" w:line="202" w:lineRule="exact"/>
              <w:rPr>
                <w:sz w:val="20"/>
                <w:szCs w:val="20"/>
                <w:color w:val="auto"/>
              </w:rPr>
            </w:pPr>
            <w:r>
              <w:rPr>
                <w:rFonts w:ascii="Arial" w:cs="Arial" w:eastAsia="Arial" w:hAnsi="Arial"/>
                <w:sz w:val="18"/>
                <w:szCs w:val="18"/>
                <w:color w:val="auto"/>
              </w:rPr>
              <w:t>2027</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2028</w:t>
            </w: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3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Thereafter</w:t>
            </w:r>
          </w:p>
        </w:tc>
        <w:tc>
          <w:tcPr>
            <w:tcW w:w="13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17,884</w:t>
            </w:r>
          </w:p>
        </w:tc>
      </w:tr>
      <w:tr>
        <w:trPr>
          <w:trHeight w:val="196"/>
        </w:trPr>
        <w:tc>
          <w:tcPr>
            <w:tcW w:w="63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119,225</w:t>
            </w:r>
          </w:p>
        </w:tc>
      </w:tr>
      <w:tr>
        <w:trPr>
          <w:trHeight w:val="20"/>
        </w:trPr>
        <w:tc>
          <w:tcPr>
            <w:tcW w:w="6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gross carrying amount and net book value of the intangible asset is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6640" w:type="dxa"/>
            <w:vAlign w:val="bottom"/>
          </w:tcPr>
          <w:p>
            <w:pPr>
              <w:spacing w:after="0"/>
              <w:rPr>
                <w:sz w:val="12"/>
                <w:szCs w:val="12"/>
                <w:color w:val="auto"/>
              </w:rPr>
            </w:pPr>
          </w:p>
        </w:tc>
        <w:tc>
          <w:tcPr>
            <w:tcW w:w="12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September 30,</w:t>
            </w:r>
          </w:p>
        </w:tc>
        <w:tc>
          <w:tcPr>
            <w:tcW w:w="10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r>
      <w:tr>
        <w:trPr>
          <w:trHeight w:val="171"/>
        </w:trPr>
        <w:tc>
          <w:tcPr>
            <w:tcW w:w="66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r>
      <w:tr>
        <w:trPr>
          <w:trHeight w:val="196"/>
        </w:trPr>
        <w:tc>
          <w:tcPr>
            <w:tcW w:w="6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Carrying Amount</w:t>
            </w: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20" w:type="dxa"/>
            <w:vAlign w:val="bottom"/>
          </w:tcPr>
          <w:p>
            <w:pPr>
              <w:spacing w:after="0"/>
              <w:rPr>
                <w:sz w:val="17"/>
                <w:szCs w:val="17"/>
                <w:color w:val="auto"/>
              </w:rPr>
            </w:pP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Accumulated Amortization</w:t>
            </w:r>
          </w:p>
        </w:tc>
        <w:tc>
          <w:tcPr>
            <w:tcW w:w="24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(95,775)</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(77,892)</w:t>
            </w:r>
          </w:p>
        </w:tc>
        <w:tc>
          <w:tcPr>
            <w:tcW w:w="20" w:type="dxa"/>
            <w:vAlign w:val="bottom"/>
          </w:tcPr>
          <w:p>
            <w:pPr>
              <w:spacing w:after="0"/>
              <w:rPr>
                <w:sz w:val="17"/>
                <w:szCs w:val="17"/>
                <w:color w:val="auto"/>
              </w:rPr>
            </w:pPr>
          </w:p>
        </w:tc>
      </w:tr>
      <w:tr>
        <w:trPr>
          <w:trHeight w:val="196"/>
        </w:trPr>
        <w:tc>
          <w:tcPr>
            <w:tcW w:w="66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Book Value</w:t>
            </w:r>
          </w:p>
        </w:tc>
        <w:tc>
          <w:tcPr>
            <w:tcW w:w="240" w:type="dxa"/>
            <w:vAlign w:val="bottom"/>
            <w:tcBorders>
              <w:top w:val="single" w:sz="8" w:color="auto"/>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119,225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137,108</w:t>
            </w:r>
          </w:p>
        </w:tc>
        <w:tc>
          <w:tcPr>
            <w:tcW w:w="2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700" w:right="3199" w:hanging="650"/>
        <w:spacing w:after="0" w:line="485" w:lineRule="auto"/>
        <w:tabs>
          <w:tab w:leader="none" w:pos="2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 AND ASSET PURCHASE AGREEMENTS Bioprojet Agreements</w:t>
      </w:r>
    </w:p>
    <w:p>
      <w:pPr>
        <w:jc w:val="both"/>
        <w:ind w:left="60" w:right="59" w:firstLine="648"/>
        <w:spacing w:after="0" w:line="236" w:lineRule="auto"/>
        <w:rPr>
          <w:sz w:val="20"/>
          <w:szCs w:val="20"/>
          <w:color w:val="auto"/>
        </w:rPr>
      </w:pPr>
      <w:r>
        <w:rPr>
          <w:rFonts w:ascii="Arial" w:cs="Arial" w:eastAsia="Arial" w:hAnsi="Arial"/>
          <w:sz w:val="18"/>
          <w:szCs w:val="18"/>
          <w:color w:val="auto"/>
        </w:rPr>
        <w:t>In July 2017, Harmony entered into a License Agreement (the “2017 LCA”) with Bioprojet Société Civile de Recherche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in February 2019 and was expensed within research and development for the year ended December 31, 2019. A milestone payment of $77,000, which included a $2,000 fee that is described below, was due upon FDA approval of WAKIX (pitolisant) for treatment of EDS in adult patients with narcolepsy, which was achieved in August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$2,000 payment was paid in October 2020 and a $ 100,000 milestone payment was paid in January 2021. A final $40,000 milestone payment was paid to Bioprojet in March 2022 upon WAKIX attaining $500,000 in aggregate net sales in the United States. The 2017 LCA also requires a fixed trademark royalty and a tiered royalty based on net sales, which is payable to Bioprojet on a quarterly basis. The Company incurred $40,295 and $29,665 for the three months ended September 30, 2024, and 2023, respectively, and $95,232 and $71,267 for the nine months ended September 30, 2024, and 2023, respectively, for sales-based, trademark and tiered royalties recognized as cost of product sold. As of September 30, 2024, and December 31, 2023, the Company had accrued $40,295 and $40,419, respectively, for sales-based, trademark and tiered royalties.</w:t>
      </w:r>
    </w:p>
    <w:p>
      <w:pPr>
        <w:spacing w:after="0" w:line="19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July 2022, Harmony entered into a License and Commercialization Agreement (the “2022 LCA”) with Bioprojet whereby Harmony obtained exclusive rights to manufacture, use and commercialize one or more new products based on pitolisant in the United States and Latin America, with the potential to add additional indications and formulations upon agreement of both parties. Harmony paid an initial, non-refundable $30,000 licensing fee in October 2022 and additional payments of up to $155,000 are potentially due under the 2022 LCA upon the achievement of certain future development and sales-based milestones. In addition, there are other payments due upon achievement of development milestones for new indications and formulations as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agreed upon by both parties. The 2022 LCA also requires a fixed trademark royalty and a tiered royalty based on net sales upon commercialization, which will be payable to Bioprojet on a quarterly basis.</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April 2024, the Company announced that it entered into a sublicense agreement with Bioprojet for an orexin-2 receptor agonist (OX2R) (the “Licensed Compound”) to be evaluated for the treatment of narcolepsy and other potential indications (the “Sublicense”). Under the Sublicense, the Company obtained the exclusive right to develop, manufacture and commercialize the Licensed Compound in the United States and Latin American territories (the “Licensed Territories”), which are rights that Bioprojet originally licensed from Teijin Pharma, the innovator of the Licensed Compound. The Licensed Compound is currently in pre-clinical development with a Clinical Trial Application currently anticipated in mid-2025. Under the Sublicense, the Company paid Bioprojet an upfront license fee of $25,500, which the Company recognized as an IPR&amp;D charge recorded in research and development within the unaudited condensed consolidated statements of operations and comprehensive income for the nine months ended September 30, 2024, and will also be obligated to pay up to $127,500 upon achievement of development and regulatory milestones and up to $240,000 upon achievement of sales-based milestones, as well as royalty rates in the mid-teens on any sales of product using the Licensed Compound in the Licensed Territories.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ConSynance Agreement</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August 2021, the Company entered into an asset purchase agreement with ConSynance Therapeutics, Inc. (the “APA”) to acquire HBS-102 (formerly referred to as “CSTI-100”), a potential first-in-class molecule with a novel mechanism of action. Under the terms of the APA, the Company acquired full development and commercialization rights globally, with the exception of Greater China, for $3,500. The Company accounted for the transaction as an asset acquisition as substantially all of the fair value of the assets acquired was concentrated in a single identified asset. In March 2023, the Company achieved a preclinical milestone, which triggered a $750 payment under the provisions of the APA, which the Company recognized as an IPR&amp;D charge recorded in research and development within the unaudited condensed consolidated statement of operations and comprehensive income for the nine months ended September 30, 2023. In September 2024, the Company achieved a milestone for preclinical proof-of-concept, which triggered a $1,000 payment under the provisions of the APA, which the Company recognized as an IPR&amp;D charge recorded in research and development within the unaudited condensed consolidated statement of operations and comprehensive income for the three and nine months ended September 30, 2024. There are additional payments due under the APA upon the achievement of certain milestones including $19,000 for development milestones, $44,000 for regulatory milestones and $110,000 for sales milestones.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ACCRUED EXPENSES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 of the following: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0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Royalties due to Bioprojet</w:t>
            </w:r>
          </w:p>
        </w:tc>
        <w:tc>
          <w:tcPr>
            <w:tcW w:w="2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40,295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40,419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line="202" w:lineRule="exact"/>
              <w:rPr>
                <w:sz w:val="20"/>
                <w:szCs w:val="20"/>
                <w:color w:val="auto"/>
              </w:rPr>
            </w:pPr>
            <w:r>
              <w:rPr>
                <w:rFonts w:ascii="Arial" w:cs="Arial" w:eastAsia="Arial" w:hAnsi="Arial"/>
                <w:sz w:val="18"/>
                <w:szCs w:val="18"/>
                <w:color w:val="auto"/>
              </w:rPr>
              <w:t>Rebates and other sales deductions</w:t>
            </w: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45,837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38,842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2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3,507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8,011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line="202" w:lineRule="exact"/>
              <w:rPr>
                <w:sz w:val="20"/>
                <w:szCs w:val="20"/>
                <w:color w:val="auto"/>
              </w:rPr>
            </w:pPr>
            <w:r>
              <w:rPr>
                <w:rFonts w:ascii="Arial" w:cs="Arial" w:eastAsia="Arial" w:hAnsi="Arial"/>
                <w:sz w:val="18"/>
                <w:szCs w:val="18"/>
                <w:color w:val="auto"/>
              </w:rPr>
              <w:t>Milestone payments</w:t>
            </w: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fees, consulting, and other services</w:t>
            </w:r>
          </w:p>
        </w:tc>
        <w:tc>
          <w:tcPr>
            <w:tcW w:w="2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5,241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expenses</w:t>
            </w:r>
          </w:p>
        </w:tc>
        <w:tc>
          <w:tcPr>
            <w:tcW w:w="26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2,841</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109,673</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00" w:type="dxa"/>
            <w:vAlign w:val="bottom"/>
            <w:vMerge w:val="restart"/>
          </w:tcPr>
          <w:p>
            <w:pPr>
              <w:jc w:val="right"/>
              <w:ind w:right="207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July 2023, the Company entered into a Credit Agreement (the “TLA Credit Agreement”) with JPMorgan Chase Bank, N.A., as “Administrative Agent”, and certain lenders. The TLA Credit Agreement provides for a five-year senior secured term loan (the “TLA Term Loan”) in an aggregate principal amount of $185,000.</w:t>
      </w:r>
    </w:p>
    <w:p>
      <w:pPr>
        <w:spacing w:after="0" w:line="17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September 2023, the Company entered into the First Incremental Amendment (the “First Incremental Amendment”) with the Administrative Agent and Bank of America, N.A., as incremental lender. The First Incremental Amendment provides for an incremental senior secured term loan (the “Incremental Term Loan”) in an aggregate principal amount of $15,000. The First Incremental Amendment amends the TLA Credit Agreement and provides that the Incremental Term Loan will have identical terms as the TLA Term Loan.</w:t>
      </w:r>
    </w:p>
    <w:p>
      <w:pPr>
        <w:spacing w:after="0" w:line="1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repayment schedule for both the TLA Term Loan and the Incremental Term Loan (together, the “Term Loans”) consists of quarterly $3,750 principal payments, which commenced on December 31, 2023, increasing to quarterly $5,000 principal payments beginning on December 31, 2025, with a $115,000 payment due on the maturity date of July 26, 2028. The Term Loans bear interest at a per annum rate equal to, at the Company’s option, (i) a base rate plus a specified margin ranging from 2.50% to 3.00%, based on the Company’s senior secured net leverage ratio (as defined in the TLA Credit Agreement) or (ii) Term SOFR plus a credit spread adjustment of 0.10% plus a specified margin ranging from 3.50% to 4.00%, based on the Company’s senior secured net leverage ratio.</w:t>
      </w:r>
    </w:p>
    <w:p>
      <w:pPr>
        <w:spacing w:after="0" w:line="18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net cash received related to the Term Loans as a result of the transactions, less debt issuance costs of $2,997, was $197,003. The debt issuance costs related to the Term Loans will be amortized as additional interest expense over the loan term of the TLA Credit Agreement. The fair value of the Term Loans as of September 30, 2024, was $188,356.</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212529"/>
        </w:rPr>
        <w:t>Blackstone Credit Agreement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212529"/>
        </w:rPr>
        <w:t>In August 2021, the Company entered into the Blackstone Credit Agreement, which provided for (i) a senior secured term loan facility in an aggregate original principal amount of $200,000 (the “Initial Term Loan”) and (ii) a senior secured delayed draw term loan facility in an aggregate principal amount up to $100,000 (the “DDTL”). The DDTL was initially available to draw down through August 9, 2022. In August 2022, the Company entered into an agreement to extend the expiration date of the DDTL to August 9, 2023, for which the Company paid a ticking fee at a rate of 1% per annum on the undrawn portion of the DDTL (the “Ticking Fee”), commencing on August 10, 2022.</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212529"/>
        </w:rPr>
        <w:t>Net cash received from the Initial Term Loan was $191,849, net of debt issuance costs of $8,151. In addition, the Company paid $1,000 in debt issuance costs relating to the DDTL, which was initially recorded in other current assets within the unaudited condensed consolidated balance sheet.</w:t>
      </w:r>
    </w:p>
    <w:p>
      <w:pPr>
        <w:spacing w:after="0" w:line="16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212529"/>
        </w:rPr>
        <w:t>In connection with the TLA Credit Agreement, the Company extinguished the Blackstone Credit Agreement, which required a payoff amount of $207,308, consisting of principal repayment, interest, exit fees, payment of the Ticking Fee and a prepayment premium. The Company recognized a loss on extinguishment of debt of $9,766 relating to the Blackstone Credit Agreement within the Company’s unaudited condensed consolidated statements of operation and comprehensive income for the three and nine months ended September 30, 2023. In addition, the Company recognized $1,972 relating to unamortized debt issuance costs relating to the DDTL and the Ticking Fee, which was recorded in interest expense, net within the unaudited condensed consolidated statement of operations and comprehensive income for the three and nine months ended September 30, 2023.</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net consists of the following: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Principal amount</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185,000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196,250</w:t>
            </w:r>
          </w:p>
        </w:tc>
      </w:tr>
      <w:tr>
        <w:trPr>
          <w:trHeight w:val="203"/>
        </w:trPr>
        <w:tc>
          <w:tcPr>
            <w:tcW w:w="58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Unamortized debt discount associated with debt financing costs</w:t>
            </w:r>
          </w:p>
        </w:tc>
        <w:tc>
          <w:tcPr>
            <w:tcW w:w="8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(2,684)</w:t>
            </w: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debt, net</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182,847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193,566</w:t>
            </w:r>
          </w:p>
        </w:tc>
      </w:tr>
      <w:tr>
        <w:trPr>
          <w:trHeight w:val="202"/>
        </w:trPr>
        <w:tc>
          <w:tcPr>
            <w:tcW w:w="58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current portion</w:t>
            </w:r>
          </w:p>
        </w:tc>
        <w:tc>
          <w:tcPr>
            <w:tcW w:w="8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(15,000)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(15,000)</w:t>
            </w:r>
          </w:p>
        </w:tc>
      </w:tr>
      <w:tr>
        <w:trPr>
          <w:trHeight w:val="196"/>
        </w:trPr>
        <w:tc>
          <w:tcPr>
            <w:tcW w:w="5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167,847</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178,566</w:t>
            </w:r>
          </w:p>
        </w:tc>
      </w:tr>
      <w:tr>
        <w:trPr>
          <w:trHeight w:val="20"/>
        </w:trPr>
        <w:tc>
          <w:tcPr>
            <w:tcW w:w="5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Future minimum payments relating to total debt, net as of September 30, 2024, for the periods indicated below consists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2024 (excluding the nine months ended September 30, 2024)</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16"/>
        </w:trPr>
        <w:tc>
          <w:tcPr>
            <w:tcW w:w="7600" w:type="dxa"/>
            <w:vAlign w:val="bottom"/>
          </w:tcPr>
          <w:p>
            <w:pPr>
              <w:ind w:left="1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16,250</w:t>
            </w: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7600" w:type="dxa"/>
            <w:vAlign w:val="bottom"/>
          </w:tcPr>
          <w:p>
            <w:pPr>
              <w:ind w:left="120"/>
              <w:spacing w:after="0"/>
              <w:rPr>
                <w:sz w:val="20"/>
                <w:szCs w:val="20"/>
                <w:color w:val="auto"/>
              </w:rPr>
            </w:pPr>
            <w:r>
              <w:rPr>
                <w:rFonts w:ascii="Arial" w:cs="Arial" w:eastAsia="Arial" w:hAnsi="Arial"/>
                <w:sz w:val="18"/>
                <w:szCs w:val="18"/>
                <w:color w:val="auto"/>
              </w:rPr>
              <w:t>2027</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2028</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16"/>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6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185,000</w:t>
            </w:r>
          </w:p>
        </w:tc>
      </w:tr>
      <w:tr>
        <w:trPr>
          <w:trHeight w:val="20"/>
        </w:trPr>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Interest expense related to the Company’s long-term debt, net, is included in interest expense within the unaudited condensed consolidated statements of operations and comprehensive income and consists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7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gridSpan w:val="3"/>
          </w:tcPr>
          <w:p>
            <w:pPr>
              <w:jc w:val="right"/>
              <w:ind w:right="11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740" w:type="dxa"/>
            <w:vAlign w:val="bottom"/>
            <w:gridSpan w:val="3"/>
          </w:tcPr>
          <w:p>
            <w:pPr>
              <w:jc w:val="right"/>
              <w:ind w:right="315"/>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54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on principal balance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4,173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4,791</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$ 12,756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$ 15,900</w:t>
            </w:r>
          </w:p>
        </w:tc>
      </w:tr>
      <w:tr>
        <w:trPr>
          <w:trHeight w:val="203"/>
        </w:trPr>
        <w:tc>
          <w:tcPr>
            <w:tcW w:w="54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2,221</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531</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3,061</w:t>
            </w:r>
          </w:p>
        </w:tc>
      </w:tr>
      <w:tr>
        <w:trPr>
          <w:trHeight w:val="196"/>
        </w:trPr>
        <w:tc>
          <w:tcPr>
            <w:tcW w:w="54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term loan interest expense</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4,348</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7,012</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$ 13,287</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$ 18,961</w:t>
            </w: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LEASES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June 2018, the Company entered into an operating lease for approximately fifteen thousand square feet of office space in Plymouth Meeting, PA, which was set to expire in May 2024. The Company subsequently entered into two separate operating leases for additional office space in Plymouth Meeting, PA, which include approximately thirteen thousand square feet and seven thousand square feet of additional office space, respectively, and were set to expire in May 2024. In March 2024, the Company amended its existing operating leases for office space in Plymouth Meeting to extend their terms through June 2025. The terms of the lease payments provide for rental payments on a monthly basis and on a graduated scale. The Company also leases a fleet of automobiles that are primarily used by its sales force and are classified as operating leases.</w:t>
      </w:r>
    </w:p>
    <w:p>
      <w:pPr>
        <w:spacing w:after="0" w:line="180"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Operating lease right-of-use assets and operating lease liabilities are recognized based on the present value of the future lease payments using our incremental borrowing rate. Leases with an initial term of 12 months or less are not recorded on the balance sheet. Our leases have remaining lease terms of less than 1 year to 3 years, some of which may include the option to extend or terminate the leases.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recorded operating lease costs of $491 and $473 for the three months ended September 30, 2024, and 2023, respectively and $1,622 and $1,295 for the nine months ended September 30, 2024, and 2023, respectively.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September 30, 2024, the weighted-average remaining lease term for operating leases was 1.7 years and the weighted-average discount rate for operating leases was 7.66%.</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20" w:type="dxa"/>
            <w:vAlign w:val="bottom"/>
          </w:tcPr>
          <w:p>
            <w:pPr>
              <w:ind w:left="1420"/>
              <w:spacing w:after="0"/>
              <w:rPr>
                <w:sz w:val="20"/>
                <w:szCs w:val="20"/>
                <w:color w:val="auto"/>
              </w:rPr>
            </w:pPr>
            <w:r>
              <w:rPr>
                <w:rFonts w:ascii="Arial" w:cs="Arial" w:eastAsia="Arial" w:hAnsi="Arial"/>
                <w:sz w:val="14"/>
                <w:szCs w:val="14"/>
                <w:b w:val="1"/>
                <w:bCs w:val="1"/>
                <w:color w:val="auto"/>
              </w:rPr>
              <w:t>Leases</w:t>
            </w:r>
          </w:p>
        </w:tc>
        <w:tc>
          <w:tcPr>
            <w:tcW w:w="2540" w:type="dxa"/>
            <w:vAlign w:val="bottom"/>
          </w:tcPr>
          <w:p>
            <w:pPr>
              <w:ind w:left="84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2024</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32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03"/>
        </w:trPr>
        <w:tc>
          <w:tcPr>
            <w:tcW w:w="32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540" w:type="dxa"/>
            <w:vAlign w:val="bottom"/>
          </w:tcPr>
          <w:p>
            <w:pPr>
              <w:ind w:left="80"/>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2,320</w:t>
            </w:r>
          </w:p>
        </w:tc>
        <w:tc>
          <w:tcPr>
            <w:tcW w:w="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2,344</w:t>
            </w:r>
          </w:p>
        </w:tc>
      </w:tr>
      <w:tr>
        <w:trPr>
          <w:trHeight w:val="203"/>
        </w:trPr>
        <w:tc>
          <w:tcPr>
            <w:tcW w:w="3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2"/>
        </w:trPr>
        <w:tc>
          <w:tcPr>
            <w:tcW w:w="32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540" w:type="dxa"/>
            <w:vAlign w:val="bottom"/>
          </w:tcPr>
          <w:p>
            <w:pPr>
              <w:ind w:left="8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1,532</w:t>
            </w:r>
          </w:p>
        </w:tc>
        <w:tc>
          <w:tcPr>
            <w:tcW w:w="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1,437</w:t>
            </w:r>
          </w:p>
        </w:tc>
      </w:tr>
      <w:tr>
        <w:trPr>
          <w:trHeight w:val="203"/>
        </w:trPr>
        <w:tc>
          <w:tcPr>
            <w:tcW w:w="3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long-term</w:t>
            </w:r>
          </w:p>
        </w:tc>
        <w:tc>
          <w:tcPr>
            <w:tcW w:w="25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1,082</w:t>
            </w:r>
          </w:p>
        </w:tc>
      </w:tr>
      <w:tr>
        <w:trPr>
          <w:trHeight w:val="196"/>
        </w:trPr>
        <w:tc>
          <w:tcPr>
            <w:tcW w:w="322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lease liabilities</w:t>
            </w:r>
          </w:p>
        </w:tc>
        <w:tc>
          <w:tcPr>
            <w:tcW w:w="25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2,519</w:t>
            </w:r>
          </w:p>
        </w:tc>
      </w:tr>
      <w:tr>
        <w:trPr>
          <w:trHeight w:val="20"/>
        </w:trPr>
        <w:tc>
          <w:tcPr>
            <w:tcW w:w="3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2024</w:t>
            </w: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2023</w:t>
            </w:r>
          </w:p>
        </w:tc>
      </w:tr>
      <w:tr>
        <w:trPr>
          <w:trHeight w:val="196"/>
        </w:trPr>
        <w:tc>
          <w:tcPr>
            <w:tcW w:w="5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1,623</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1,448</w:t>
            </w:r>
          </w:p>
        </w:tc>
      </w:tr>
      <w:tr>
        <w:trPr>
          <w:trHeight w:val="239"/>
        </w:trPr>
        <w:tc>
          <w:tcPr>
            <w:tcW w:w="5920" w:type="dxa"/>
            <w:vAlign w:val="bottom"/>
          </w:tcPr>
          <w:p>
            <w:pPr>
              <w:ind w:left="20"/>
              <w:spacing w:after="0"/>
              <w:rPr>
                <w:sz w:val="20"/>
                <w:szCs w:val="20"/>
                <w:color w:val="auto"/>
              </w:rPr>
            </w:pPr>
            <w:r>
              <w:rPr>
                <w:rFonts w:ascii="Arial" w:cs="Arial" w:eastAsia="Arial" w:hAnsi="Arial"/>
                <w:sz w:val="18"/>
                <w:szCs w:val="18"/>
                <w:color w:val="auto"/>
              </w:rPr>
              <w:t>Right of use assets obtained in exchange for operating lease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1,612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1,592</w:t>
            </w:r>
          </w:p>
        </w:tc>
      </w:tr>
    </w:tbl>
    <w:p>
      <w:pPr>
        <w:spacing w:after="0" w:line="323"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Future payments under noncancelable operating leases with initial terms of one year or more as of September 30, 2024,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2024 (excluding the nine months ended September 30, 2024)</w:t>
            </w: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w:t>
            </w:r>
          </w:p>
        </w:tc>
      </w:tr>
      <w:tr>
        <w:trPr>
          <w:trHeight w:val="203"/>
        </w:trPr>
        <w:tc>
          <w:tcPr>
            <w:tcW w:w="7720" w:type="dxa"/>
            <w:vAlign w:val="bottom"/>
          </w:tcPr>
          <w:p>
            <w:pPr>
              <w:ind w:left="120"/>
              <w:spacing w:after="0" w:line="202" w:lineRule="exact"/>
              <w:rPr>
                <w:sz w:val="20"/>
                <w:szCs w:val="20"/>
                <w:color w:val="auto"/>
              </w:rPr>
            </w:pPr>
            <w:r>
              <w:rPr>
                <w:rFonts w:ascii="Arial" w:cs="Arial" w:eastAsia="Arial" w:hAnsi="Arial"/>
                <w:sz w:val="18"/>
                <w:szCs w:val="18"/>
                <w:color w:val="auto"/>
              </w:rPr>
              <w:t>2025</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1,334</w:t>
            </w:r>
          </w:p>
        </w:tc>
      </w:tr>
      <w:tr>
        <w:trPr>
          <w:trHeight w:val="202"/>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w:t>
            </w:r>
          </w:p>
        </w:tc>
      </w:tr>
      <w:tr>
        <w:trPr>
          <w:trHeight w:val="203"/>
        </w:trPr>
        <w:tc>
          <w:tcPr>
            <w:tcW w:w="7720" w:type="dxa"/>
            <w:vAlign w:val="bottom"/>
          </w:tcPr>
          <w:p>
            <w:pPr>
              <w:ind w:left="120"/>
              <w:spacing w:after="0" w:line="202" w:lineRule="exact"/>
              <w:rPr>
                <w:sz w:val="20"/>
                <w:szCs w:val="20"/>
                <w:color w:val="auto"/>
              </w:rPr>
            </w:pPr>
            <w:r>
              <w:rPr>
                <w:rFonts w:ascii="Arial" w:cs="Arial" w:eastAsia="Arial" w:hAnsi="Arial"/>
                <w:sz w:val="18"/>
                <w:szCs w:val="18"/>
                <w:color w:val="auto"/>
              </w:rPr>
              <w:t>2027</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2028</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7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2,547</w:t>
            </w:r>
          </w:p>
        </w:tc>
      </w:tr>
      <w:tr>
        <w:trPr>
          <w:trHeight w:val="216"/>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196"/>
        </w:trPr>
        <w:tc>
          <w:tcPr>
            <w:tcW w:w="7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lease liabilities</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2,395</w:t>
            </w: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COMMITMENTS AND CONTINGENCIES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Legal Proceedings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From time to time, the Company is subject to claims and suits arising in the ordinary course of business. The Company accrues such liabilities when they are known, if they are deemed probable and can be reasonably estimated. Accruals may be adjusted from time to time, as appropriate, in light of new information. The amount of loss incurred in relation to matters for which an accrual has been established may be higher or lower than the amounts accrued. Any expenses, fines, fees, penalties, judgments or settlements that might be incurred by the Company in connection with proceedings could have a material adverse effect on the Company’s results of operations and financial condition. As of September 30, 2024, there were no material claims or suits outstanding.</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Abbreviated New Drug Application (“ANDA”) Litigation</w:t>
      </w:r>
    </w:p>
    <w:p>
      <w:pPr>
        <w:spacing w:after="0" w:line="198"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 xml:space="preserve">On September 27, 2023, the Company and its licensor, Bioprojet, received notice from Lupin Limited (“Lupin”)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“Lupin Notice Letter”) that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2" w:lineRule="auto"/>
        <w:rPr>
          <w:sz w:val="20"/>
          <w:szCs w:val="20"/>
          <w:color w:val="auto"/>
        </w:rPr>
      </w:pPr>
      <w:r>
        <w:rPr>
          <w:rFonts w:ascii="Arial" w:cs="Arial" w:eastAsia="Arial" w:hAnsi="Arial"/>
          <w:sz w:val="18"/>
          <w:szCs w:val="18"/>
          <w:color w:val="auto"/>
        </w:rPr>
        <w:t>Lupin has submitted ANDA No. 218846 (the “Lupin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before the expiration of U.S. Patent Nos. 8,486,947 (“’947 patent”) and 8,207,197 (“’197 patent”). On September 27, 2023, the Company and Bioprojet received notice from Novugen Pharma Sdn. Bhd. (“Novugen”)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“Novugen Notice Letter”) that Novugen has submitted ANDA No. 218834 (the “Novugen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before the expiration of the ’947 patent and ’197 patent. The ’947 patent and the ‘197 patent are listed with respect to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in the FDA’s Orange Book and will expire in September 2029 and March 2030, respectively. The Lupin Notice Letter and the Novugen Notice Letter assert that their generic product will not infringe the ’947 patent and the ‘197 patent and/or that the ’947 patent and the ‘197 patent are invalid or unenforceable. On November 9, 2023, we, Bioprojet and Bioprojet’s wholly owned subsidiary, Bioprojet Pharma SAS (“Bioprojet Pharma”), filed a complaint for patent infringement of the ’947 patent and the ‘197 patent against Lupin, Novugen and certain of their affiliates and agents in the United States District Court for the District of Delaware in response to the filing of their respective ANDAs with the FDA.</w:t>
      </w:r>
    </w:p>
    <w:p>
      <w:pPr>
        <w:spacing w:after="0" w:line="183" w:lineRule="exact"/>
        <w:rPr>
          <w:sz w:val="20"/>
          <w:szCs w:val="20"/>
          <w:color w:val="auto"/>
        </w:rPr>
      </w:pPr>
    </w:p>
    <w:p>
      <w:pPr>
        <w:jc w:val="both"/>
        <w:ind w:left="60" w:right="59" w:firstLine="648"/>
        <w:spacing w:after="0" w:line="231" w:lineRule="auto"/>
        <w:rPr>
          <w:sz w:val="20"/>
          <w:szCs w:val="20"/>
          <w:color w:val="auto"/>
        </w:rPr>
      </w:pPr>
      <w:r>
        <w:rPr>
          <w:rFonts w:ascii="Arial" w:cs="Arial" w:eastAsia="Arial" w:hAnsi="Arial"/>
          <w:sz w:val="18"/>
          <w:szCs w:val="18"/>
          <w:color w:val="auto"/>
        </w:rPr>
        <w:t xml:space="preserve">On October 12, 2023, the Company and Bioprojet received notice from Novitium Pharma LLC (“Novitium”),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“Novitium Notice Letter”), that Novitium has submitted ANDA No. 218495 (the “Novitium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before the expiration of U.S. Patent No. 8,354,430 (the “’430 patent”), which is also listed with respect to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in the FDA’s Orange Book and will expire in February 2026, ’947 patent, and ’197 patent. On October 12, 2023, the Company and Bioprojet received notice from Zenara Pharma Pvt. Ltd. (“Zenara”),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seq. </w:t>
      </w:r>
      <w:r>
        <w:rPr>
          <w:rFonts w:ascii="Arial" w:cs="Arial" w:eastAsia="Arial" w:hAnsi="Arial"/>
          <w:sz w:val="18"/>
          <w:szCs w:val="18"/>
          <w:color w:val="auto"/>
        </w:rPr>
        <w:t>(the “Zenara Notice Letter”), that Zenara has submitted ANDA No. 218796 (the “Zenara ANDA”)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before the expiration of the ’430 patent, ’947 patent and the ’197 patent. On October 14, 2023, the Company and Bioprojet received notice from AET Pharma US, Inc. (“AET”),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“AET Notice Letter”), that AET has submitted ANDA No. 218892 (the “AET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before the expiration of the ’947 patent and the ’197 patent. On October 16, 2023, the Company and Bioprojet received notice from Annora Pharma Private Limited (“Annora”),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“Annora Notice Letter”), that Annora has submitted ANDA No. 218832 (the “Annora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before the expiration of the ’430 patent, the ’947 patent and the ’197 patent. AET’s Notice Letter asserts that AET’s generic product will not infringe the ’947 patent and the ‘197 patent and/or that ’947 patent and the ‘197 patent are invalid or unenforceable. The Annora Notice Letter asserts that its generic product will not infringe the ‘430 patent, ’947 patent and the ‘197 patent and/or that the ‘430 patent, ’947 patent and the ‘197 patent are invalid or unenforceable. The Novitium Notice Letter asserts that its generic product will not infringe the ‘430 patent, ’947 patent and the ‘197 patent and/or that the ‘430 patent, ’947 patent and the ‘197 patent are invalid or unenforceable. The Zenara Notice Letter asserts that its generic product will not infringe the ‘430 patent, ’947 patent and the ‘197 patent and/or that the ‘430 patent, ’947 patent and the ‘197 patent are invalid or unenforceable. On November 21, 2023, the Company, Bioprojet and Bioprojet Pharma filed a complaint for patent infringement of the ’947 patent and the ‘197 patent against AET, Annora, Novitium and Zenara and certain of their affiliates and agents and for patent infringement of the ’430 patent against Annora, Novitium and Zenara and certain of their affiliates and agents in the United States District Court for the District of Delaware in response to their filing of their respective ANDAs with the FDA.</w:t>
      </w:r>
    </w:p>
    <w:p>
      <w:pPr>
        <w:spacing w:after="0" w:line="200"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8"/>
          <w:szCs w:val="18"/>
          <w:color w:val="auto"/>
        </w:rPr>
        <w:t>In October 2023, MSN Pharmaceuticals Inc. (“MSN Pharma”) sent correspondence to the Company and Bioprojet stating that MSN Pharma has submitted ANDA No. 218873 (the “MSN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20"/>
          <w:szCs w:val="20"/>
          <w:color w:val="auto"/>
          <w:vertAlign w:val="subscript"/>
        </w:rPr>
        <w:t>.</w:t>
      </w:r>
      <w:r>
        <w:rPr>
          <w:rFonts w:ascii="Arial" w:cs="Arial" w:eastAsia="Arial" w:hAnsi="Arial"/>
          <w:sz w:val="18"/>
          <w:szCs w:val="18"/>
          <w:color w:val="auto"/>
        </w:rPr>
        <w:t xml:space="preserve"> On December 8, 2023, MSN Laboratories Private Limited (“MSN”) filed a declaratory judgment action in the United States District Court for the Eastern District of Virginia against Bioprojet claiming that the ‘430 patent, the ’947 patent and the ‘197 patent will not be infringed by MSN’s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and that the ‘947 patent is invalid. On December 11, 2023, we, Bioprojet and Bioprojet Pharma filed a complaint in the United States District Court for the District of Delaware for patent infringement of the ‘430 patent, the ’947 patent and the ‘197 patent against MSN and MSN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Pharma. On January 12, 2024, the declaratory judgment action was transferred from the United States District Court for the Eastern District of Virginia to the United States District Court for the District of Delaware.</w:t>
      </w:r>
    </w:p>
    <w:p>
      <w:pPr>
        <w:spacing w:after="0" w:line="15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On April 15, 2024, the United States District Court for the District of Delaware issued a scheduling order consolidating the cases described above for all purposes up to and including trial (the “Scheduling Order”). The Scheduling Order set March 27, 2025, as the date for the hearing on claim construction and scheduled a four-day bench trial beginning on February 17, 2026.</w:t>
      </w:r>
    </w:p>
    <w:p>
      <w:pPr>
        <w:spacing w:after="0" w:line="17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resolution of one or more of these matters against the Company could have a significant negative effect on the Company’s results of operations.</w:t>
      </w:r>
    </w:p>
    <w:p>
      <w:pPr>
        <w:spacing w:after="0" w:line="167" w:lineRule="exact"/>
        <w:rPr>
          <w:sz w:val="20"/>
          <w:szCs w:val="20"/>
          <w:color w:val="auto"/>
        </w:rPr>
      </w:pPr>
    </w:p>
    <w:p>
      <w:pPr>
        <w:ind w:left="700" w:right="6399" w:hanging="650"/>
        <w:spacing w:after="0" w:line="513" w:lineRule="auto"/>
        <w:tabs>
          <w:tab w:leader="none" w:pos="352"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1"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 Program</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August 2023, the Company’s Board of Directors approved a program providing for the repurchase of shares of common stock in an aggregate amount of up to $125,000, excluding commissions and transaction fees (the “August 2023 Repurchase Program”). During the three and nine months ended September 30, 2023, the Company repurchased and cancelled 1,439,792 shares of common stock at an aggregate cost of $50,000, exclusive of commissions and transaction fees.</w:t>
      </w:r>
    </w:p>
    <w:p>
      <w:pPr>
        <w:spacing w:after="0" w:line="1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October 2023, the Company’s Board of Directors terminated the August 2023 Repurchase Program and any remaining amount authorized for the repurchase of shares and simultaneously approved a new share repurchase program (the “October 2023 Repurchase Program”) providing for the repurchase of shares of common stock in an aggregate amount of up to $200,000, excluding commissions and transaction fees. The October 2023 Repurchase Program may be suspended, terminated, or modified at any time for any reason. During the three and nine months ended September 30, 2024, and 2023, no shares of common stock were repurchased and cancelled by the Company under the October 2023 Repurchase Program. As of September 30, 2024, the remaining amount of common stock authorized for repurchases was $150,000.</w:t>
      </w:r>
    </w:p>
    <w:p>
      <w:pPr>
        <w:spacing w:after="0" w:line="180" w:lineRule="exact"/>
        <w:rPr>
          <w:sz w:val="20"/>
          <w:szCs w:val="20"/>
          <w:color w:val="auto"/>
        </w:rPr>
      </w:pPr>
    </w:p>
    <w:p>
      <w:pPr>
        <w:ind w:left="700" w:right="3179" w:hanging="650"/>
        <w:spacing w:after="0" w:line="485" w:lineRule="auto"/>
        <w:tabs>
          <w:tab w:leader="none" w:pos="3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 AND STOCK-BASED COMPENSATION 2020 Stock Incentive Plan</w:t>
      </w:r>
    </w:p>
    <w:p>
      <w:pPr>
        <w:jc w:val="both"/>
        <w:ind w:left="60" w:right="59" w:firstLine="648"/>
        <w:spacing w:after="0" w:line="242" w:lineRule="auto"/>
        <w:rPr>
          <w:sz w:val="20"/>
          <w:szCs w:val="20"/>
          <w:color w:val="auto"/>
        </w:rPr>
      </w:pPr>
      <w:r>
        <w:rPr>
          <w:rFonts w:ascii="Arial" w:cs="Arial" w:eastAsia="Arial" w:hAnsi="Arial"/>
          <w:sz w:val="18"/>
          <w:szCs w:val="18"/>
          <w:color w:val="auto"/>
        </w:rPr>
        <w:t>In August 2020, the Company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 options, including incentive stock options (“ISOs”) and non-qualified stock options (“NSOs”), SARs, restricted stock, dividend equivalents, restricted stock units (“RSUs”) and other stock or cash-based awards.</w:t>
      </w:r>
    </w:p>
    <w:p>
      <w:pPr>
        <w:spacing w:after="0" w:line="17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Stock options and stock appreciation rights under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w:t>
      </w:r>
    </w:p>
    <w:p>
      <w:pPr>
        <w:sectPr>
          <w:pgSz w:w="11900" w:h="16838" w:orient="portrait"/>
          <w:cols w:equalWidth="0" w:num="1">
            <w:col w:w="9019"/>
          </w:cols>
          <w:pgMar w:left="1440" w:top="512"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control (as defined in the applicable plan). As of September 30, 2024, there were 6,836,036 shares of common stock available for issuance under the 2020 Plan. The number of shares that may be issued under the 2020 Plan automatically increases on January 1 of each year in an amount equal to the lesser of (i) 4.0% of the shares of the Company’s common stock outstanding on December 31 of the preceding year or (ii) an amount determined by the Company’s board of directors.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2017 Stock Incentive Plan</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August 2017, the Company adopted an equity incentive plan (the “2017 Plan”). Under the 2017 Plan, directors, officers, employees, consultants, and advisors of the Company can be paid incentive compensation measured by the value of the Company’s shares of common stock through grants of stock options, stock appreciation rights (“SARs”), or restricted stock. Following the adoption of the 2020 Plan, no further grants have been, or will be, made under the 2017 Plan. However, the 2017 Plan will continue to govern the terms and conditions of outstanding awards granted under it.</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stock option activity for the nine months ended September 30, 2024:</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Average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74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Exercise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474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Awards</w:t>
            </w:r>
          </w:p>
        </w:tc>
        <w:tc>
          <w:tcPr>
            <w:tcW w:w="12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r>
      <w:tr>
        <w:trPr>
          <w:trHeight w:val="196"/>
        </w:trPr>
        <w:tc>
          <w:tcPr>
            <w:tcW w:w="47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2023</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6,316,422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32.47</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7.17</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1,361,346</w:t>
            </w:r>
          </w:p>
        </w:tc>
        <w:tc>
          <w:tcPr>
            <w:tcW w:w="1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30.66</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(178,611)</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16.60</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(86,394)</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34.90</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47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outstanding—September 30, 2024</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7,412,763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6.92</w:t>
            </w:r>
          </w:p>
        </w:tc>
        <w:tc>
          <w:tcPr>
            <w:tcW w:w="2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72,791</w:t>
            </w:r>
          </w:p>
        </w:tc>
      </w:tr>
      <w:tr>
        <w:trPr>
          <w:trHeight w:val="20"/>
        </w:trPr>
        <w:tc>
          <w:tcPr>
            <w:tcW w:w="4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4740" w:type="dxa"/>
            <w:vAlign w:val="bottom"/>
          </w:tcPr>
          <w:p>
            <w:pPr>
              <w:ind w:left="20"/>
              <w:spacing w:after="0" w:line="183" w:lineRule="exact"/>
              <w:rPr>
                <w:sz w:val="20"/>
                <w:szCs w:val="20"/>
                <w:color w:val="auto"/>
              </w:rPr>
            </w:pPr>
            <w:r>
              <w:rPr>
                <w:rFonts w:ascii="Arial" w:cs="Arial" w:eastAsia="Arial" w:hAnsi="Arial"/>
                <w:sz w:val="18"/>
                <w:szCs w:val="18"/>
                <w:color w:val="auto"/>
              </w:rPr>
              <w:t>Awards exercisable—September 30, 2024</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4,324,302</w:t>
            </w:r>
          </w:p>
        </w:tc>
        <w:tc>
          <w:tcPr>
            <w:tcW w:w="160" w:type="dxa"/>
            <w:vAlign w:val="bottom"/>
          </w:tcPr>
          <w:p>
            <w:pPr>
              <w:spacing w:after="0"/>
              <w:rPr>
                <w:sz w:val="15"/>
                <w:szCs w:val="15"/>
                <w:color w:val="auto"/>
              </w:rPr>
            </w:pPr>
          </w:p>
        </w:tc>
        <w:tc>
          <w:tcPr>
            <w:tcW w:w="120" w:type="dxa"/>
            <w:vAlign w:val="bottom"/>
          </w:tcPr>
          <w:p>
            <w:pPr>
              <w:spacing w:after="0" w:line="183"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30.63</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6.00</w:t>
            </w:r>
          </w:p>
        </w:tc>
        <w:tc>
          <w:tcPr>
            <w:tcW w:w="2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49,434</w:t>
            </w:r>
          </w:p>
        </w:tc>
      </w:tr>
      <w:tr>
        <w:trPr>
          <w:trHeight w:val="20"/>
        </w:trPr>
        <w:tc>
          <w:tcPr>
            <w:tcW w:w="4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Appreciation Rights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SARs activity for the nine months ended September 30, 2024:</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Average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9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Exercise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4940" w:type="dxa"/>
            <w:vAlign w:val="bottom"/>
          </w:tcPr>
          <w:p>
            <w:pPr>
              <w:spacing w:after="0"/>
              <w:rPr>
                <w:sz w:val="14"/>
                <w:szCs w:val="14"/>
                <w:color w:val="auto"/>
              </w:rPr>
            </w:pPr>
          </w:p>
        </w:tc>
        <w:tc>
          <w:tcPr>
            <w:tcW w:w="760" w:type="dxa"/>
            <w:vAlign w:val="bottom"/>
          </w:tcPr>
          <w:p>
            <w:pPr>
              <w:jc w:val="right"/>
              <w:ind w:right="35"/>
              <w:spacing w:after="0"/>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r>
      <w:tr>
        <w:trPr>
          <w:trHeight w:val="196"/>
        </w:trPr>
        <w:tc>
          <w:tcPr>
            <w:tcW w:w="49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2023</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5.32</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49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ind w:left="16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r>
      <w:tr>
        <w:trPr>
          <w:trHeight w:val="196"/>
        </w:trPr>
        <w:tc>
          <w:tcPr>
            <w:tcW w:w="49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outstanding—September 30, 2024</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280" w:type="dxa"/>
            <w:vAlign w:val="bottom"/>
            <w:tcBorders>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4.57</w:t>
            </w:r>
          </w:p>
        </w:tc>
        <w:tc>
          <w:tcPr>
            <w:tcW w:w="2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976</w:t>
            </w:r>
          </w:p>
        </w:tc>
      </w:tr>
      <w:tr>
        <w:trPr>
          <w:trHeight w:val="20"/>
        </w:trPr>
        <w:tc>
          <w:tcPr>
            <w:tcW w:w="4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4940" w:type="dxa"/>
            <w:vAlign w:val="bottom"/>
          </w:tcPr>
          <w:p>
            <w:pPr>
              <w:ind w:left="20"/>
              <w:spacing w:after="0" w:line="183" w:lineRule="exact"/>
              <w:rPr>
                <w:sz w:val="20"/>
                <w:szCs w:val="20"/>
                <w:color w:val="auto"/>
              </w:rPr>
            </w:pPr>
            <w:r>
              <w:rPr>
                <w:rFonts w:ascii="Arial" w:cs="Arial" w:eastAsia="Arial" w:hAnsi="Arial"/>
                <w:sz w:val="18"/>
                <w:szCs w:val="18"/>
                <w:color w:val="auto"/>
              </w:rPr>
              <w:t>Awards exercisable—September 30, 2024</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41,382</w:t>
            </w:r>
          </w:p>
        </w:tc>
        <w:tc>
          <w:tcPr>
            <w:tcW w:w="280" w:type="dxa"/>
            <w:vAlign w:val="bottom"/>
            <w:gridSpan w:val="2"/>
          </w:tcPr>
          <w:p>
            <w:pPr>
              <w:ind w:left="160"/>
              <w:spacing w:after="0" w:line="183"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9.19</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4.52</w:t>
            </w:r>
          </w:p>
        </w:tc>
        <w:tc>
          <w:tcPr>
            <w:tcW w:w="2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948</w:t>
            </w:r>
          </w:p>
        </w:tc>
      </w:tr>
      <w:tr>
        <w:trPr>
          <w:trHeight w:val="20"/>
        </w:trPr>
        <w:tc>
          <w:tcPr>
            <w:tcW w:w="4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Restricted Stock Units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RSU activity for the nine months ended September 30, 2024:</w:t>
      </w: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b w:val="1"/>
                <w:bCs w:val="1"/>
                <w:color w:val="auto"/>
                <w:w w:val="97"/>
              </w:rPr>
              <w:t>Average</w:t>
            </w:r>
          </w:p>
        </w:tc>
      </w:tr>
      <w:tr>
        <w:trPr>
          <w:trHeight w:val="162"/>
        </w:trPr>
        <w:tc>
          <w:tcPr>
            <w:tcW w:w="682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Grant Date</w:t>
            </w:r>
          </w:p>
        </w:tc>
      </w:tr>
      <w:tr>
        <w:trPr>
          <w:trHeight w:val="171"/>
        </w:trPr>
        <w:tc>
          <w:tcPr>
            <w:tcW w:w="68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Awards</w:t>
            </w:r>
          </w:p>
        </w:tc>
        <w:tc>
          <w:tcPr>
            <w:tcW w:w="1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2023</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330,000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31.53</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464,600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30.62</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vested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(135,000)</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31.47</w:t>
            </w:r>
          </w:p>
        </w:tc>
      </w:tr>
      <w:tr>
        <w:trPr>
          <w:trHeight w:val="203"/>
        </w:trPr>
        <w:tc>
          <w:tcPr>
            <w:tcW w:w="68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(13,200)</w:t>
            </w:r>
          </w:p>
        </w:tc>
        <w:tc>
          <w:tcPr>
            <w:tcW w:w="30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30.69</w:t>
            </w:r>
          </w:p>
        </w:tc>
      </w:tr>
      <w:tr>
        <w:trPr>
          <w:trHeight w:val="196"/>
        </w:trPr>
        <w:tc>
          <w:tcPr>
            <w:tcW w:w="6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outstanding—September 30, 2024</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646,400</w:t>
            </w:r>
          </w:p>
        </w:tc>
        <w:tc>
          <w:tcPr>
            <w:tcW w:w="3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30.90</w:t>
            </w:r>
          </w:p>
        </w:tc>
      </w:tr>
      <w:tr>
        <w:trPr>
          <w:trHeight w:val="20"/>
        </w:trPr>
        <w:tc>
          <w:tcPr>
            <w:tcW w:w="6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Stock Options and SARs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 values options and SARs using the Black-Scholes option-pricing model. The Company lacks sufficient historical company-specific volatility information. Therefore, the Company estimates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An expected dividend yield of 0% is based on the fact that the Company has never paid cash dividends and does not expect to do so in the foreseeable future.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37"/>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46"/>
        </w:trPr>
        <w:tc>
          <w:tcPr>
            <w:tcW w:w="6100" w:type="dxa"/>
            <w:vAlign w:val="bottom"/>
          </w:tcPr>
          <w:p>
            <w:pPr>
              <w:spacing w:after="0"/>
              <w:rPr>
                <w:sz w:val="12"/>
                <w:szCs w:val="12"/>
                <w:color w:val="auto"/>
              </w:rPr>
            </w:pPr>
          </w:p>
        </w:tc>
        <w:tc>
          <w:tcPr>
            <w:tcW w:w="1460" w:type="dxa"/>
            <w:vAlign w:val="bottom"/>
            <w:gridSpan w:val="2"/>
          </w:tcPr>
          <w:p>
            <w:pPr>
              <w:jc w:val="right"/>
              <w:ind w:right="319"/>
              <w:spacing w:after="0" w:line="147"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3"/>
          </w:tcPr>
          <w:p>
            <w:pPr>
              <w:jc w:val="right"/>
              <w:ind w:right="210"/>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6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r>
      <w:tr>
        <w:trPr>
          <w:trHeight w:val="196"/>
        </w:trPr>
        <w:tc>
          <w:tcPr>
            <w:tcW w:w="6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Dividend yield</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87"/>
              </w:rPr>
              <w:t>%</w:t>
            </w: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46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69.84 - 72.98 %</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74.87</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- 80.78 %</w:t>
            </w:r>
          </w:p>
        </w:tc>
      </w:tr>
      <w:tr>
        <w:trPr>
          <w:trHeight w:val="203"/>
        </w:trPr>
        <w:tc>
          <w:tcPr>
            <w:tcW w:w="6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46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3.51 - 4.65 %</w:t>
            </w:r>
          </w:p>
        </w:tc>
        <w:tc>
          <w:tcPr>
            <w:tcW w:w="13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3.42 - 4.62 %</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Lack of marketability discount</w:t>
            </w:r>
          </w:p>
        </w:tc>
        <w:tc>
          <w:tcPr>
            <w:tcW w:w="146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0.00 %</w:t>
            </w:r>
          </w:p>
        </w:tc>
        <w:tc>
          <w:tcPr>
            <w:tcW w:w="5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0.00 %</w:t>
            </w:r>
          </w:p>
        </w:tc>
      </w:tr>
      <w:tr>
        <w:trPr>
          <w:trHeight w:val="203"/>
        </w:trPr>
        <w:tc>
          <w:tcPr>
            <w:tcW w:w="6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1.92 - 6.11</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- 10.77</w:t>
            </w:r>
          </w:p>
        </w:tc>
        <w:tc>
          <w:tcPr>
            <w:tcW w:w="160" w:type="dxa"/>
            <w:vAlign w:val="bottom"/>
            <w:shd w:val="clear" w:color="auto" w:fill="CCEEFF"/>
          </w:tcPr>
          <w:p>
            <w:pPr>
              <w:spacing w:after="0"/>
              <w:rPr>
                <w:sz w:val="17"/>
                <w:szCs w:val="17"/>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RSUs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fair value of RSUs is equal to the value of the Company’s common stock on the grant date.</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weighted average per share fair value of awards issued under the 2017 Plan and 2020 Plan was $21.25 and $20.64 on September 30, 2024, and December 31, 2023, respectively.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Stock-based compensation expense for the three and nine months ended September 30, 2024, and 2023, was recorded in the unaudited condensed consolidated statements of operations and comprehensive income in the following line items: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7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540" w:type="dxa"/>
            <w:vAlign w:val="bottom"/>
            <w:gridSpan w:val="5"/>
          </w:tcPr>
          <w:p>
            <w:pPr>
              <w:jc w:val="right"/>
              <w:ind w:right="14"/>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6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3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 expense</w:t>
            </w:r>
          </w:p>
        </w:tc>
        <w:tc>
          <w:tcPr>
            <w:tcW w:w="2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1,910</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1,030</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4,964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2,962</w:t>
            </w: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 expense</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1,815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1,218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5,909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3,437</w:t>
            </w:r>
          </w:p>
        </w:tc>
      </w:tr>
      <w:tr>
        <w:trPr>
          <w:trHeight w:val="203"/>
        </w:trPr>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 expense</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7,723</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5,709</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21,972</w:t>
            </w:r>
          </w:p>
        </w:tc>
        <w:tc>
          <w:tcPr>
            <w:tcW w:w="2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15,912</w:t>
            </w:r>
          </w:p>
        </w:tc>
      </w:tr>
      <w:tr>
        <w:trPr>
          <w:trHeight w:val="196"/>
        </w:trPr>
        <w:tc>
          <w:tcPr>
            <w:tcW w:w="3600" w:type="dxa"/>
            <w:vAlign w:val="bottom"/>
          </w:tcPr>
          <w:p>
            <w:pPr>
              <w:spacing w:after="0"/>
              <w:rPr>
                <w:sz w:val="17"/>
                <w:szCs w:val="17"/>
                <w:color w:val="auto"/>
              </w:rPr>
            </w:pPr>
          </w:p>
        </w:tc>
        <w:tc>
          <w:tcPr>
            <w:tcW w:w="26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11,448</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7,957</w:t>
            </w:r>
          </w:p>
        </w:tc>
        <w:tc>
          <w:tcPr>
            <w:tcW w:w="160" w:type="dxa"/>
            <w:vAlign w:val="bottom"/>
          </w:tcPr>
          <w:p>
            <w:pPr>
              <w:spacing w:after="0"/>
              <w:rPr>
                <w:sz w:val="17"/>
                <w:szCs w:val="17"/>
                <w:color w:val="auto"/>
              </w:rPr>
            </w:pPr>
          </w:p>
        </w:tc>
        <w:tc>
          <w:tcPr>
            <w:tcW w:w="300" w:type="dxa"/>
            <w:vAlign w:val="bottom"/>
            <w:tcBorders>
              <w:bottom w:val="single" w:sz="8" w:color="auto"/>
            </w:tcBorders>
          </w:tcPr>
          <w:p>
            <w:pPr>
              <w:jc w:val="right"/>
              <w:ind w:right="116"/>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32,845</w:t>
            </w:r>
          </w:p>
        </w:tc>
        <w:tc>
          <w:tcPr>
            <w:tcW w:w="2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22,311</w:t>
            </w:r>
          </w:p>
        </w:tc>
      </w:tr>
      <w:tr>
        <w:trPr>
          <w:trHeight w:val="20"/>
        </w:trPr>
        <w:tc>
          <w:tcPr>
            <w:tcW w:w="3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Stock-based compensation expense related to options and RSUs issued under the 2017 Plan and 2020 Plan is included in stockholder’s equity, and a liability for SARs is included in other non-current liabilities, in the Company’s unaudited condensed consolidated balance sheet. As of September 30, 2024, the total unrecognized stock-based compensation expense was $59,799 and $17,533 for stock options and RSUs, respectively. This amount will be recognized in the Company’s consolidated statement of operations over a weighted average period of 2.4 years.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7"/>
          <w:szCs w:val="17"/>
          <w:color w:val="auto"/>
        </w:rPr>
        <w:t>The 2020 Employee Stock Purchase Plan (“ESPP”) was adopted by the Company’s Board of Directors on April 30,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automatically increases on January 1 of each year in an amount equal to the lesser of (i) 1.0% of the shares of the Company’s common stock outstanding on December 31 of the preceding year or (ii) an amount determined by the Company’s board of directors. It is intended that the ESPP meet the requirements for an “employee stock purchase plan” under Section 423 of the Internal Revenue Code. There were 1,206 and 0 shares issued under the ESPP for the three months ended September 30, 2024, and 2023, respectively. There were 11,913 and 14,043 shares issued under the ESPP for the nine months ended September 30, 2024, and 2023, respectively. The discount on the ESPP was $72 and $100 for the three months ended September 30, 2024, and 2023, respectively, and $230 and $ 308 for the nine months ended September 30, 2024, and 2023, respectively, and is recorded within stock-based compensation expense.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EARNINGS PER SHARE</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Basic earnings per share is calculated by dividing net income by the weighted average number of shares of common stock outstanding. Diluted net income per share of common is computed under the treasury stock method by using the weighted average number of shares of common stock outstanding, plus, for periods with net income, the potential dilutive effects of stock options, stock appreciation rights and restricted stock units.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4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3440" w:type="dxa"/>
            <w:vAlign w:val="bottom"/>
          </w:tcPr>
          <w:p>
            <w:pPr>
              <w:ind w:left="100"/>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46,093</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38,461</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96,018</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102,246</w:t>
            </w: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84"/>
        </w:trPr>
        <w:tc>
          <w:tcPr>
            <w:tcW w:w="3440" w:type="dxa"/>
            <w:vAlign w:val="bottom"/>
          </w:tcPr>
          <w:p>
            <w:pPr>
              <w:ind w:left="100"/>
              <w:spacing w:after="0" w:line="183" w:lineRule="exact"/>
              <w:rPr>
                <w:sz w:val="20"/>
                <w:szCs w:val="20"/>
                <w:color w:val="auto"/>
              </w:rPr>
            </w:pPr>
            <w:r>
              <w:rPr>
                <w:rFonts w:ascii="Arial" w:cs="Arial" w:eastAsia="Arial" w:hAnsi="Arial"/>
                <w:sz w:val="18"/>
                <w:szCs w:val="18"/>
                <w:color w:val="auto"/>
              </w:rPr>
              <w:t>Net income per share of common stock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1"/>
        </w:trPr>
        <w:tc>
          <w:tcPr>
            <w:tcW w:w="3440" w:type="dxa"/>
            <w:vAlign w:val="bottom"/>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1.69</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184"/>
        </w:trPr>
        <w:tc>
          <w:tcPr>
            <w:tcW w:w="344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Net income per share of common stock-</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21"/>
        </w:trPr>
        <w:tc>
          <w:tcPr>
            <w:tcW w:w="3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184"/>
        </w:trPr>
        <w:tc>
          <w:tcPr>
            <w:tcW w:w="3440" w:type="dxa"/>
            <w:vAlign w:val="bottom"/>
          </w:tcPr>
          <w:p>
            <w:pPr>
              <w:ind w:left="100"/>
              <w:spacing w:after="0" w:line="183" w:lineRule="exact"/>
              <w:rPr>
                <w:sz w:val="20"/>
                <w:szCs w:val="20"/>
                <w:color w:val="auto"/>
              </w:rPr>
            </w:pPr>
            <w:r>
              <w:rPr>
                <w:rFonts w:ascii="Arial" w:cs="Arial" w:eastAsia="Arial" w:hAnsi="Arial"/>
                <w:sz w:val="18"/>
                <w:szCs w:val="18"/>
                <w:color w:val="auto"/>
              </w:rPr>
              <w:t>Weighted average number of shares of</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1"/>
        </w:trPr>
        <w:tc>
          <w:tcPr>
            <w:tcW w:w="3440" w:type="dxa"/>
            <w:vAlign w:val="bottom"/>
          </w:tcPr>
          <w:p>
            <w:pPr>
              <w:ind w:left="100"/>
              <w:spacing w:after="0"/>
              <w:rPr>
                <w:sz w:val="20"/>
                <w:szCs w:val="20"/>
                <w:color w:val="auto"/>
              </w:rPr>
            </w:pPr>
            <w:r>
              <w:rPr>
                <w:rFonts w:ascii="Arial" w:cs="Arial" w:eastAsia="Arial" w:hAnsi="Arial"/>
                <w:sz w:val="18"/>
                <w:szCs w:val="18"/>
                <w:color w:val="auto"/>
              </w:rPr>
              <w:t>common stock - basic</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56,870,234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59,863,102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56,815,167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59,856,941</w:t>
            </w:r>
          </w:p>
        </w:tc>
      </w:tr>
      <w:tr>
        <w:trPr>
          <w:trHeight w:val="184"/>
        </w:trPr>
        <w:tc>
          <w:tcPr>
            <w:tcW w:w="344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Weighted average number of shares of</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21"/>
        </w:trPr>
        <w:tc>
          <w:tcPr>
            <w:tcW w:w="3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 - diluted</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58,103,963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60,681,676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57,754,016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60,892,992</w:t>
            </w:r>
          </w:p>
        </w:tc>
      </w:tr>
    </w:tbl>
    <w:p>
      <w:pPr>
        <w:spacing w:after="0" w:line="184" w:lineRule="exact"/>
        <w:rPr>
          <w:sz w:val="20"/>
          <w:szCs w:val="20"/>
          <w:color w:val="auto"/>
        </w:rPr>
      </w:pPr>
    </w:p>
    <w:p>
      <w:pPr>
        <w:jc w:val="both"/>
        <w:ind w:left="60" w:right="320" w:firstLine="648"/>
        <w:spacing w:after="0" w:line="271" w:lineRule="auto"/>
        <w:rPr>
          <w:sz w:val="20"/>
          <w:szCs w:val="20"/>
          <w:color w:val="auto"/>
        </w:rPr>
      </w:pPr>
      <w:r>
        <w:rPr>
          <w:rFonts w:ascii="Arial" w:cs="Arial" w:eastAsia="Arial" w:hAnsi="Arial"/>
          <w:sz w:val="18"/>
          <w:szCs w:val="18"/>
          <w:color w:val="auto"/>
        </w:rPr>
        <w:t>Securities outstanding that were included in the computation above, utilizing the treasury stock method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66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4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78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ind w:left="400"/>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ind w:left="380"/>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2023</w:t>
            </w:r>
          </w:p>
        </w:tc>
      </w:tr>
      <w:tr>
        <w:trPr>
          <w:trHeight w:val="164"/>
        </w:trPr>
        <w:tc>
          <w:tcPr>
            <w:tcW w:w="378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Stock options, SARs, and RSUs to purchase</w:t>
            </w: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21"/>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1,233,729</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818,574</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938,849</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1,036,051</w:t>
            </w:r>
          </w:p>
        </w:tc>
      </w:tr>
    </w:tbl>
    <w:p>
      <w:pPr>
        <w:spacing w:after="0" w:line="184" w:lineRule="exact"/>
        <w:rPr>
          <w:sz w:val="20"/>
          <w:szCs w:val="20"/>
          <w:color w:val="auto"/>
        </w:rPr>
      </w:pPr>
    </w:p>
    <w:p>
      <w:pPr>
        <w:jc w:val="both"/>
        <w:ind w:left="60" w:right="340" w:firstLine="648"/>
        <w:spacing w:after="0" w:line="271" w:lineRule="auto"/>
        <w:rPr>
          <w:sz w:val="20"/>
          <w:szCs w:val="20"/>
          <w:color w:val="auto"/>
        </w:rPr>
      </w:pPr>
      <w:r>
        <w:rPr>
          <w:rFonts w:ascii="Arial" w:cs="Arial" w:eastAsia="Arial" w:hAnsi="Arial"/>
          <w:sz w:val="18"/>
          <w:szCs w:val="18"/>
          <w:color w:val="auto"/>
        </w:rPr>
        <w:t>Potential shares of common stock issuable that were excluded from the computation of diluted weighted-average shares outstanding excluded from the numerator,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6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 September 30,</w:t>
            </w:r>
          </w:p>
        </w:tc>
        <w:tc>
          <w:tcPr>
            <w:tcW w:w="26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92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top w:val="single" w:sz="8" w:color="auto"/>
              <w:bottom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22"/>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top w:val="single" w:sz="8" w:color="auto"/>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2023</w:t>
            </w:r>
          </w:p>
        </w:tc>
      </w:tr>
      <w:tr>
        <w:trPr>
          <w:trHeight w:val="164"/>
        </w:trPr>
        <w:tc>
          <w:tcPr>
            <w:tcW w:w="392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Stock options, SARs, and RSUs to purchase</w:t>
            </w: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21"/>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6,868,642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5,518,309</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7,163,522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5,300,832</w:t>
            </w: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INCOME TAXES</w:t>
      </w:r>
    </w:p>
    <w:p>
      <w:pPr>
        <w:spacing w:after="0" w:line="212" w:lineRule="exact"/>
        <w:rPr>
          <w:sz w:val="20"/>
          <w:szCs w:val="20"/>
          <w:color w:val="auto"/>
        </w:rPr>
      </w:pPr>
    </w:p>
    <w:p>
      <w:pPr>
        <w:ind w:left="60" w:right="480" w:firstLine="648"/>
        <w:spacing w:after="0" w:line="271" w:lineRule="auto"/>
        <w:rPr>
          <w:sz w:val="20"/>
          <w:szCs w:val="20"/>
          <w:color w:val="auto"/>
        </w:rPr>
      </w:pPr>
      <w:r>
        <w:rPr>
          <w:rFonts w:ascii="Arial" w:cs="Arial" w:eastAsia="Arial" w:hAnsi="Arial"/>
          <w:sz w:val="18"/>
          <w:szCs w:val="18"/>
          <w:color w:val="auto"/>
        </w:rPr>
        <w:t>A reconciliation between the statutory federal income tax rate and the Company’s effective income tax rate for the three and nine months ended September 30, 2024, and 2023 is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8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3"/>
                <w:szCs w:val="13"/>
                <w:color w:val="auto"/>
              </w:rPr>
            </w:pPr>
          </w:p>
        </w:tc>
      </w:tr>
      <w:tr>
        <w:trPr>
          <w:trHeight w:val="196"/>
        </w:trPr>
        <w:tc>
          <w:tcPr>
            <w:tcW w:w="3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Federal income tax rate</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3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388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(0.2)</w:t>
            </w:r>
          </w:p>
        </w:tc>
        <w:tc>
          <w:tcPr>
            <w:tcW w:w="11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(0.9)</w:t>
            </w:r>
          </w:p>
        </w:tc>
      </w:tr>
      <w:tr>
        <w:trPr>
          <w:trHeight w:val="203"/>
        </w:trPr>
        <w:tc>
          <w:tcPr>
            <w:tcW w:w="3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State taxes</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7"/>
                <w:szCs w:val="17"/>
                <w:color w:val="auto"/>
              </w:rPr>
            </w:pPr>
          </w:p>
        </w:tc>
      </w:tr>
      <w:tr>
        <w:trPr>
          <w:trHeight w:val="203"/>
        </w:trPr>
        <w:tc>
          <w:tcPr>
            <w:tcW w:w="3880" w:type="dxa"/>
            <w:vAlign w:val="bottom"/>
          </w:tcPr>
          <w:p>
            <w:pPr>
              <w:ind w:left="20"/>
              <w:spacing w:after="0" w:line="202" w:lineRule="exact"/>
              <w:rPr>
                <w:sz w:val="20"/>
                <w:szCs w:val="20"/>
                <w:color w:val="auto"/>
              </w:rPr>
            </w:pPr>
            <w:r>
              <w:rPr>
                <w:rFonts w:ascii="Arial" w:cs="Arial" w:eastAsia="Arial" w:hAnsi="Arial"/>
                <w:sz w:val="18"/>
                <w:szCs w:val="18"/>
                <w:color w:val="auto"/>
              </w:rPr>
              <w:t>Credits</w:t>
            </w:r>
          </w:p>
        </w:tc>
        <w:tc>
          <w:tcPr>
            <w:tcW w:w="13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(0.9)</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00" w:type="dxa"/>
            <w:vAlign w:val="bottom"/>
          </w:tcPr>
          <w:p>
            <w:pPr>
              <w:spacing w:after="0"/>
              <w:rPr>
                <w:sz w:val="17"/>
                <w:szCs w:val="17"/>
                <w:color w:val="auto"/>
              </w:rPr>
            </w:pPr>
          </w:p>
        </w:tc>
        <w:tc>
          <w:tcPr>
            <w:tcW w:w="128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(1.2)</w:t>
            </w:r>
          </w:p>
        </w:tc>
        <w:tc>
          <w:tcPr>
            <w:tcW w:w="11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(1.6)</w:t>
            </w:r>
          </w:p>
        </w:tc>
      </w:tr>
      <w:tr>
        <w:trPr>
          <w:trHeight w:val="203"/>
        </w:trPr>
        <w:tc>
          <w:tcPr>
            <w:tcW w:w="3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Nondeductible IPR&amp;D</w:t>
            </w:r>
          </w:p>
        </w:tc>
        <w:tc>
          <w:tcPr>
            <w:tcW w:w="1320" w:type="dxa"/>
            <w:vAlign w:val="bottom"/>
            <w:gridSpan w:val="2"/>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r>
      <w:tr>
        <w:trPr>
          <w:trHeight w:val="203"/>
        </w:trPr>
        <w:tc>
          <w:tcPr>
            <w:tcW w:w="388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280" w:type="dxa"/>
            <w:vAlign w:val="bottom"/>
          </w:tcPr>
          <w:p>
            <w:pPr>
              <w:spacing w:after="0"/>
              <w:rPr>
                <w:sz w:val="17"/>
                <w:szCs w:val="17"/>
                <w:color w:val="auto"/>
              </w:rPr>
            </w:pPr>
          </w:p>
        </w:tc>
        <w:tc>
          <w:tcPr>
            <w:tcW w:w="12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340" w:type="dxa"/>
            <w:vAlign w:val="bottom"/>
          </w:tcPr>
          <w:p>
            <w:pPr>
              <w:spacing w:after="0"/>
              <w:rPr>
                <w:sz w:val="17"/>
                <w:szCs w:val="17"/>
                <w:color w:val="auto"/>
              </w:rPr>
            </w:pPr>
          </w:p>
        </w:tc>
        <w:tc>
          <w:tcPr>
            <w:tcW w:w="11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r>
      <w:tr>
        <w:trPr>
          <w:trHeight w:val="203"/>
        </w:trPr>
        <w:tc>
          <w:tcPr>
            <w:tcW w:w="3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7"/>
                <w:szCs w:val="17"/>
                <w:color w:val="auto"/>
              </w:rPr>
            </w:pPr>
          </w:p>
        </w:tc>
      </w:tr>
      <w:tr>
        <w:trPr>
          <w:trHeight w:val="196"/>
        </w:trPr>
        <w:tc>
          <w:tcPr>
            <w:tcW w:w="388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w:t>
            </w:r>
          </w:p>
        </w:tc>
        <w:tc>
          <w:tcPr>
            <w:tcW w:w="280" w:type="dxa"/>
            <w:vAlign w:val="bottom"/>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w:t>
            </w:r>
          </w:p>
        </w:tc>
        <w:tc>
          <w:tcPr>
            <w:tcW w:w="340" w:type="dxa"/>
            <w:vAlign w:val="bottom"/>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
        </w:trPr>
        <w:tc>
          <w:tcPr>
            <w:tcW w:w="3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RELATED-PARTY TRANSACTIONS</w:t>
      </w:r>
    </w:p>
    <w:p>
      <w:pPr>
        <w:spacing w:after="0" w:line="212" w:lineRule="exact"/>
        <w:rPr>
          <w:sz w:val="20"/>
          <w:szCs w:val="20"/>
          <w:color w:val="auto"/>
        </w:rPr>
      </w:pPr>
    </w:p>
    <w:p>
      <w:pPr>
        <w:jc w:val="both"/>
        <w:ind w:left="60" w:right="320" w:firstLine="648"/>
        <w:spacing w:after="0" w:line="253" w:lineRule="auto"/>
        <w:rPr>
          <w:sz w:val="20"/>
          <w:szCs w:val="20"/>
          <w:color w:val="auto"/>
        </w:rPr>
      </w:pPr>
      <w:r>
        <w:rPr>
          <w:rFonts w:ascii="Arial" w:cs="Arial" w:eastAsia="Arial" w:hAnsi="Arial"/>
          <w:sz w:val="18"/>
          <w:szCs w:val="18"/>
          <w:color w:val="auto"/>
        </w:rPr>
        <w:t>The Company was party to a management agreement for professional services provided by a related party, Paragon Biosciences, LLC (“Paragon”). Paragon is an entity that shares common ownership with the Company. In addition, the Chairman of the Company’s board of directors is the Founder, Chairman and CEO</w:t>
      </w:r>
    </w:p>
    <w:p>
      <w:pPr>
        <w:sectPr>
          <w:pgSz w:w="11900" w:h="16838" w:orient="portrait"/>
          <w:cols w:equalWidth="0" w:num="1">
            <w:col w:w="9280"/>
          </w:cols>
          <w:pgMar w:left="1440" w:top="512" w:right="1179" w:bottom="1440" w:gutter="0" w:footer="0" w:header="0"/>
        </w:sectPr>
      </w:pPr>
    </w:p>
    <w:p>
      <w:pPr>
        <w:spacing w:after="0" w:line="385"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280"/>
          </w:cols>
          <w:pgMar w:left="1440" w:top="512" w:right="1179"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of Paragon. The Company is also party to a right of use agreement with Paragon whereby it has access to and the right to use certain office space leased by Paragon in Chicago, IL. The Company incurred $73 for each of the three months ended September 30, 2024, and 2023, and incurred $218 for each of the nine months ended September 30, 2024, and 2023 in expenses to Paragon, which are included in general and administrative in the unaudited condensed consolidated statements of operations and comprehensive loss. As of September 30, 2024, and December 31, 2023, there were no amounts due to or due from related parties included in the unaudited condensed consolidated balance sheets.</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and financial position,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p>
      <w:pPr>
        <w:spacing w:after="0" w:line="180"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efforts and strategy for WAKIX;</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and clinical utility of pitolisant in additional indications, if approved, and any other product candidates we may develop or acquire, if approved;</w:t>
      </w:r>
    </w:p>
    <w:p>
      <w:pPr>
        <w:spacing w:after="0" w:line="154" w:lineRule="exact"/>
        <w:rPr>
          <w:rFonts w:ascii="Times New Roman" w:cs="Times New Roman" w:eastAsia="Times New Roman" w:hAnsi="Times New Roman"/>
          <w:sz w:val="18"/>
          <w:szCs w:val="18"/>
          <w:color w:val="auto"/>
        </w:rPr>
      </w:pPr>
    </w:p>
    <w:p>
      <w:pPr>
        <w:ind w:left="1040" w:right="239" w:hanging="315"/>
        <w:spacing w:after="0" w:line="251"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research and development plans, including our plans to explore the therapeutic potential of pitolisant in additional indications, progress developing the new Pitolisant Gastro-resistant (</w:t>
      </w:r>
      <w:r>
        <w:rPr>
          <w:rFonts w:ascii="Times New Roman" w:cs="Times New Roman" w:eastAsia="Times New Roman" w:hAnsi="Times New Roman"/>
          <w:sz w:val="18"/>
          <w:szCs w:val="18"/>
          <w:color w:val="auto"/>
        </w:rPr>
        <w:t>“</w:t>
      </w:r>
      <w:r>
        <w:rPr>
          <w:rFonts w:ascii="Arial" w:cs="Arial" w:eastAsia="Arial" w:hAnsi="Arial"/>
          <w:sz w:val="18"/>
          <w:szCs w:val="18"/>
          <w:color w:val="auto"/>
        </w:rPr>
        <w:t>Pitolisant GR</w:t>
      </w:r>
      <w:r>
        <w:rPr>
          <w:rFonts w:ascii="Times New Roman" w:cs="Times New Roman" w:eastAsia="Times New Roman" w:hAnsi="Times New Roman"/>
          <w:sz w:val="18"/>
          <w:szCs w:val="18"/>
          <w:color w:val="auto"/>
        </w:rPr>
        <w:t>”</w:t>
      </w:r>
      <w:r>
        <w:rPr>
          <w:rFonts w:ascii="Arial" w:cs="Arial" w:eastAsia="Arial" w:hAnsi="Arial"/>
          <w:sz w:val="18"/>
          <w:szCs w:val="18"/>
          <w:color w:val="auto"/>
        </w:rPr>
        <w:t>) and Pitolisant High Dose (</w:t>
      </w:r>
      <w:r>
        <w:rPr>
          <w:rFonts w:ascii="Times New Roman" w:cs="Times New Roman" w:eastAsia="Times New Roman" w:hAnsi="Times New Roman"/>
          <w:sz w:val="18"/>
          <w:szCs w:val="18"/>
          <w:color w:val="auto"/>
        </w:rPr>
        <w:t>“</w:t>
      </w:r>
      <w:r>
        <w:rPr>
          <w:rFonts w:ascii="Arial" w:cs="Arial" w:eastAsia="Arial" w:hAnsi="Arial"/>
          <w:sz w:val="18"/>
          <w:szCs w:val="18"/>
          <w:color w:val="auto"/>
        </w:rPr>
        <w:t>Pitolisant HD</w:t>
      </w:r>
      <w:r>
        <w:rPr>
          <w:rFonts w:ascii="Times New Roman" w:cs="Times New Roman" w:eastAsia="Times New Roman" w:hAnsi="Times New Roman"/>
          <w:sz w:val="18"/>
          <w:szCs w:val="18"/>
          <w:color w:val="auto"/>
        </w:rPr>
        <w:t>”</w:t>
      </w:r>
      <w:r>
        <w:rPr>
          <w:rFonts w:ascii="Arial" w:cs="Arial" w:eastAsia="Arial" w:hAnsi="Arial"/>
          <w:sz w:val="18"/>
          <w:szCs w:val="18"/>
          <w:color w:val="auto"/>
        </w:rPr>
        <w:t>) formulations, and the development of ZYN002, EPX100 and other compounds;</w:t>
      </w:r>
    </w:p>
    <w:p>
      <w:pPr>
        <w:spacing w:after="0" w:line="17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ongoing and planned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favorable insurance coverage and reimbursement for WAKIX;</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obtain, regulatory approvals for pitolisant for other indications as well as any other product candidates;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estimates regarding expenses, future revenue, capital requirements and additional financing needs;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acquire and integrate additional products or product candidates with significant commercial potential that are consistent with our commercial objectives;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marketing and manufacturing capabilities and strategy;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competition in our industry;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intellectual property position;</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loss or retirement of key members of management;</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execute our growth strategy, including any delays in our planned future growth;</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maintain effective internal controls;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laws and regulations.</w:t>
      </w:r>
    </w:p>
    <w:p>
      <w:pPr>
        <w:spacing w:after="0" w:line="22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 in our most recent Annual Report on Form 10-K entitled “Item 1A. Risk Factors” and the sections in this Quarterly Report on Form 10-Q titled “Risk Factors” and “Management’s Discussion and Analysis of Financial Condition and Results of Operations.”</w:t>
      </w:r>
    </w:p>
    <w:p>
      <w:pPr>
        <w:spacing w:after="0" w:line="18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Unless otherwise indicated, information contained in this Quarterly Report on Form 10-Q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 and our operating subsidiary, Harmony Biosciences, LLC.</w:t>
      </w:r>
    </w:p>
    <w:p>
      <w:pPr>
        <w:spacing w:after="0" w:line="15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Further, we have in-licensed from Bioprojet Soci</w:t>
      </w:r>
      <w:r>
        <w:rPr>
          <w:rFonts w:ascii="Times New Roman" w:cs="Times New Roman" w:eastAsia="Times New Roman" w:hAnsi="Times New Roman"/>
          <w:sz w:val="18"/>
          <w:szCs w:val="18"/>
          <w:color w:val="auto"/>
        </w:rPr>
        <w:t>é</w:t>
      </w:r>
      <w:r>
        <w:rPr>
          <w:rFonts w:ascii="Arial" w:cs="Arial" w:eastAsia="Arial" w:hAnsi="Arial"/>
          <w:sz w:val="18"/>
          <w:szCs w:val="18"/>
          <w:color w:val="auto"/>
        </w:rPr>
        <w:t>t</w:t>
      </w:r>
      <w:r>
        <w:rPr>
          <w:rFonts w:ascii="Times New Roman" w:cs="Times New Roman" w:eastAsia="Times New Roman" w:hAnsi="Times New Roman"/>
          <w:sz w:val="18"/>
          <w:szCs w:val="18"/>
          <w:color w:val="auto"/>
        </w:rPr>
        <w:t>é</w:t>
      </w:r>
      <w:r>
        <w:rPr>
          <w:rFonts w:ascii="Arial" w:cs="Arial" w:eastAsia="Arial" w:hAnsi="Arial"/>
          <w:sz w:val="18"/>
          <w:szCs w:val="18"/>
          <w:color w:val="auto"/>
        </w:rPr>
        <w:t xml:space="preserve"> Civile de Recherche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 This report also includes trademarks, service marks and trade names of other companies.</w:t>
      </w:r>
    </w:p>
    <w:p>
      <w:pPr>
        <w:sectPr>
          <w:pgSz w:w="11900" w:h="16838" w:orient="portrait"/>
          <w:cols w:equalWidth="0" w:num="1">
            <w:col w:w="9019"/>
          </w:cols>
          <w:pgMar w:left="1440" w:top="512"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Trademarks, service marks and trade names appearing in this Quarterly Report on Form 10-Q are the property of their respective owners.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Overview</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are a commercial-stage, pharmaceutical company focused on developing and commercializing innovative therapies for patients living with rare neurological diseases as well as patients living with other neurological diseases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13"/>
          <w:szCs w:val="13"/>
          <w:color w:val="auto"/>
        </w:rPr>
        <w:t>3</w:t>
      </w:r>
      <w:r>
        <w:rPr>
          <w:rFonts w:ascii="Arial" w:cs="Arial" w:eastAsia="Arial" w:hAnsi="Arial"/>
          <w:sz w:val="18"/>
          <w:szCs w:val="18"/>
          <w:color w:val="auto"/>
        </w:rPr>
        <w:t xml:space="preserve"> receptors. In August 2019, WAKIX was approved by the U.S. Food and Drug Administration (the “FDA”) for the treatment of excessive daytime sleepiness (“EDS”) in adult patients with narcolepsy, and its U.S. commercial launch was initiated in November 2019. In October 2020, WAKIX was approved by the FDA for the treatment of cataplexy in adult patients with narcolepsy. In June 2024, the FDA approved WAKIX for the treatment of excessive daytime sleepiness in pediatric patients, six years and older, with narcolepsy. WAKIX is the first-and-only approved product for patients with narcolepsy that is not scheduled as a controlled substance by the U.S. Drug Enforcement Administration (the “DEA”).</w:t>
      </w:r>
    </w:p>
    <w:p>
      <w:pPr>
        <w:spacing w:after="0" w:line="18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Pitolisant was developed by Bioprojet and approved by the EMA in 2016 for the treatment of narcolepsy in adult patients with or without cataplexy and in 2021 for the treatment of EDS in adult patients with obstructive sleep apnea. We acquired an exclusive license to develop, manufacture and commercialize pitolisant in the United States pursuant to our license agreement with Bioprojet (as amended, the “2017 LCA”) in July 2017.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185"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believe that pitolisant’s ability to regulate histamine gives it the potential to provide therapeutic benefit in other rare neurological diseases that are mediated through H</w:t>
      </w:r>
      <w:r>
        <w:rPr>
          <w:rFonts w:ascii="Arial" w:cs="Arial" w:eastAsia="Arial" w:hAnsi="Arial"/>
          <w:sz w:val="20"/>
          <w:szCs w:val="20"/>
          <w:color w:val="auto"/>
          <w:vertAlign w:val="subscript"/>
        </w:rPr>
        <w:t>3</w:t>
      </w:r>
      <w:r>
        <w:rPr>
          <w:rFonts w:ascii="Arial" w:cs="Arial" w:eastAsia="Arial" w:hAnsi="Arial"/>
          <w:sz w:val="18"/>
          <w:szCs w:val="18"/>
          <w:color w:val="auto"/>
        </w:rPr>
        <w:t xml:space="preserve"> receptors and histamine signaling. We have applied a mechanism-based approach to managing the life cycle of pitolisant and identified idiopathic hypersomnia (“IH”), another central disorder of hypersomnolence like narcolepsy, as our next potential new indication for WAKIX, which received orphan drug designation by the FDA in September 2023 and Fast Track Designation in November 2023. In April 2022, we initiated a Phase 3 registrational trial, the INTUNE Study, to evaluate the efficacy and safety of pitolisant in adult patients with IH. We completed enrollment in the INTUNE study in May 2023 and we announced topline data in October 2023. While the primary endpoint did not meet statistical significance, we believe the totality of the data showed favorable numerical trends for pitolisant in the treatment of adult patients with IH and we met with the FDA in March 2024 to discuss the path forward for IH. Following our meeting with the FDA, we plan to submit a supplemental NDA (“sNDA”) for IH in the fourth quarter of 2024 based on the totality of the data obtained from the INTUNE study and from other sources.</w:t>
      </w:r>
    </w:p>
    <w:p>
      <w:pPr>
        <w:spacing w:after="0" w:line="18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are focusing our development efforts on other rare neurological disorders in which EDS is a prominent symptom, including Prader-Willi Syndrome (“PWS”) and myotonic dystrophy type 1, otherwise known as dystrophia myotonica (“DM1”). Based on the positive signals from the data from our Phase 2 proof-of-concept signal detection clinical trial to evaluate pitolisant for the treatment of EDS and other key behavioral symptoms in patients with PWS, an end-of-phase 2 meeting with the FDA was held in June 2023. We aligned with the FDA on the proposed Phase 3 registration study design to support further investigation of pitolisant as a potential treatment to address the unmet medical need for children, adolescents and adults with PWS experiencing EDS, for which there is currently no approved treatment. In October 2023, we received FDA alignment regarding the study design for the Phase 3 TEMPO study in patients with PWS, which we believe will satisfy the requirements for both the registrational trial and one of the two requirements for pediatric exclusivity for pitolisant. In February 2024, the FDA granted Orphan Drug designation to pitolisant for the treatment of PWS. The Phase 3 registrational trial, the TEMPO study, was initiated in March 2024. In June 2021, we initiated a Phase 2 proof-of-concept signal detection clinical trial to evaluate pitolisant for the treatment of EDS, fatigue and cognitive dysfunction in adult patients with DM1 and announced topline results from this trial in the fourth quarter of 2023, in which clinically meaningful improvements were demonstrated in EDS and fatigue. The safety profile was consistent with the established safety profile of pitolisant.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partner, Bioprojet completed a Phase 3 trial in pediatric patients with narcolepsy and submitted the trial data to the European Medicines Agency (the “EMA”) seeking approval for a pediatric narcolepsy indication. In January 2023, Bioprojet received a positive opinion from the EMA’s Committee for Medicinal Products for Human Use (“CHMP”) and in March 2023, the EMA granted approval for the marketing authorization of WAKIX for the treatment of narcolepsy with or without cataplexy in children six and older. Based on the data from the positive Phase 3 trial conducted by Bioprojet, we submitted an sNDA for pediatric narcolepsy in December 2023. On June 24, 2024, we announced that the FDA approved our sNDA for WAKIX for the treatment of EDS in pediatric patients six years of age and older with narcolepsy.</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remain committed to obtaining pediatric exclusivity for WAKIX. The initiation of the PWS Phase 3 registrational trial, the TEMPO study, and the approval for EDS in pediatric narcolepsy are supportive of our efforts in obtaining pediatric exclusivity for WAKIX.</w:t>
      </w:r>
    </w:p>
    <w:p>
      <w:pPr>
        <w:spacing w:after="0" w:line="169"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are expanding our pipeline through the acquisition of additional assets that focus on addressing the unmet needs of patients living with rare neurological diseases as well as patients living with other neurological diseases who have unmet medical needs. We are targeting assets that will allow us to further leverage the expertise and infrastructure that we have successfully built at Harmony so we can optimize the benefit of internal synergies. Consistent with this objective, in July 2022, we entered into a License and Commercialization Agreement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have made progress in the development of two new formulations of pitolisant: Pitolisant GR and Pitolisant HD. Both formulations entered clinical studies in the fourth quarter of 2023. We received data from the Pitolisant GR pilot bioequivalence study, which supports further development of Pitolisant GR. We are on-track to initiate a pivotal bioequivalence study and dosing optimization study in the first quarter of 2025. We received data from the Pitolisant HD pilot pharmacokinetics study in June 2024, which also supports advancing this development program toward pivotal trials. The formulation optimization and technical operations work is ongoing, with a goal to initiate Phase 3 registrational studies in the second half of 2025. A Phase 1b study was conducted to evaluate the safety and tolerability of Pitolisant HD and the initial results support advancement of the development program. Provisional patents have been filed for both of these formulations, with the potential for patent protection to the mid-2040’s.</w:t>
      </w:r>
    </w:p>
    <w:p>
      <w:pPr>
        <w:spacing w:after="0" w:line="18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October 2023, we completed the acquisition of Zynerba Pharmaceuticals, Inc. (“Zynerba”), a clinical-stage pharmaceutical company focused on innovative pharmaceutically manufactured transdermal cannabidiol therapies for orphan neurobehavioral disorders. Zynerba’s drug candidate is ZYN002, the first and only pharmaceutically manufactured synthetic cannabidiol gel, devoid of THC, and formulated as a patent protected, permeation-enhanced gel for transdermal delivery. Transdermal delivery is thought to provide better gastrointestinal tolerability and minimize the potential for drug interactions or impacts on liver function tests by avoiding first-pass metabolism in the liver. The most common adverse effect is application site pain, which studies have shown typically occurs in less than 7% of patients. ZYN002 is currently in a pivotal Phase 3 trial, the RECONNECT study, for the treatment of Fragile X Syndrome (“FXS”). In the Phase 2 CONNECT-FX trial, patients using ZYN002 showed 40% median improvement in social avoidance behavior as compared to the placebo. We believe the total addressable market for ZYN002 among patients with FXS is approximately 25,000 people based on an estimated current FXS prevalence of up to 87,000 cases and up to 40,000 diagnosed FXS cases. Patients with complete methylation demonstrate the most severe symptoms of FXS. Topline data from our ZYN002 Phase 3 study is anticipated in mid-2025. ZYN002 has patent protection for the treatment of FXS until 2038. Based on the positive proof-of-concept (“PoC”) study in 22q deletion syndrome, another rare disorder with prominent neurobehavioral symptoms, we plan to initiate a Phase 3 registrational study in 2025.</w:t>
      </w:r>
    </w:p>
    <w:p>
      <w:pPr>
        <w:spacing w:after="0" w:line="18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April 2024, we entered into a sublicense agreement with Bioprojet for an orexin-2 receptor agonist (OX2R) (“BP1.15205”) to be evaluated for the treatment of narcolepsy and other potential indications (the “Sublicense”). Under the Sublicense, we have obtained the exclusive right to develop, manufacture and commercialize BP1.15205 in the United States and Latin American territories, which are rights that Bioprojet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originally licensed from Teijin Pharma, the innovator of BP1.15205. Pre-clinical data from BP1.15205 is promising and we plan to file an IND in mid-2025 and begin first-in-human studies in the second half of 2025.</w:t>
      </w:r>
    </w:p>
    <w:p>
      <w:pPr>
        <w:spacing w:after="0" w:line="15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Additionally, in April 2024, we acquired all of the outstanding capital stock of Epygenix Therapeutics, Inc. (“Epygenix”), pursuant to the terms of a stock purchase agreement (the “Epygenix Agreement”). As a result, we now have an exclusive license relating to the use of clemizole (“EPX100”), initially for the treatment of Dravet Syndrome (“DS”) and Lennox-Gastaut Syndrome (“LGS”). Patients with both conditions often encounter severe refractory epilepsy, which is not controlled even with polypharmacy, and extreme co-morbidities or mortality without effective treatment. As such, there is a recognized need for improved treatment options for both conditions. We believe the total addressable market for EPX100 among patients with DS is approximately 5,000 people based on an estimated current DS prevalence of approximately 8,600 cases and approximately 7,000 diagnosed DS cases. We believe the total addressable market for EPX100 among patients with LGS is approximately 35,000 people based on an estimated current LGS prevalence of approximately 48,000 cases and 44,000 diagnosed LGS cases. EPX100 is currently in a Phase 3 registrational clinical trial for DS and we plan to initiate a Phase 3 registrational clinical trial in patients with LGS in the fourth quarter of 2024. In previous clinical trials, EPX100 has shown an improved safety and tolerability profile as compared to other approved therapies.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currently developing EPX200, a potent, oral, centrally active and selective 5HT2C agonist and liquid formulation of lorcaserin (“EPX200”), another asset acquired pursuant to the terms of the Epygenix Agreement. EPX200 is currently in IND-enabling studies to treat Developmental and Epileptic Encephalopathy.</w:t>
      </w:r>
    </w:p>
    <w:p>
      <w:pPr>
        <w:spacing w:after="0" w:line="16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2021, we acquired HBS-102, a Melanin-concentrating hormone receptor type 1 (MCHR1) antagonist previously developed as CSTI-100/ALB-127258(a)/ALB-127258 (the “Compound”), along with intellectual property and other assets related to the development, manufacture, and commercialization of the Compound from ConSynance Therapeutics, Inc. We acquired full development and commercialization rights for HBS-102 globally, but we have provided an indication-limited grant-back license to ConSynance for the development and commercialization of the Compound in Greater China. We conducted a preclinical PoC study to assess the effect of HBS-102 on hyperphagia, weight gain and other metabolic parameters in a mouse model of PWS. The final report was received during the third quarter of 2024 and the results are consistent with the expected results. We are on track to initiate a juvenile toxicology study in the fourth quarter of 2024. In addition, a 13-week toxicology study is complete, and the preliminary results are encouraging.</w:t>
      </w:r>
    </w:p>
    <w:p>
      <w:pPr>
        <w:spacing w:after="0" w:line="18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Our operations are conducted by our wholly owned subsidiaries, Harmony Biosciences, LLC and Zynerba, which is now known as Harmony Biosciences Management, Inc. as of July 1, 2024.</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Performance Metrics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As of September 30, 2024, we continued to see growth in the number of unique healthcare professional (“HCP”) prescribers of WAKIX since it became available in November 2019. There are approximately 9,000 HCPs who treat patients living with narcolepsy, with approximately 4,000 enrolled in oxybate risk-evaluation and mitigation strategies. The average number of patients on WAKIX for the three months ended September 30, 2024, was approximately 6,800. Additionally, as of September 30, 2024, we have secured formulary access for more than 80% of all insured lives (Commercial, Medicare and Medicaid) in the United States.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product revenue includes gross product shipments less provisions for sales discounts and allowances, which includes trade allowances, rebates to government and commercial entities, and other discounts. Although we expect net sales to increase over time, provisions for sales discounts and allowances may fluctuate based on the mix of sales to different customer segments and/or changes in our estimates.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Cost of product sales includes manufacturing and distribution costs, the cost of API, FDA program fees, royalties due to third parties on net product sales, freight, shipping, handling, storage costs and salaries of employees involved with oversight of production. We expect the cost of product sales to increase as we continue to ramp up production in order to meet future demand for WAKIX and diversify our supply chain for WAKIX.</w:t>
      </w:r>
    </w:p>
    <w:p>
      <w:pPr>
        <w:spacing w:after="0" w:line="176" w:lineRule="exact"/>
        <w:rPr>
          <w:sz w:val="20"/>
          <w:szCs w:val="20"/>
          <w:color w:val="auto"/>
        </w:rPr>
      </w:pPr>
    </w:p>
    <w:p>
      <w:pPr>
        <w:jc w:val="both"/>
        <w:ind w:left="60" w:right="79" w:firstLine="648"/>
        <w:spacing w:after="0" w:line="244" w:lineRule="auto"/>
        <w:rPr>
          <w:sz w:val="20"/>
          <w:szCs w:val="20"/>
          <w:color w:val="auto"/>
        </w:rPr>
      </w:pPr>
      <w:r>
        <w:rPr>
          <w:rFonts w:ascii="Arial" w:cs="Arial" w:eastAsia="Arial" w:hAnsi="Arial"/>
          <w:sz w:val="18"/>
          <w:szCs w:val="18"/>
          <w:color w:val="auto"/>
        </w:rPr>
        <w:t>The shelf life of WAKIX is four years from date of manufacture, with the earliest expiration of current inventory expected to be October 2025. We regularly review our inventory levels and expect write-offs from time to time. We will continue to assess inventory levels in future periods as demand for WAKIX and the rate of inventory turnover evolves. We currently have adequate supply of WAKIX to cover demand into the first quarter of 2026, with additional API on-hand inventory to support at least 24 months beyond this time frame.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Research and development expenses primarily include development programs for potential new indications for pitolisant in patients with IH, PWS, DM1 and the development of ZYN002 in patients with FXS. We also incur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the presentation of clinical data to payors upon request and our clinical development team to identify potential clinical trial sites. Research and development costs are expensed as incurred. We have significantly increased our research and development efforts as we advance our clinical programs and add product candidates to expand our pipeline. Research and development expenses also include:</w:t>
      </w:r>
    </w:p>
    <w:p>
      <w:pPr>
        <w:spacing w:after="0" w:line="183" w:lineRule="exact"/>
        <w:rPr>
          <w:sz w:val="20"/>
          <w:szCs w:val="20"/>
          <w:color w:val="auto"/>
        </w:rPr>
      </w:pPr>
    </w:p>
    <w:p>
      <w:pPr>
        <w:ind w:left="1040" w:right="51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154" w:lineRule="exact"/>
        <w:rPr>
          <w:rFonts w:ascii="Times New Roman" w:cs="Times New Roman" w:eastAsia="Times New Roman" w:hAnsi="Times New Roman"/>
          <w:sz w:val="18"/>
          <w:szCs w:val="18"/>
          <w:color w:val="auto"/>
        </w:rPr>
      </w:pPr>
    </w:p>
    <w:p>
      <w:pPr>
        <w:ind w:left="1040" w:right="79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direct third-party costs such as expenses incurred under agreements with clinical research organizations (“CROs”), and contract manufacturing organizations (“CMOs”);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costs in connection with producing materials for use in conducting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packaging and labelling of clinical supplies;</w:t>
      </w:r>
    </w:p>
    <w:p>
      <w:pPr>
        <w:spacing w:after="0" w:line="224" w:lineRule="exact"/>
        <w:rPr>
          <w:rFonts w:ascii="Times New Roman" w:cs="Times New Roman" w:eastAsia="Times New Roman" w:hAnsi="Times New Roman"/>
          <w:sz w:val="18"/>
          <w:szCs w:val="18"/>
          <w:color w:val="auto"/>
        </w:rPr>
      </w:pPr>
    </w:p>
    <w:p>
      <w:pPr>
        <w:ind w:left="1040" w:right="27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other third-party expenses (e.g., consultants, advisors) directly attributable to the development of our product candidates;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acquired in-process research and development;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amortization expense for assets used in research and development activities.</w:t>
      </w:r>
    </w:p>
    <w:p>
      <w:pPr>
        <w:spacing w:after="0" w:line="22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significant portion of our research and development costs are external costs, such as fees paid to CROs and CMOs, central laboratories, contractors, and consultants in connection with our clinical development programs. Internal expenses primarily relate to personnel who are deployed across multiple programs.</w:t>
      </w:r>
    </w:p>
    <w:p>
      <w:pPr>
        <w:spacing w:after="0" w:line="16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Product candidates in later stages of clinical development generally have higher development costs in the current period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as we advance our current clinical development programs and prepare to seek regulatory approval for additional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indications for pitolisant, complete the Phase 3 clinical trials for ZYN002, EPX100 and advance the development of Pitolisant GR, Pitolisant HD, BP1.15205 and HBS-102 toward new indications.</w:t>
      </w:r>
    </w:p>
    <w:p>
      <w:pPr>
        <w:spacing w:after="0" w:line="15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174" w:lineRule="exact"/>
        <w:rPr>
          <w:sz w:val="20"/>
          <w:szCs w:val="20"/>
          <w:color w:val="auto"/>
        </w:rPr>
      </w:pPr>
    </w:p>
    <w:p>
      <w:pPr>
        <w:ind w:left="1040" w:right="11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154" w:lineRule="exact"/>
        <w:rPr>
          <w:rFonts w:ascii="Times New Roman" w:cs="Times New Roman" w:eastAsia="Times New Roman" w:hAnsi="Times New Roman"/>
          <w:sz w:val="18"/>
          <w:szCs w:val="18"/>
          <w:color w:val="auto"/>
        </w:rPr>
      </w:pPr>
    </w:p>
    <w:p>
      <w:pPr>
        <w:ind w:left="1040" w:right="33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and timely enrollment and completion of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completion of preclinical studies and clinical trials;</w:t>
      </w:r>
    </w:p>
    <w:p>
      <w:pPr>
        <w:spacing w:after="0" w:line="224" w:lineRule="exact"/>
        <w:rPr>
          <w:rFonts w:ascii="Times New Roman" w:cs="Times New Roman" w:eastAsia="Times New Roman" w:hAnsi="Times New Roman"/>
          <w:sz w:val="18"/>
          <w:szCs w:val="18"/>
          <w:color w:val="auto"/>
        </w:rPr>
      </w:pPr>
    </w:p>
    <w:p>
      <w:pPr>
        <w:ind w:left="1040" w:right="45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154" w:lineRule="exact"/>
        <w:rPr>
          <w:rFonts w:ascii="Times New Roman" w:cs="Times New Roman" w:eastAsia="Times New Roman" w:hAnsi="Times New Roman"/>
          <w:sz w:val="18"/>
          <w:szCs w:val="18"/>
          <w:color w:val="auto"/>
        </w:rPr>
      </w:pPr>
    </w:p>
    <w:p>
      <w:pPr>
        <w:ind w:left="1040" w:right="49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22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5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sales and marketing expenses primarily relate to the market development and commercialization activities of WAKIX for the treatment of EDS and cataplexy in adult patients with narcolepsy. Market development and commercial activities account for a significant portion of our operating expenses and are expensed as incurred. We expect our sales and marketing expenses to increase in the near- and mid-term to support WAKIX’s indications for the treatment of EDS or cataplexy in adult patients with narcolepsy, the treatment of EDS in pediatric patients 6 years of age and older with narcolepsy and to expand our portfolio with the anticipated growth from potential additional indications.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Sales and marketing expenses include:</w:t>
      </w:r>
    </w:p>
    <w:p>
      <w:pPr>
        <w:spacing w:after="0" w:line="212" w:lineRule="exact"/>
        <w:rPr>
          <w:sz w:val="20"/>
          <w:szCs w:val="20"/>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sales, marketing and market access personnel;</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154"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170"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154"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In addition, sales and marketing expenses include external costs such as website development, media placement fees, agency fees for patient, medical education and promotional expenses, market research, analysis of secondary data, conference fees and consulting fees.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spacing w:after="0" w:line="1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be driven by costs associated with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Paragon Agreement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are party to a right-of-use agreement with Paragon Biosciences, LLC (“Paragon”) whereby we have access to and the right to use certain office space leased by Paragon in Chicago, Illinois. For the three and nine months ended September 30, 2024, we paid fees of $0.1 million and $0.2 million, respectively, pursuant to this agreement.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Interest expense consists primarily of interest expense on debt facilities, amortization of debt issuance costs and amortization of premiums on our debt securities.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Interest income consists primarily of cash interest earned on our cash and investment balances and accretion of the discount on our investments in debt securities.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0" w:right="359" w:firstLine="648"/>
        <w:spacing w:after="0" w:line="271" w:lineRule="auto"/>
        <w:rPr>
          <w:sz w:val="20"/>
          <w:szCs w:val="20"/>
          <w:color w:val="auto"/>
        </w:rPr>
      </w:pPr>
      <w:r>
        <w:rPr>
          <w:rFonts w:ascii="Arial" w:cs="Arial" w:eastAsia="Arial" w:hAnsi="Arial"/>
          <w:sz w:val="18"/>
          <w:szCs w:val="18"/>
          <w:color w:val="auto"/>
        </w:rPr>
        <w:t>The following table sets forth selected items in our unaudited condensed consolidated statements of operations for the periods presented:</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40" w:type="dxa"/>
            <w:vAlign w:val="bottom"/>
            <w:tcBorders>
              <w:bottom w:val="single" w:sz="8" w:color="auto"/>
            </w:tcBorders>
            <w:gridSpan w:val="5"/>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product revenue</w:t>
            </w:r>
          </w:p>
        </w:tc>
        <w:tc>
          <w:tcPr>
            <w:tcW w:w="500" w:type="dxa"/>
            <w:vAlign w:val="bottom"/>
            <w:gridSpan w:val="2"/>
            <w:shd w:val="clear" w:color="auto" w:fill="CCEEFF"/>
          </w:tcPr>
          <w:p>
            <w:pPr>
              <w:jc w:val="right"/>
              <w:ind w:right="107"/>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186,038</w:t>
            </w:r>
          </w:p>
        </w:tc>
        <w:tc>
          <w:tcPr>
            <w:tcW w:w="640" w:type="dxa"/>
            <w:vAlign w:val="bottom"/>
            <w:gridSpan w:val="2"/>
            <w:shd w:val="clear" w:color="auto" w:fill="CCEEFF"/>
          </w:tcPr>
          <w:p>
            <w:pPr>
              <w:jc w:val="right"/>
              <w:ind w:right="247"/>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160,268</w:t>
            </w:r>
          </w:p>
        </w:tc>
        <w:tc>
          <w:tcPr>
            <w:tcW w:w="420" w:type="dxa"/>
            <w:vAlign w:val="bottom"/>
            <w:gridSpan w:val="2"/>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513,467</w:t>
            </w:r>
          </w:p>
        </w:tc>
        <w:tc>
          <w:tcPr>
            <w:tcW w:w="58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413,610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sales</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42,778</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32,296</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102,406</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78,084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143,260</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127,972</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411,061</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335,526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25,387</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17,499</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111,159</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27,576</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23,418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83,316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70,518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28,587</w:t>
            </w:r>
          </w:p>
        </w:tc>
        <w:tc>
          <w:tcPr>
            <w:tcW w:w="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22,546</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81,487</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67,417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81,550</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63,463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275,962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183,692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61,710</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64,509</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135,099</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151,834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(9,766)</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(4,348)</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(7,012)</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(13,287)</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4,932</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4,106</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14,065</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40" w:type="dxa"/>
            <w:vAlign w:val="bottom"/>
            <w:shd w:val="clear" w:color="auto" w:fill="CCEEFF"/>
          </w:tcPr>
          <w:p>
            <w:pPr>
              <w:spacing w:after="0" w:line="163" w:lineRule="exact"/>
              <w:rPr>
                <w:sz w:val="20"/>
                <w:szCs w:val="20"/>
                <w:color w:val="auto"/>
              </w:rPr>
            </w:pPr>
            <w:r>
              <w:rPr>
                <w:rFonts w:ascii="Arial" w:cs="Arial" w:eastAsia="Arial" w:hAnsi="Arial"/>
                <w:sz w:val="18"/>
                <w:szCs w:val="18"/>
                <w:color w:val="auto"/>
              </w:rPr>
              <w:t>Net income before provision for income</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62,170</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135,649</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(16,077)</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(13,371)</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(39,631)</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(31,461)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46,093</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38,461</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96,018</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Net product revenue increased by $25.8 million, or 16.1%, for the three months ended September 30, 2024, and increased by $99.9 million, or 24.1%, for the nine months ended September 30, 2024, compared to the same periods in 2023. The increase for the three months ended September 30, 2024, was primarily due to an 11.2% increase in the number of units shipped, and the impact of a 7% price increase partially offset by higher rebates and co-pay assistance, which resulted in a decrease in net product revenue of approximately 3%. The increase for the nine months ended September 30, 2024, was primarily due to a 19.5% increase in the number of units shipped, and the impact of a 7% price increase partially offset by higher rebates, which resulted in a decrease to net product revenue of approximately 4%. The price increase occurred in January 2024.</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Cost of product sales increased by $10.5 million, or 32.5%, for the three months ended September 30, 2024, and increased by $24.3 million, or 31.1%, for the nine months ended September 30, 2024, compared to the same periods in 2023. Cost of product sales as a percentage of net product revenue was 23.0% and 19.9% for the three and nine months ended September 30, 2024, respectively, compared to 20.2% and 18.9% for the three and nine months ended September 30, 2023, respectively. The increase in cost of product sales and cost of product sales as a percentage of net revenue in both comparable periods was due to triggering a higher royalty tier under the 2017 LCA earlier in 2024 compared to 2023.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is a summary of our research and development expenses: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24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Pr>
          <w:p>
            <w:pPr>
              <w:spacing w:after="0"/>
              <w:rPr>
                <w:sz w:val="14"/>
                <w:szCs w:val="14"/>
                <w:color w:val="auto"/>
              </w:rPr>
            </w:pPr>
          </w:p>
        </w:tc>
        <w:tc>
          <w:tcPr>
            <w:tcW w:w="24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Nine Months Ended September 30,</w:t>
            </w:r>
          </w:p>
        </w:tc>
        <w:tc>
          <w:tcPr>
            <w:tcW w:w="720" w:type="dxa"/>
            <w:vAlign w:val="bottom"/>
          </w:tcPr>
          <w:p>
            <w:pPr>
              <w:spacing w:after="0"/>
              <w:rPr>
                <w:sz w:val="14"/>
                <w:szCs w:val="14"/>
                <w:color w:val="auto"/>
              </w:rPr>
            </w:pPr>
          </w:p>
        </w:tc>
      </w:tr>
      <w:tr>
        <w:trPr>
          <w:trHeight w:val="196"/>
        </w:trPr>
        <w:tc>
          <w:tcPr>
            <w:tcW w:w="2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Change</w:t>
            </w:r>
          </w:p>
        </w:tc>
      </w:tr>
      <w:tr>
        <w:trPr>
          <w:trHeight w:val="196"/>
        </w:trPr>
        <w:tc>
          <w:tcPr>
            <w:tcW w:w="2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Pitolisant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10,459</w:t>
            </w:r>
          </w:p>
        </w:tc>
        <w:tc>
          <w:tcPr>
            <w:tcW w:w="9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w w:val="98"/>
              </w:rPr>
              <w:t>$(2,976)$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23,868</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(1,566)</w:t>
            </w:r>
          </w:p>
        </w:tc>
      </w:tr>
      <w:tr>
        <w:trPr>
          <w:trHeight w:val="405"/>
        </w:trPr>
        <w:tc>
          <w:tcPr>
            <w:tcW w:w="2640" w:type="dxa"/>
            <w:vAlign w:val="bottom"/>
          </w:tcPr>
          <w:p>
            <w:pPr>
              <w:ind w:left="20"/>
              <w:spacing w:after="0"/>
              <w:rPr>
                <w:sz w:val="20"/>
                <w:szCs w:val="20"/>
                <w:color w:val="auto"/>
              </w:rPr>
            </w:pPr>
            <w:r>
              <w:rPr>
                <w:rFonts w:ascii="Arial" w:cs="Arial" w:eastAsia="Arial" w:hAnsi="Arial"/>
                <w:sz w:val="18"/>
                <w:szCs w:val="18"/>
                <w:color w:val="auto"/>
              </w:rPr>
              <w:t>ZYN002</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4,172</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4,172</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11,777</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11,777</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EPX100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r>
      <w:tr>
        <w:trPr>
          <w:trHeight w:val="405"/>
        </w:trPr>
        <w:tc>
          <w:tcPr>
            <w:tcW w:w="2640" w:type="dxa"/>
            <w:vAlign w:val="bottom"/>
          </w:tcPr>
          <w:p>
            <w:pPr>
              <w:ind w:left="20"/>
              <w:spacing w:after="0"/>
              <w:rPr>
                <w:sz w:val="20"/>
                <w:szCs w:val="20"/>
                <w:color w:val="auto"/>
              </w:rPr>
            </w:pPr>
            <w:r>
              <w:rPr>
                <w:rFonts w:ascii="Arial" w:cs="Arial" w:eastAsia="Arial" w:hAnsi="Arial"/>
                <w:sz w:val="18"/>
                <w:szCs w:val="18"/>
                <w:color w:val="auto"/>
              </w:rPr>
              <w:t>IPR&amp;D</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43,595</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w:t>
            </w:r>
          </w:p>
        </w:tc>
        <w:tc>
          <w:tcPr>
            <w:tcW w:w="720" w:type="dxa"/>
            <w:vAlign w:val="bottom"/>
          </w:tcPr>
          <w:p>
            <w:pPr>
              <w:jc w:val="right"/>
              <w:spacing w:after="0"/>
              <w:rPr>
                <w:sz w:val="20"/>
                <w:szCs w:val="20"/>
                <w:color w:val="auto"/>
              </w:rPr>
            </w:pPr>
            <w:r>
              <w:rPr>
                <w:rFonts w:ascii="Arial" w:cs="Arial" w:eastAsia="Arial" w:hAnsi="Arial"/>
                <w:sz w:val="18"/>
                <w:szCs w:val="18"/>
                <w:color w:val="auto"/>
              </w:rPr>
              <w:t>42,845</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w:t>
            </w:r>
          </w:p>
        </w:tc>
      </w:tr>
      <w:tr>
        <w:trPr>
          <w:trHeight w:val="216"/>
        </w:trPr>
        <w:tc>
          <w:tcPr>
            <w:tcW w:w="26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1,030</w:t>
            </w:r>
          </w:p>
        </w:tc>
        <w:tc>
          <w:tcPr>
            <w:tcW w:w="680" w:type="dxa"/>
            <w:vAlign w:val="bottom"/>
          </w:tcPr>
          <w:p>
            <w:pPr>
              <w:jc w:val="right"/>
              <w:spacing w:after="0"/>
              <w:rPr>
                <w:sz w:val="20"/>
                <w:szCs w:val="20"/>
                <w:color w:val="auto"/>
              </w:rPr>
            </w:pPr>
            <w:r>
              <w:rPr>
                <w:rFonts w:ascii="Arial" w:cs="Arial" w:eastAsia="Arial" w:hAnsi="Arial"/>
                <w:sz w:val="18"/>
                <w:szCs w:val="18"/>
                <w:color w:val="auto"/>
              </w:rPr>
              <w:t>880</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4,964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2,962</w:t>
            </w:r>
          </w:p>
        </w:tc>
        <w:tc>
          <w:tcPr>
            <w:tcW w:w="72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216"/>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Other research and development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w:t>
            </w:r>
          </w:p>
        </w:tc>
      </w:tr>
      <w:tr>
        <w:trPr>
          <w:trHeight w:val="399"/>
        </w:trPr>
        <w:tc>
          <w:tcPr>
            <w:tcW w:w="26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25,387</w:t>
            </w:r>
          </w:p>
        </w:tc>
        <w:tc>
          <w:tcPr>
            <w:tcW w:w="14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$ 7,888</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111,159</w:t>
            </w:r>
          </w:p>
        </w:tc>
        <w:tc>
          <w:tcPr>
            <w:tcW w:w="18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45,757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$65,402</w:t>
            </w: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Research and development expenses increased by $7.9 million, or 45.1%, for the three months ended September 30, 2024, and increased by $65.4 million or 142.9%, for the nine months ended September 30, 2024, compared to the same periods in 2023. The increase for the three months ended September 30, 2024 was primarily driven by a combined $6.2 million increase in research and development expenses for ZYN002 and EPX100, neither of which had any expenses in the prior year, a $ 2.5 million increase in personnel costs associated with higher headcount, a $1.0 million IPR&amp;D charge related to a preclinical milestone achieved for HBS-102 and a $0.9 million increase in stock compensation associated with new awards, partially offset by a $3.0 million decrease in clinical development work associated with pitolisant, driven by declines for IH, DM1 and PWS indications.</w:t>
      </w:r>
    </w:p>
    <w:p>
      <w:pPr>
        <w:spacing w:after="0" w:line="183"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increase for the nine months ended September 30, 2024 was primarily driven by $43.6 million in IPR&amp;D charges related to the Bioprojet Sublicense Agreement and the acquisition of Epygenix and a preclinical milestone achieved for HBS-102, a combined $13.9 million increase in research and development expenses for ZYN002 and EPX100, neither of which had any expenses in the prior year, a $6.3 million increase in personnel costs associated with higher headcount, and a $2.0 million increase in stock compensation associated with new awards, partially offset by a $1.6 million decrease in clinical development work associated with pitolisant, driven by decreases for the IH indication and a $ 0.8 million IPR&amp;D charge related to preclinical milestones achieved for HBS-102 during the nine months ended September 30, 2023.</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Sales and marketing expenses increased by $4.2 million, or 17.8%, for the three months ended September 30, 2024, and increased by $12.8 million, or 18.1%, for the nine months ended September 30, 2024, compared to the same periods in 2023. The increase for the three months ended September 30, 2024, was primarily due to a $3.6 million increase in patient engagement and marketing activities and a $0.6 million increase in stock compensation associated with new awards. The increase for the nine months ended September 30, 2024, was primarily due to a $8.4 million increase in patient engagement and marketing activities, a $1.9 million increase in personnel costs, and a $2.5 million increase in stock compensation associated with new awards. The increase in patient engagement and marketing activities for both comparable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periods was driven by our continued growth of WAKIX and the increase in personnel costs for the nine months ended September 30, 2024 was related to increased headcount.</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General and administrative expenses increased by $6.0 million, or 26.8%, for the three months ended September 30, 2024, and increased by $14.1 million, or 20.9%, for the nine months ended September 30, 2024, compared to the same periods in 2023. The increase in the three months ended September 30, 2024, was primarily due to a $4.0 million increase in legal and professional fees, primarily associated with patent lawsuits, a $2.0 million increase in stock compensation associated with new awards, and a $0.5 million increase in personnel costs. The increase in the nine months ended September 30, 2024, was primarily due to a $7.5 million increase in legal and professional fees, primarily associated with patent lawsuits, a $6.1 million increase in stock compensation associated with new awards, and a $2.0 million increase in personnel costs, partially offset by a $1.3 million decrease in insurance and a $0.5 million decrease in travel expenses.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Interest expense decreased by $2.7 million, or 38.0%, for the three months ended September 30, 2024, and decreased by $5.7 million, or 29.9%, for the nine months ended September 30, 2024, compared to the same periods in 2023. The decrease for the three and nine months ended September 30, 2024, was primarily due to lower interest rates as a result of refinancing into the TLA Credit Agreement (defined below).</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Interest income increased by $0.8 million, or 20.1%, for the three months ended September 30, 2024, and increased by $3.4 million, or 32.2%, for the nine months ended September 30, 2024, compared to the same periods in 2023. The increase for the three and nine months ended September 30, 2024, was primarily a result of having higher invested balances, and higher investment yields on those balances, compared to the prior year periods.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Income tax expense was $16.1 million, representing a 25.9% effective tax rate, for the three months ended September 30, 2024, compared to $13.4 million, representing a 25.8% effective tax rate, for the three months ended September 30, 2023. Income tax expense was $ 39.6 million, representing a 29.2% effective tax rate, for the nine months ended September 30, 2024, compared to $31.5 million, representing a 23.5% effective tax rate, for the nine months ended September 30, 2023. The increase in our effective tax rate for the nine months ended September 30, 2024, was primarily driven by the $17.1M IPR&amp;D charge related to the Epygenix acquisition, which was nondeductible for tax purposes. The effective tax rate of 25.9% for the three months ended September 30, 2024, included 5.1% in state income taxes, partially offset by a 0.9% benefit from credits. The effective tax rate of 29.2% for the nine months ended September 30, 2024, included 2.5% for nondeductible IPR&amp;D charges and 6.3% in state income taxes, partially offset by a 1.2% benefit from credits.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Sources of Funding and Capital Resources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of September 30, 2024, we had cash, cash equivalents, and investments of $504.7 million, outstanding debt of $185.0 million and an accumulated deficit of $47.3 million.</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unaudited condensed consolidated financial statements have been prepared as though we will continue as a going concern, which contemplates the realization of assets and satisfaction of liabilities in the normal course of business.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believe that our existing cash, cash equivalents and investments on hand as of September 30, 2024, will enable us to meet our operational liquidity needs and fund our potential investing activities for the next 12 months. We have based our liquidity and cash flow projections on assumptions that may prove to be incorrect, and we could use our capital resources sooner than we expect.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July 2023, we entered into a Credit Agreement (the “TLA Credit Agreement”) with JPMorgan Chase Bank, N.A., as “Administrative Agent”, and certain lenders. The TLA Credit Agreement provides for a five-year senior secured term loan (the “TLA Term Loan”) in an aggregate principal amount of $185.0 million.</w:t>
      </w:r>
    </w:p>
    <w:p>
      <w:pPr>
        <w:spacing w:after="0" w:line="16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September 2023, we entered into the First Incremental Amendment (the “First Incremental Amendment”) with the Administrative Agent and Bank of America, N.A., as incremental lender. The First Incremental Amendment provides for an incremental senior secured term loan (the “Incremental Term Loan”) in an aggregate principal amount of $15.0 million. The First Incremental Amendment amends the TLA Credit Agreement and provides that the Incremental Term Loan will have identical terms as the TLA Term Loan.</w:t>
      </w:r>
    </w:p>
    <w:p>
      <w:pPr>
        <w:spacing w:after="0" w:line="1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repayment schedule for both the TLA Term Loan and the Incremental Term Loan (together, the “Term Loans”) consists of $3.8 million quarterly principal payments, which commence on December 31, 2023, increasing to $5.0 million quarterly principal payments beginning on December 31, 2025, with a $115.0 million payment due on the maturity date of July 26, 2028. The Term Loans bear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TLA Credit Agreement contains customary affirmative and negative covenants, financial covenants, representations and warranties, events of default and other provisions. We were in compliance with all covenants as of September 30, 2024.</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212529"/>
        </w:rPr>
        <w:t>Blackstone Credit Agreement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212529"/>
        </w:rPr>
        <w:t>In August 2021, we entered into the Blackstone Credit Agreement, which provided for (i) a senior secured term loan facility in an aggregate original principal amount of $200.0 million (the “Initial Term Loan”) and (ii) a senior secured delayed draw term loan facility in an aggregate principal amount up to $100.0 million (the “DDTL”). The DDTL was initially available to draw down through August 9, 2022. In August 2022, we entered into an agreement to extend the expiration date of the DDTL to August 9, 2023, for which we would pay a ticking fee at a rate of 1% per annum on the undrawn portion of the DDTL (the “Ticking Fee”), commencing on August 10, 2022.</w:t>
      </w:r>
    </w:p>
    <w:p>
      <w:pPr>
        <w:spacing w:after="0" w:line="185"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212529"/>
        </w:rPr>
        <w:t>Net cash received from the Initial Term Loan was $191.8 million, net of debt issuance costs of $8.2 million. In addition, we paid $ 1.0 million in debt issuance costs relating to the DDTL, which was initially recorded in other current assets within the unaudited condensed consolidated balance sheet.</w:t>
      </w:r>
    </w:p>
    <w:p>
      <w:pPr>
        <w:spacing w:after="0" w:line="16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212529"/>
        </w:rPr>
        <w:t>In connection with the TLA Credit Agreement, we extinguished the Blackstone Credit Agreement, which required a payoff amount of $207.3 million consisting of principal repayment, interest, exit fees, payment of the Ticking Fee and a prepayment premium. We recognized a loss on extinguishment of debt of $9.8 million relating to the Blackstone Credit Agreement within our unaudited condensed consolidated statements of operations and comprehensive income for the three and nine months ended September 30, 2023. In addition, we recognized $2.0 million relating to unamortized debt issuance costs relating to the DDTL and the Ticking Fee, which was recorded in interest expense, net within the unaudited condensed consolidated statement of operations and comprehensive income for the three and nine months ended September 30, 2023.</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October 2023, our Board of Directors approved a share repurchase program (the “October 2023 Repurchase Program”) providing for the repurchase of shares of common stock in an aggregate amount of up to $200,000, excluding commissions and transaction fees. The October 2023 Repurchase Program may be suspended, terminated, or modified at any time for any reason. During the three and nine months ended September 30, 2024, no shares of common stock were repurchased and cancelled by the Company under the October 2023 Repurchase Program. As of September 30, 2024, the remaining amount of common stock authorized for repurchases was $150.0 million.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Zynerba Acquisition</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 October 2023, we completed a tender offer (the “Tender Offer”) to acquire all of the outstanding shares of common stock of Zynerba (“Zynerba Common Stock”).</w:t>
      </w:r>
    </w:p>
    <w:p>
      <w:pPr>
        <w:spacing w:after="0" w:line="154" w:lineRule="exact"/>
        <w:rPr>
          <w:sz w:val="20"/>
          <w:szCs w:val="20"/>
          <w:color w:val="auto"/>
        </w:rPr>
      </w:pPr>
    </w:p>
    <w:p>
      <w:pPr>
        <w:jc w:val="both"/>
        <w:ind w:left="60" w:right="59" w:firstLine="648"/>
        <w:spacing w:after="0" w:line="245" w:lineRule="auto"/>
        <w:rPr>
          <w:sz w:val="20"/>
          <w:szCs w:val="20"/>
          <w:color w:val="auto"/>
        </w:rPr>
      </w:pPr>
      <w:r>
        <w:rPr>
          <w:rFonts w:ascii="Arial" w:cs="Arial" w:eastAsia="Arial" w:hAnsi="Arial"/>
          <w:sz w:val="18"/>
          <w:szCs w:val="18"/>
          <w:color w:val="auto"/>
        </w:rPr>
        <w:t>Under the terms of the Tender Offer, we paid (i) $1.1059 per share of Zynerba Common Stock (the “Common Cash Amount”), the aggregate amount of which was $60.0 million and was paid at closing, plus</w:t>
      </w:r>
    </w:p>
    <w:p>
      <w:pPr>
        <w:jc w:val="both"/>
        <w:ind w:left="60" w:right="59" w:hanging="10"/>
        <w:spacing w:after="0" w:line="238" w:lineRule="auto"/>
        <w:tabs>
          <w:tab w:leader="none" w:pos="3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one contingent value right (each, a “CVR”) per share of Zynerba Common Stock (the “Common CVR Amount”), which represents the right to receive up to approximately $2.5444 per share of Zynerba Common Stock, subject to the achievement of certain clinical, regulatory and sales-based milestones. The Common CVR Amounts are to be paid in cash, subject to any applicable withholding of taxes and without interest. The aggregate consideration we paid to acquire the Zynerba Common Stock upon completion of the Tender Offer was $60.0 million, exclusive of transaction-related fees. We financed the acquisition with cash on hand.</w:t>
      </w:r>
    </w:p>
    <w:p>
      <w:pPr>
        <w:spacing w:after="0" w:line="18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July 1, 2024, we announced the change of the name of our wholly owned subsidiary from “Zynerba Pharmaceuticals, Inc.” to “Harmony Biosciences Management, Inc.” As of July 1, 2024, Zynerba Pharmaceuticals, Inc. is now known as Harmony Biosciences Management, Inc.</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Epygenix Acquisition</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April 2024, we acquired all of the outstanding capital stock of Epygenix, pursuant to the terms of a stock purchase agreement. In connection with the closing of the transaction, we paid the former stockholders of Epygenix up front consideration of $35.0 million less a working capital adjustment. In addition, we will also be obligated to pay up to $130.0 million upon the achievement of development and regulatory milestones and up to $515.0 million upon the achievement of certain sales-based milestones, in each case to Epygenix’s former stockholders. As a result, the Company now has an exclusive license relating to the use of clemizole, initially for the treatment of DS and LGS.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ConSynance Agreement</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August 2021, we entered into an asset purchase agreement with ConSynance Therapeutics, Inc. (the “APA”) to acquire HBS-102, a potential first-in-class molecule with a novel mechanism of action. Under the terms of the APA, we acquired full development and commercialization rights globally, with the exception of Greater China, for $3.5 million. In March 2023, we achieved a preclinical milestone, which triggered a $0.8 million payment under the provisions of the APA, which we recognized as an IPR&amp;D charge recorded in research and development within the unaudited condensed consolidated statement of operations and comprehensive income for the nine months ended September 30, 2023. In September 2024, we achieved a milestone for preclinical proof-of concept, which triggered a $1.0 million payment under the provisions of the APA, which we recognized as an IPR&amp;D charge recorded in research and development within the unaudited condensed consolidated statement of operations and comprehensive income for the three and nine months ended September 30, 2024. There are additional payments due upon the achievement of certain milestones, including $19.0 million for development milestones, $44.0 million for regulatory milestones and $110.0 million for sales milestones.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Bioprojet Agreements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April 2024, we entered into a sublicense agreement with Bioprojet for an orexin-2 receptor agonist (OX2R) (the “Licensed Compound”) to be evaluated for the treatment of narcolepsy and other potential indications (the “Sublicense”). Under the Sublicense, the Company obtained the exclusive right to develop, manufacture and commercialize the Licensed Compound in the United States and Latin American territories (the “Licensed Territories”), which are rights that Bioprojet originally licensed from Teijin Pharma, the innovator of the Licensed Compound. The Licensed Compound is currently in pre-clinical development with a Clinical Trial Application currently anticipated in mid-2025. Under the Sublicense, the Company paid Bioprojet an upfront license fee of $25.5 million and will also be obligated to pay up to $127.5 million upon achievement of development and regulatory milestones and up to $ 240.0 million upon achievement of sales-based milestones, as well as royalty rates in the mid-teens on potential sales in the Licensed Territories.</w:t>
      </w:r>
    </w:p>
    <w:p>
      <w:pPr>
        <w:spacing w:after="0" w:line="27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July 2022, we entered into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paid an initial, non-refundable $30.0 million licensing fee in October 2022 and additional payments of up to $155.0 million are potentially due under the 2022 LCA upon the achievement of certain future development and sales-based milestones. In addition, certain payments will become due upon the achievement of development milestones for new indications and formulations as agreed upon by both parties. The 2022 LCA also includes a fixed trademark royalty and a tiered royalty based on net sales of any new products commercialized, which will be payable to Bioprojet on a quarterly basis.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Milestones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September 2024, we achieved a preclinical milestone that triggered a $1.0 million payment under the provisions of the APA, which is unpaid and recorded in accrued expenses in our unaudited condensed consolidated balance sheet as of September 30, 2024.</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left="60" w:right="319" w:firstLine="648"/>
        <w:spacing w:after="0" w:line="271" w:lineRule="auto"/>
        <w:rPr>
          <w:sz w:val="20"/>
          <w:szCs w:val="20"/>
          <w:color w:val="auto"/>
        </w:rPr>
      </w:pPr>
      <w:r>
        <w:rPr>
          <w:rFonts w:ascii="Arial" w:cs="Arial" w:eastAsia="Arial" w:hAnsi="Arial"/>
          <w:sz w:val="18"/>
          <w:szCs w:val="18"/>
          <w:color w:val="auto"/>
        </w:rPr>
        <w:t>The following table sets forth a summary of our cash flows for the nine months ended September 30, 2024, and 2023:</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6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Selected cash flow data</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28"/>
        </w:trPr>
        <w:tc>
          <w:tcPr>
            <w:tcW w:w="638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tcPr>
          <w:p>
            <w:pPr>
              <w:jc w:val="center"/>
              <w:ind w:left="397"/>
              <w:spacing w:after="0" w:line="129"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Cash provided by (used in):</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79"/>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144,259</w:t>
            </w:r>
          </w:p>
        </w:tc>
        <w:tc>
          <w:tcPr>
            <w:tcW w:w="240" w:type="dxa"/>
            <w:vAlign w:val="bottom"/>
          </w:tcPr>
          <w:p>
            <w:pPr>
              <w:spacing w:after="0"/>
              <w:rPr>
                <w:sz w:val="17"/>
                <w:szCs w:val="17"/>
                <w:color w:val="auto"/>
              </w:rPr>
            </w:pP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142,722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3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(60,297)</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(10,374)</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(8,255)</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(52,029)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Activities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Net cash provided by operating activities for the nine months ended September 30, 2024, primarily consisted of net income of $96.0 million adjusted for non-cash items of $42.6 million related to acquired IPR&amp;D, $32.9 million related to stock-based compensation expense, and $ 18.1 million related to intangible amortization and depreciation, offset by $22.6 million related to deferred tax assets. Net working capital excluding cash increased by $23.1 million, primarily driven by increases in accounts receivable due to higher net product revenue in the current period and decreases in accounts payable due to the timing of payments.</w:t>
      </w:r>
    </w:p>
    <w:p>
      <w:pPr>
        <w:spacing w:after="0" w:line="179"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Net cash provided by operating activities for the nine months ended September 30, 2023, consisted of net income of $102.2 million adjusted for non-cash items of $14.5 million related to deferred tax assets, $18.2 million related to intangible amortization and depreciation, $22.3 million related to stock-based compensation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expense and $9.8 million related to loss on extinguishment of debt. Net working capital excluding cash increased by $3.4 million.</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Investing Activities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used in investing activities for the nine months ended September 30, 2024, was $60.3 million, which was primarily attributable to $69.6 million in purchases of debt securities, a $25.5 million license fee paid to Bioprojet, $33.1 million net cash consideration paid for the acquisition of Epygenix, and $0.6 million in purchases of property and equipment, partially offset by $68.5 million from maturities of investments.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Net cash used in investing activities for the nine months ended September 30, 2023, was $10.4 million, which was primarily attributable to $105.9 million in purchases of debt securities, partially offset by $95.7 million in proceeds from sales and maturities of investments and $0.2 million in purchases of property and equipment.</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Financing Activities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used in financing activities for the nine months ended September 30, 2024, was $8.3 million, which primarily consisted of $11.3 million in principal payments associated with the TLA Credit Agreement, partially offset by $3.2 million in proceeds from the exercise of stock options, and $0.3 million of employee withholding tax payments related to stock-based awards.</w:t>
      </w:r>
    </w:p>
    <w:p>
      <w:pPr>
        <w:spacing w:after="0" w:line="17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Net cash provided by financing activities for the nine months ended September 30, 2023, was $52.0 million, which primarily consisted of $202.3 million in payments of principal and exit fees associated with the extinguishment of the Blackstone Credit Agreement, $50.0 million in share repurchases and $1.0 million in principal payments associated with the Blackstone Credit Agreement, partially offset by $197.0 million in proceeds associated with the TLA Credit Agreement, net of issuance costs, and $4.8 million in proceeds from exercised options.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or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18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Significant estimates include assumptions used in the determination of the amount of revenue recognized on sales of WAKIX, costs incurred under services type agreements related to the performance of research and development activities, the measurement of compensation expense pursuant to stock-based awards, the calculation of our income tax provision, and the determination of accounting treatment for our business combinations. We base our estimates on contractual terms,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During the quarter covered by this report, there were no material changes to the accounting policies and assumptions previously disclosed, except as disclosed in Note 3 to the unaudited condensed consolidated financial statements contained herein.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699" w:firstLine="648"/>
        <w:spacing w:after="0" w:line="271" w:lineRule="auto"/>
        <w:rPr>
          <w:sz w:val="20"/>
          <w:szCs w:val="20"/>
          <w:color w:val="auto"/>
        </w:rPr>
      </w:pPr>
      <w:r>
        <w:rPr>
          <w:rFonts w:ascii="Arial" w:cs="Arial" w:eastAsia="Arial" w:hAnsi="Arial"/>
          <w:sz w:val="18"/>
          <w:szCs w:val="18"/>
          <w:color w:val="auto"/>
        </w:rPr>
        <w:t>See Note 3 to our unaudited condensed consolidated financial statements for recent accounting pronouncements.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Fluctuation Risk</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are exposed to market risk related to changes in interest rates. We invest a portion of our cash in investment-grade, interest-bearing securities. The primary objectives of our investment activities are to preserve principal, maintain liquidity and maximize total return. In order to achieve these objectives, we invest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We do not have any direct investments in asset-backed securities, collateralized debt or loan obligations, or structured investment vehicles. Our primary exposure to market risk is interest income sensitivity, which is affected by changes in the general level of U.S. interest rates. Based on our $413.7 million of investments in money market funds, U.S. treasury notes, corporate bonds and municipal obligations as of September 30, 2024, an immediate 10% change in market interest rates would not have a material impact on the fair market value of our investment portfolio or on our financial position or results of operations.</w:t>
      </w:r>
    </w:p>
    <w:p>
      <w:pPr>
        <w:spacing w:after="0" w:line="18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September 30, 2024, we had $185.0 million in borrowings outstanding. The Term Loans bear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 Based on the $185.0 million of principal outstanding as of September 30, 2024, an immediate 10% change in the SOFR would not have a material impact on our debt-related obligations, financial position or results of operations.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 Fluctuation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Inflation Fluctuation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each of the three months ended September 30, 2024, and 2023.</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Our management, including our principal executive officer and our principal financial officer, has evaluated the effectiveness of our disclosure controls and procedures, as defined in Rules 13a-15(e) and 15d-15(e) under the Exchange Act, as of September 30, 2024. Based on that evaluation, our principal executive officer and principal financial officer concluded that, as of September 30, 2024, our disclosure controls and procedures were effective to provide reasonable assurance that the information we are required to disclose in reports that we file or submit under the Exchange Act is recorded, processed,</w:t>
      </w:r>
    </w:p>
    <w:p>
      <w:pPr>
        <w:sectPr>
          <w:pgSz w:w="11900" w:h="16838" w:orient="portrait"/>
          <w:cols w:equalWidth="0" w:num="1">
            <w:col w:w="9019"/>
          </w:cols>
          <w:pgMar w:left="1440" w:top="512"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2024, that have materially affected, or are reasonably likely to materially affect, our internal control over financial reporting.</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r>
        <w:rPr>
          <w:rFonts w:ascii="Arial" w:cs="Arial" w:eastAsia="Arial" w:hAnsi="Arial"/>
          <w:sz w:val="18"/>
          <w:szCs w:val="18"/>
          <w:b w:val="1"/>
          <w:bCs w:val="1"/>
          <w:i w:val="1"/>
          <w:iCs w:val="1"/>
          <w:color w:val="auto"/>
        </w:rPr>
        <w: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17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Refer to Part I, Item I, Note 13 “Commitments and Contingencies,” of this Quarterly Report for a full description of our material pending legal matters.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addition to the other information included in this report, you should carefully consider the discussion of risk factors affecting the Company as set forth in Part I, Item 1A "Risk Factors” included in our Annual Report on Form 10-K for the year ended December 31, 2023, which could materially affect our business, financial condition or future results. The risks described in these reports are not the only risks facing the Company. Additional risks and uncertainties not currently known to us or that we currently deem to be immaterial may also materially adversely affect our business, financial condition, and operating results.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Rule 10b5-1 Trading Arrangements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On August 26, 2024, Sandip Kapadia, Chief Financial Officer and Chief Administrative Officer of the Company, adopted a Rule 10b5-1 trading arrangement that is intended to satisfy the affirmative defense of Rule 10b5-1(c) for the sale of (i) up to 55,000 shares of the Company’s common stock related to the exercise of options, and (ii) an indeterminable number of shares of the Company’s common stock that will depend on the number of shares sold to cover tax withholding obligations in connection with the vesting of 18,812 restricted stock units previously granted, beginning on December 31, 2024 and continuing until June 30, 2025.</w:t>
      </w:r>
    </w:p>
    <w:p>
      <w:pPr>
        <w:spacing w:after="0" w:line="17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On August 27, 2024, Jeffrey Dierks, Chief Commercial Officer of the Company, adopted a Rule 10b5-1 trading arrangement that is intended to satisfy the affirmative defense of Rule 10b5-1(c) for the sale of (i) up to 28,015 shares of the Company’s common stock related to the exercise of options, and (ii) an indeterminable number of shares of the Company’s common stock that will depend on the number of shares sold to cover tax withholding obligations in connection with the vesting of 2,687 restricted stock units previously granted, beginning on January 2, 2025 and continuing until June 30, 2025.</w:t>
      </w:r>
    </w:p>
    <w:p>
      <w:pPr>
        <w:spacing w:after="0" w:line="17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On September 13, 2024, Jeffrey Dayno, President, Chief Executive Officer, and Director of the Company, adopted a Rule 10b5-1 trading arrangement that is intended to satisfy the affirmative defense of Rule 10b5-1(c) for the sale of (i) up to 59,293 shares of the Company’s common stock related to the exercise of options, (ii) an indeterminable number of shares of the Company’s common stock that will depend on the number of shares sold to cover tax withholding obligations in connection with the vesting of 10,500 restricted stock units previously granted, beginning no earlier than December 13, 2024 and continuing until December 15, 2025.</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the three months ended September 30, 2024, no director or officer of the Company terminated a “Rule 10b5-1 trading arrangement” or “non-Rule 10b5-1 trading arrangement,” as each term is defined in Item 408(a) of Regulation S-K.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55"/>
        </w:trPr>
        <w:tc>
          <w:tcPr>
            <w:tcW w:w="98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gridSpan w:val="20"/>
          </w:tcPr>
          <w:p>
            <w:pPr>
              <w:ind w:left="360"/>
              <w:spacing w:after="0" w:line="155" w:lineRule="exact"/>
              <w:rPr>
                <w:sz w:val="20"/>
                <w:szCs w:val="20"/>
                <w:color w:val="auto"/>
              </w:rPr>
            </w:pPr>
            <w:r>
              <w:rPr>
                <w:rFonts w:ascii="Arial" w:cs="Arial" w:eastAsia="Arial" w:hAnsi="Arial"/>
                <w:sz w:val="14"/>
                <w:szCs w:val="14"/>
                <w:b w:val="1"/>
                <w:bCs w:val="1"/>
                <w:color w:val="auto"/>
              </w:rPr>
              <w:t>Exhibit Description</w:t>
            </w:r>
          </w:p>
        </w:tc>
        <w:tc>
          <w:tcPr>
            <w:tcW w:w="560" w:type="dxa"/>
            <w:vAlign w:val="bottom"/>
          </w:tcPr>
          <w:p>
            <w:pPr>
              <w:jc w:val="center"/>
              <w:ind w:left="88"/>
              <w:spacing w:after="0" w:line="155" w:lineRule="exact"/>
              <w:rPr>
                <w:sz w:val="20"/>
                <w:szCs w:val="20"/>
                <w:color w:val="auto"/>
              </w:rPr>
            </w:pPr>
            <w:r>
              <w:rPr>
                <w:rFonts w:ascii="Arial" w:cs="Arial" w:eastAsia="Arial" w:hAnsi="Arial"/>
                <w:sz w:val="14"/>
                <w:szCs w:val="14"/>
                <w:b w:val="1"/>
                <w:bCs w:val="1"/>
                <w:color w:val="auto"/>
              </w:rPr>
              <w:t>Form</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Date</w:t>
            </w:r>
          </w:p>
        </w:tc>
        <w:tc>
          <w:tcPr>
            <w:tcW w:w="8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2"/>
        </w:trPr>
        <w:tc>
          <w:tcPr>
            <w:tcW w:w="98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Borders>
              <w:top w:val="single" w:sz="8" w:color="auto"/>
            </w:tcBorders>
            <w:gridSpan w:val="21"/>
          </w:tcPr>
          <w:p>
            <w:pPr>
              <w:spacing w:after="0" w:line="142" w:lineRule="exact"/>
              <w:rPr>
                <w:rFonts w:ascii="Arial" w:cs="Arial" w:eastAsia="Arial" w:hAnsi="Arial"/>
                <w:sz w:val="14"/>
                <w:szCs w:val="14"/>
                <w:color w:val="0000EE"/>
              </w:rPr>
            </w:pPr>
            <w:hyperlink r:id="rId57">
              <w:r>
                <w:rPr>
                  <w:rFonts w:ascii="Arial" w:cs="Arial" w:eastAsia="Arial" w:hAnsi="Arial"/>
                  <w:sz w:val="14"/>
                  <w:szCs w:val="14"/>
                  <w:color w:val="0000EE"/>
                </w:rPr>
                <w:t>Agreement and Plan of Merger, dated August 14, 2023, by and among</w:t>
              </w:r>
            </w:hyperlink>
          </w:p>
        </w:tc>
        <w:tc>
          <w:tcPr>
            <w:tcW w:w="160" w:type="dxa"/>
            <w:vAlign w:val="bottom"/>
          </w:tcPr>
          <w:p>
            <w:pPr>
              <w:spacing w:after="0"/>
              <w:rPr>
                <w:sz w:val="12"/>
                <w:szCs w:val="12"/>
                <w:color w:val="auto"/>
              </w:rPr>
            </w:pPr>
          </w:p>
        </w:tc>
        <w:tc>
          <w:tcPr>
            <w:tcW w:w="560" w:type="dxa"/>
            <w:vAlign w:val="bottom"/>
            <w:tcBorders>
              <w:top w:val="single" w:sz="8" w:color="auto"/>
            </w:tcBorders>
          </w:tcPr>
          <w:p>
            <w:pPr>
              <w:jc w:val="center"/>
              <w:ind w:left="88"/>
              <w:spacing w:after="0" w:line="142" w:lineRule="exact"/>
              <w:rPr>
                <w:sz w:val="20"/>
                <w:szCs w:val="20"/>
                <w:color w:val="auto"/>
              </w:rPr>
            </w:pPr>
            <w:r>
              <w:rPr>
                <w:rFonts w:ascii="Arial" w:cs="Arial" w:eastAsia="Arial" w:hAnsi="Arial"/>
                <w:sz w:val="14"/>
                <w:szCs w:val="14"/>
                <w:color w:val="auto"/>
              </w:rPr>
              <w:t>8-K/A</w:t>
            </w:r>
          </w:p>
        </w:tc>
        <w:tc>
          <w:tcPr>
            <w:tcW w:w="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September 14,</w:t>
            </w:r>
          </w:p>
        </w:tc>
        <w:tc>
          <w:tcPr>
            <w:tcW w:w="820" w:type="dxa"/>
            <w:vAlign w:val="bottom"/>
          </w:tcPr>
          <w:p>
            <w:pPr>
              <w:jc w:val="center"/>
              <w:ind w:left="68"/>
              <w:spacing w:after="0" w:line="142"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20" w:type="dxa"/>
            <w:vAlign w:val="bottom"/>
            <w:tcBorders>
              <w:top w:val="single" w:sz="8" w:color="0000EE"/>
            </w:tcBorders>
            <w:gridSpan w:val="19"/>
          </w:tcPr>
          <w:p>
            <w:pPr>
              <w:spacing w:after="0" w:line="142" w:lineRule="exact"/>
              <w:rPr>
                <w:rFonts w:ascii="Arial" w:cs="Arial" w:eastAsia="Arial" w:hAnsi="Arial"/>
                <w:sz w:val="14"/>
                <w:szCs w:val="14"/>
                <w:color w:val="0000EE"/>
              </w:rPr>
            </w:pPr>
            <w:hyperlink r:id="rId57">
              <w:r>
                <w:rPr>
                  <w:rFonts w:ascii="Arial" w:cs="Arial" w:eastAsia="Arial" w:hAnsi="Arial"/>
                  <w:sz w:val="14"/>
                  <w:szCs w:val="14"/>
                  <w:color w:val="0000EE"/>
                </w:rPr>
                <w:t>Harmony Biosciences Holdings, Inc., Xylophone Acquisition Corp.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3"/>
          </w:tcPr>
          <w:p>
            <w:pPr>
              <w:jc w:val="center"/>
              <w:ind w:left="228"/>
              <w:spacing w:after="0" w:line="142" w:lineRule="exact"/>
              <w:rPr>
                <w:sz w:val="20"/>
                <w:szCs w:val="20"/>
                <w:color w:val="auto"/>
              </w:rPr>
            </w:pPr>
            <w:r>
              <w:rPr>
                <w:rFonts w:ascii="Arial" w:cs="Arial" w:eastAsia="Arial" w:hAnsi="Arial"/>
                <w:sz w:val="14"/>
                <w:szCs w:val="14"/>
                <w:color w:val="auto"/>
              </w:rPr>
              <w:t>2023</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08"/>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2"/>
                <w:szCs w:val="12"/>
                <w:color w:val="auto"/>
              </w:rPr>
            </w:pPr>
          </w:p>
        </w:tc>
        <w:tc>
          <w:tcPr>
            <w:tcW w:w="4480" w:type="dxa"/>
            <w:vAlign w:val="bottom"/>
            <w:tcBorders>
              <w:top w:val="single" w:sz="8" w:color="0000EE"/>
            </w:tcBorders>
            <w:gridSpan w:val="17"/>
          </w:tcPr>
          <w:p>
            <w:pPr>
              <w:spacing w:after="0" w:line="142" w:lineRule="exact"/>
              <w:rPr>
                <w:rFonts w:ascii="Arial" w:cs="Arial" w:eastAsia="Arial" w:hAnsi="Arial"/>
                <w:sz w:val="14"/>
                <w:szCs w:val="14"/>
                <w:color w:val="0000EE"/>
              </w:rPr>
            </w:pPr>
            <w:hyperlink r:id="rId57">
              <w:r>
                <w:rPr>
                  <w:rFonts w:ascii="Arial" w:cs="Arial" w:eastAsia="Arial" w:hAnsi="Arial"/>
                  <w:sz w:val="14"/>
                  <w:szCs w:val="14"/>
                  <w:color w:val="0000EE"/>
                </w:rPr>
                <w:t>Zynerba Pharmaceuticals, Inc.</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August 21, 2020</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3"/>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Amended and Restated Certificate of Incorporation of Harmony</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08"/>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4020" w:type="dxa"/>
            <w:vAlign w:val="bottom"/>
            <w:tcBorders>
              <w:top w:val="single" w:sz="8" w:color="0000EE"/>
            </w:tcBorders>
            <w:gridSpan w:val="10"/>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Biosciences Holdings, Inc.</w:t>
              </w:r>
            </w:hyperlink>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August 21, 2020</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Borders>
              <w:top w:val="single" w:sz="8" w:color="0000EE"/>
              <w:bottom w:val="single" w:sz="8" w:color="0000EE"/>
            </w:tcBorders>
            <w:gridSpan w:val="4"/>
          </w:tcPr>
          <w:p>
            <w:pPr>
              <w:spacing w:after="0" w:line="142" w:lineRule="exact"/>
              <w:rPr>
                <w:rFonts w:ascii="Arial" w:cs="Arial" w:eastAsia="Arial" w:hAnsi="Arial"/>
                <w:sz w:val="14"/>
                <w:szCs w:val="14"/>
                <w:color w:val="0000EE"/>
              </w:rPr>
            </w:pPr>
            <w:hyperlink r:id="rId59">
              <w:r>
                <w:rPr>
                  <w:rFonts w:ascii="Arial" w:cs="Arial" w:eastAsia="Arial" w:hAnsi="Arial"/>
                  <w:sz w:val="14"/>
                  <w:szCs w:val="14"/>
                  <w:color w:val="0000EE"/>
                </w:rPr>
                <w:t>Amended and Restated</w:t>
              </w:r>
            </w:hyperlink>
          </w:p>
        </w:tc>
        <w:tc>
          <w:tcPr>
            <w:tcW w:w="380" w:type="dxa"/>
            <w:vAlign w:val="bottom"/>
            <w:tcBorders>
              <w:bottom w:val="single" w:sz="8" w:color="0000EE"/>
            </w:tcBorders>
            <w:gridSpan w:val="4"/>
          </w:tcPr>
          <w:p>
            <w:pPr>
              <w:spacing w:after="0" w:line="142" w:lineRule="exact"/>
              <w:rPr>
                <w:rFonts w:ascii="Arial" w:cs="Arial" w:eastAsia="Arial" w:hAnsi="Arial"/>
                <w:sz w:val="14"/>
                <w:szCs w:val="14"/>
                <w:color w:val="0000EE"/>
                <w:w w:val="74"/>
              </w:rPr>
            </w:pPr>
            <w:hyperlink r:id="rId59">
              <w:r>
                <w:rPr>
                  <w:rFonts w:ascii="Arial" w:cs="Arial" w:eastAsia="Arial" w:hAnsi="Arial"/>
                  <w:sz w:val="14"/>
                  <w:szCs w:val="14"/>
                  <w:color w:val="0000EE"/>
                  <w:w w:val="74"/>
                </w:rPr>
                <w:t>Bylaws.</w:t>
              </w:r>
            </w:hyperlink>
          </w:p>
        </w:tc>
        <w:tc>
          <w:tcPr>
            <w:tcW w:w="2740" w:type="dxa"/>
            <w:vAlign w:val="bottom"/>
            <w:gridSpan w:val="15"/>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jc w:val="right"/>
              <w:ind w:right="408"/>
              <w:spacing w:after="0" w:line="142" w:lineRule="exact"/>
              <w:rPr>
                <w:sz w:val="20"/>
                <w:szCs w:val="20"/>
                <w:color w:val="auto"/>
              </w:rPr>
            </w:pPr>
            <w:r>
              <w:rPr>
                <w:rFonts w:ascii="Arial" w:cs="Arial" w:eastAsia="Arial" w:hAnsi="Arial"/>
                <w:sz w:val="14"/>
                <w:szCs w:val="14"/>
                <w:color w:val="auto"/>
              </w:rPr>
              <w:t>10.1</w:t>
            </w:r>
          </w:p>
        </w:tc>
        <w:tc>
          <w:tcPr>
            <w:tcW w:w="160" w:type="dxa"/>
            <w:vAlign w:val="bottom"/>
          </w:tcPr>
          <w:p>
            <w:pPr>
              <w:spacing w:after="0"/>
              <w:rPr>
                <w:sz w:val="12"/>
                <w:szCs w:val="12"/>
                <w:color w:val="auto"/>
              </w:rPr>
            </w:pPr>
          </w:p>
        </w:tc>
        <w:tc>
          <w:tcPr>
            <w:tcW w:w="4800" w:type="dxa"/>
            <w:vAlign w:val="bottom"/>
            <w:gridSpan w:val="23"/>
          </w:tcPr>
          <w:p>
            <w:pPr>
              <w:spacing w:after="0" w:line="142" w:lineRule="exact"/>
              <w:rPr>
                <w:rFonts w:ascii="Arial" w:cs="Arial" w:eastAsia="Arial" w:hAnsi="Arial"/>
                <w:sz w:val="14"/>
                <w:szCs w:val="14"/>
                <w:color w:val="0000EE"/>
              </w:rPr>
            </w:pPr>
            <w:hyperlink r:id="rId60">
              <w:r>
                <w:rPr>
                  <w:rFonts w:ascii="Arial" w:cs="Arial" w:eastAsia="Arial" w:hAnsi="Arial"/>
                  <w:sz w:val="14"/>
                  <w:szCs w:val="14"/>
                  <w:color w:val="0000EE"/>
                </w:rPr>
                <w:t>Amendment No. 1 to License and Commercialization Agreement, dated</w:t>
              </w:r>
            </w:hyperlink>
          </w:p>
        </w:tc>
        <w:tc>
          <w:tcPr>
            <w:tcW w:w="560" w:type="dxa"/>
            <w:vAlign w:val="bottom"/>
          </w:tcPr>
          <w:p>
            <w:pPr>
              <w:jc w:val="center"/>
              <w:ind w:left="88"/>
              <w:spacing w:after="0" w:line="142" w:lineRule="exact"/>
              <w:rPr>
                <w:sz w:val="20"/>
                <w:szCs w:val="20"/>
                <w:color w:val="auto"/>
              </w:rPr>
            </w:pPr>
            <w:r>
              <w:rPr>
                <w:rFonts w:ascii="Arial" w:cs="Arial" w:eastAsia="Arial" w:hAnsi="Arial"/>
                <w:sz w:val="14"/>
                <w:szCs w:val="14"/>
                <w:color w:val="auto"/>
              </w:rPr>
              <w:t>10-Q</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4"/>
                <w:szCs w:val="14"/>
                <w:color w:val="auto"/>
              </w:rPr>
              <w:t>April 30, 2024</w:t>
            </w:r>
          </w:p>
        </w:tc>
        <w:tc>
          <w:tcPr>
            <w:tcW w:w="820" w:type="dxa"/>
            <w:vAlign w:val="bottom"/>
          </w:tcPr>
          <w:p>
            <w:pPr>
              <w:jc w:val="center"/>
              <w:ind w:left="68"/>
              <w:spacing w:after="0" w:line="142"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60" w:type="dxa"/>
            <w:vAlign w:val="bottom"/>
            <w:tcBorders>
              <w:top w:val="single" w:sz="8" w:color="0000EE"/>
            </w:tcBorders>
            <w:gridSpan w:val="21"/>
          </w:tcPr>
          <w:p>
            <w:pPr>
              <w:spacing w:after="0" w:line="142" w:lineRule="exact"/>
              <w:rPr>
                <w:rFonts w:ascii="Arial" w:cs="Arial" w:eastAsia="Arial" w:hAnsi="Arial"/>
                <w:sz w:val="14"/>
                <w:szCs w:val="14"/>
                <w:color w:val="0000EE"/>
              </w:rPr>
            </w:pPr>
            <w:hyperlink r:id="rId60">
              <w:r>
                <w:rPr>
                  <w:rFonts w:ascii="Arial" w:cs="Arial" w:eastAsia="Arial" w:hAnsi="Arial"/>
                  <w:sz w:val="14"/>
                  <w:szCs w:val="14"/>
                  <w:color w:val="0000EE"/>
                </w:rPr>
                <w:t xml:space="preserve">July 31, 2022, by and between </w:t>
              </w:r>
              <w:r>
                <w:rPr>
                  <w:rFonts w:ascii="Arial" w:cs="Arial" w:eastAsia="Arial" w:hAnsi="Arial"/>
                  <w:sz w:val="14"/>
                  <w:szCs w:val="14"/>
                  <w:color w:val="0000EE"/>
                  <w:highlight w:val="white"/>
                </w:rPr>
                <w:t>Bioprojet Société Civile de Recherche</w:t>
              </w:r>
            </w:hyperlink>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08"/>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12"/>
                <w:szCs w:val="12"/>
                <w:color w:val="auto"/>
              </w:rPr>
            </w:pPr>
          </w:p>
        </w:tc>
        <w:tc>
          <w:tcPr>
            <w:tcW w:w="2000" w:type="dxa"/>
            <w:vAlign w:val="bottom"/>
            <w:tcBorders>
              <w:top w:val="single" w:sz="8" w:color="0000EE"/>
              <w:bottom w:val="single" w:sz="8" w:color="0000EE"/>
            </w:tcBorders>
            <w:gridSpan w:val="6"/>
          </w:tcPr>
          <w:p>
            <w:pPr>
              <w:spacing w:after="0" w:line="142" w:lineRule="exact"/>
              <w:rPr>
                <w:rFonts w:ascii="Arial" w:cs="Arial" w:eastAsia="Arial" w:hAnsi="Arial"/>
                <w:sz w:val="14"/>
                <w:szCs w:val="14"/>
                <w:color w:val="0000EE"/>
                <w:w w:val="98"/>
              </w:rPr>
            </w:pPr>
            <w:hyperlink r:id="rId60">
              <w:r>
                <w:rPr>
                  <w:rFonts w:ascii="Arial" w:cs="Arial" w:eastAsia="Arial" w:hAnsi="Arial"/>
                  <w:sz w:val="14"/>
                  <w:szCs w:val="14"/>
                  <w:color w:val="0000EE"/>
                  <w:w w:val="98"/>
                </w:rPr>
                <w:t>and Harmony Biosciences, LLC.</w:t>
              </w:r>
            </w:hyperlink>
          </w:p>
        </w:tc>
        <w:tc>
          <w:tcPr>
            <w:tcW w:w="20" w:type="dxa"/>
            <w:vAlign w:val="bottom"/>
            <w:tcBorders>
              <w:bottom w:val="single" w:sz="8" w:color="0000EE"/>
            </w:tcBorders>
          </w:tcPr>
          <w:p>
            <w:pPr>
              <w:spacing w:after="0"/>
              <w:rPr>
                <w:sz w:val="12"/>
                <w:szCs w:val="12"/>
                <w:color w:val="auto"/>
              </w:rPr>
            </w:pPr>
          </w:p>
        </w:tc>
        <w:tc>
          <w:tcPr>
            <w:tcW w:w="40" w:type="dxa"/>
            <w:vAlign w:val="bottom"/>
            <w:tcBorders>
              <w:top w:val="single" w:sz="8" w:color="0000EE"/>
              <w:bottom w:val="single" w:sz="8" w:color="0000EE"/>
            </w:tcBorders>
          </w:tcPr>
          <w:p>
            <w:pPr>
              <w:spacing w:after="0"/>
              <w:rPr>
                <w:sz w:val="12"/>
                <w:szCs w:val="12"/>
                <w:color w:val="auto"/>
              </w:rPr>
            </w:pPr>
          </w:p>
        </w:tc>
        <w:tc>
          <w:tcPr>
            <w:tcW w:w="1780" w:type="dxa"/>
            <w:vAlign w:val="bottom"/>
            <w:tcBorders>
              <w:top w:val="single" w:sz="8" w:color="0000EE"/>
            </w:tcBorders>
          </w:tcPr>
          <w:p>
            <w:pPr>
              <w:spacing w:after="0"/>
              <w:rPr>
                <w:sz w:val="12"/>
                <w:szCs w:val="12"/>
                <w:color w:val="auto"/>
              </w:rPr>
            </w:pPr>
          </w:p>
        </w:tc>
        <w:tc>
          <w:tcPr>
            <w:tcW w:w="400" w:type="dxa"/>
            <w:vAlign w:val="bottom"/>
            <w:tcBorders>
              <w:top w:val="single" w:sz="8" w:color="0000EE"/>
            </w:tcBorders>
            <w:gridSpan w:val="2"/>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3"/>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10-Q</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April 30, 2024</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3"/>
          </w:tcPr>
          <w:p>
            <w:pPr>
              <w:spacing w:after="0" w:line="142" w:lineRule="exact"/>
              <w:rPr>
                <w:rFonts w:ascii="Arial" w:cs="Arial" w:eastAsia="Arial" w:hAnsi="Arial"/>
                <w:sz w:val="14"/>
                <w:szCs w:val="14"/>
                <w:color w:val="0000EE"/>
              </w:rPr>
            </w:pPr>
            <w:hyperlink r:id="rId61">
              <w:r>
                <w:rPr>
                  <w:rFonts w:ascii="Arial" w:cs="Arial" w:eastAsia="Arial" w:hAnsi="Arial"/>
                  <w:sz w:val="14"/>
                  <w:szCs w:val="14"/>
                  <w:color w:val="0000EE"/>
                </w:rPr>
                <w:t>Amendment No. 2 to License and Commercialization Agreement, dated</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60" w:type="dxa"/>
            <w:vAlign w:val="bottom"/>
            <w:tcBorders>
              <w:top w:val="single" w:sz="8" w:color="0000EE"/>
            </w:tcBorders>
            <w:gridSpan w:val="21"/>
          </w:tcPr>
          <w:p>
            <w:pPr>
              <w:spacing w:after="0" w:line="142" w:lineRule="exact"/>
              <w:rPr>
                <w:rFonts w:ascii="Arial" w:cs="Arial" w:eastAsia="Arial" w:hAnsi="Arial"/>
                <w:sz w:val="14"/>
                <w:szCs w:val="14"/>
                <w:color w:val="0000EE"/>
              </w:rPr>
            </w:pPr>
            <w:hyperlink r:id="rId61">
              <w:r>
                <w:rPr>
                  <w:rFonts w:ascii="Arial" w:cs="Arial" w:eastAsia="Arial" w:hAnsi="Arial"/>
                  <w:sz w:val="14"/>
                  <w:szCs w:val="14"/>
                  <w:color w:val="0000EE"/>
                </w:rPr>
                <w:t xml:space="preserve">July 28, 2017, by and between </w:t>
              </w:r>
              <w:r>
                <w:rPr>
                  <w:rFonts w:ascii="Arial" w:cs="Arial" w:eastAsia="Arial" w:hAnsi="Arial"/>
                  <w:sz w:val="14"/>
                  <w:szCs w:val="14"/>
                  <w:color w:val="0000EE"/>
                  <w:highlight w:val="white"/>
                </w:rPr>
                <w:t>Bioprojet Société Civile de Recherche</w:t>
              </w:r>
            </w:hyperlink>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328"/>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12"/>
                <w:szCs w:val="12"/>
                <w:color w:val="auto"/>
              </w:rPr>
            </w:pPr>
          </w:p>
        </w:tc>
        <w:tc>
          <w:tcPr>
            <w:tcW w:w="2000" w:type="dxa"/>
            <w:vAlign w:val="bottom"/>
            <w:tcBorders>
              <w:top w:val="single" w:sz="8" w:color="0000EE"/>
              <w:bottom w:val="single" w:sz="8" w:color="0000EE"/>
            </w:tcBorders>
            <w:gridSpan w:val="6"/>
          </w:tcPr>
          <w:p>
            <w:pPr>
              <w:spacing w:after="0" w:line="142" w:lineRule="exact"/>
              <w:rPr>
                <w:rFonts w:ascii="Arial" w:cs="Arial" w:eastAsia="Arial" w:hAnsi="Arial"/>
                <w:sz w:val="14"/>
                <w:szCs w:val="14"/>
                <w:color w:val="0000EE"/>
                <w:w w:val="98"/>
              </w:rPr>
            </w:pPr>
            <w:hyperlink r:id="rId61">
              <w:r>
                <w:rPr>
                  <w:rFonts w:ascii="Arial" w:cs="Arial" w:eastAsia="Arial" w:hAnsi="Arial"/>
                  <w:sz w:val="14"/>
                  <w:szCs w:val="14"/>
                  <w:color w:val="0000EE"/>
                  <w:w w:val="98"/>
                </w:rPr>
                <w:t>and Harmony Biosciences, LLC.</w:t>
              </w:r>
            </w:hyperlink>
          </w:p>
        </w:tc>
        <w:tc>
          <w:tcPr>
            <w:tcW w:w="20" w:type="dxa"/>
            <w:vAlign w:val="bottom"/>
            <w:tcBorders>
              <w:bottom w:val="single" w:sz="8" w:color="0000EE"/>
            </w:tcBorders>
          </w:tcPr>
          <w:p>
            <w:pPr>
              <w:spacing w:after="0"/>
              <w:rPr>
                <w:sz w:val="12"/>
                <w:szCs w:val="12"/>
                <w:color w:val="auto"/>
              </w:rPr>
            </w:pPr>
          </w:p>
        </w:tc>
        <w:tc>
          <w:tcPr>
            <w:tcW w:w="40" w:type="dxa"/>
            <w:vAlign w:val="bottom"/>
            <w:tcBorders>
              <w:top w:val="single" w:sz="8" w:color="0000EE"/>
              <w:bottom w:val="single" w:sz="8" w:color="0000EE"/>
            </w:tcBorders>
          </w:tcPr>
          <w:p>
            <w:pPr>
              <w:spacing w:after="0"/>
              <w:rPr>
                <w:sz w:val="12"/>
                <w:szCs w:val="12"/>
                <w:color w:val="auto"/>
              </w:rPr>
            </w:pPr>
          </w:p>
        </w:tc>
        <w:tc>
          <w:tcPr>
            <w:tcW w:w="1780" w:type="dxa"/>
            <w:vAlign w:val="bottom"/>
            <w:tcBorders>
              <w:top w:val="single" w:sz="8" w:color="0000EE"/>
            </w:tcBorders>
          </w:tcPr>
          <w:p>
            <w:pPr>
              <w:spacing w:after="0"/>
              <w:rPr>
                <w:sz w:val="12"/>
                <w:szCs w:val="12"/>
                <w:color w:val="auto"/>
              </w:rPr>
            </w:pPr>
          </w:p>
        </w:tc>
        <w:tc>
          <w:tcPr>
            <w:tcW w:w="400" w:type="dxa"/>
            <w:vAlign w:val="bottom"/>
            <w:tcBorders>
              <w:top w:val="single" w:sz="8" w:color="0000EE"/>
            </w:tcBorders>
            <w:gridSpan w:val="2"/>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3"/>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May 3, 2024</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3"/>
          </w:tcPr>
          <w:p>
            <w:pPr>
              <w:spacing w:after="0" w:line="142" w:lineRule="exact"/>
              <w:rPr>
                <w:rFonts w:ascii="Arial" w:cs="Arial" w:eastAsia="Arial" w:hAnsi="Arial"/>
                <w:sz w:val="14"/>
                <w:szCs w:val="14"/>
                <w:color w:val="0000EE"/>
              </w:rPr>
            </w:pPr>
            <w:hyperlink r:id="rId62">
              <w:r>
                <w:rPr>
                  <w:rFonts w:ascii="Arial" w:cs="Arial" w:eastAsia="Arial" w:hAnsi="Arial"/>
                  <w:sz w:val="14"/>
                  <w:szCs w:val="14"/>
                  <w:color w:val="0000EE"/>
                </w:rPr>
                <w:t>Employment Letter between Harmony Biosciences, LLC, and Kumar</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348"/>
              <w:spacing w:after="0"/>
              <w:rPr>
                <w:sz w:val="20"/>
                <w:szCs w:val="20"/>
                <w:color w:val="auto"/>
              </w:rPr>
            </w:pPr>
            <w:r>
              <w:rPr>
                <w:rFonts w:ascii="Arial" w:cs="Arial" w:eastAsia="Arial" w:hAnsi="Arial"/>
                <w:sz w:val="14"/>
                <w:szCs w:val="14"/>
                <w:color w:val="auto"/>
              </w:rPr>
              <w:t>31.1*</w:t>
            </w:r>
          </w:p>
        </w:tc>
        <w:tc>
          <w:tcPr>
            <w:tcW w:w="160" w:type="dxa"/>
            <w:vAlign w:val="bottom"/>
          </w:tcPr>
          <w:p>
            <w:pPr>
              <w:spacing w:after="0"/>
              <w:rPr>
                <w:sz w:val="12"/>
                <w:szCs w:val="12"/>
                <w:color w:val="auto"/>
              </w:rPr>
            </w:pPr>
          </w:p>
        </w:tc>
        <w:tc>
          <w:tcPr>
            <w:tcW w:w="4360" w:type="dxa"/>
            <w:vAlign w:val="bottom"/>
            <w:tcBorders>
              <w:top w:val="single" w:sz="8" w:color="0000EE"/>
            </w:tcBorders>
            <w:gridSpan w:val="13"/>
          </w:tcPr>
          <w:p>
            <w:pPr>
              <w:spacing w:after="0" w:line="142" w:lineRule="exact"/>
              <w:rPr>
                <w:rFonts w:ascii="Arial" w:cs="Arial" w:eastAsia="Arial" w:hAnsi="Arial"/>
                <w:sz w:val="14"/>
                <w:szCs w:val="14"/>
                <w:color w:val="0000EE"/>
              </w:rPr>
            </w:pPr>
            <w:hyperlink r:id="rId62">
              <w:r>
                <w:rPr>
                  <w:rFonts w:ascii="Arial" w:cs="Arial" w:eastAsia="Arial" w:hAnsi="Arial"/>
                  <w:sz w:val="14"/>
                  <w:szCs w:val="14"/>
                  <w:color w:val="0000EE"/>
                </w:rPr>
                <w:t>Budur, as amended.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3"/>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Borders>
              <w:top w:val="single" w:sz="8" w:color="0000EE"/>
              <w:bottom w:val="single" w:sz="8" w:color="0000EE"/>
            </w:tcBorders>
            <w:gridSpan w:val="3"/>
          </w:tcPr>
          <w:p>
            <w:pPr>
              <w:spacing w:after="0" w:line="142" w:lineRule="exact"/>
              <w:rPr>
                <w:sz w:val="20"/>
                <w:szCs w:val="20"/>
                <w:color w:val="auto"/>
              </w:rPr>
            </w:pPr>
            <w:r>
              <w:rPr>
                <w:rFonts w:ascii="Arial" w:cs="Arial" w:eastAsia="Arial" w:hAnsi="Arial"/>
                <w:sz w:val="14"/>
                <w:szCs w:val="14"/>
                <w:color w:val="0000EE"/>
              </w:rPr>
              <w:t>Certification of Chief</w:t>
            </w:r>
          </w:p>
        </w:tc>
        <w:tc>
          <w:tcPr>
            <w:tcW w:w="3240" w:type="dxa"/>
            <w:vAlign w:val="bottom"/>
            <w:tcBorders>
              <w:bottom w:val="single" w:sz="8" w:color="0000EE"/>
            </w:tcBorders>
            <w:gridSpan w:val="17"/>
          </w:tcPr>
          <w:p>
            <w:pPr>
              <w:ind w:left="40"/>
              <w:spacing w:after="0" w:line="142" w:lineRule="exact"/>
              <w:rPr>
                <w:sz w:val="20"/>
                <w:szCs w:val="20"/>
                <w:color w:val="auto"/>
              </w:rPr>
            </w:pPr>
            <w:r>
              <w:rPr>
                <w:rFonts w:ascii="Arial" w:cs="Arial" w:eastAsia="Arial" w:hAnsi="Arial"/>
                <w:sz w:val="14"/>
                <w:szCs w:val="14"/>
                <w:color w:val="0000EE"/>
              </w:rPr>
              <w:t>Executive Officer pursuant to Rules 13a-14(a) and</w:t>
            </w:r>
          </w:p>
        </w:tc>
        <w:tc>
          <w:tcPr>
            <w:tcW w:w="260" w:type="dxa"/>
            <w:vAlign w:val="bottom"/>
            <w:gridSpan w:val="3"/>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3"/>
          </w:tcPr>
          <w:p>
            <w:pPr>
              <w:spacing w:after="0" w:line="142" w:lineRule="exact"/>
              <w:rPr>
                <w:sz w:val="20"/>
                <w:szCs w:val="20"/>
                <w:color w:val="auto"/>
              </w:rPr>
            </w:pPr>
            <w:r>
              <w:rPr>
                <w:rFonts w:ascii="Arial" w:cs="Arial" w:eastAsia="Arial" w:hAnsi="Arial"/>
                <w:sz w:val="14"/>
                <w:szCs w:val="14"/>
                <w:color w:val="0000EE"/>
              </w:rPr>
              <w:t>15d-14(a) of the Securities Exchange Act of 1934, as amended, as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7"/>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restart"/>
          </w:tcPr>
          <w:p>
            <w:pPr>
              <w:jc w:val="right"/>
              <w:ind w:right="348"/>
              <w:spacing w:after="0"/>
              <w:rPr>
                <w:sz w:val="20"/>
                <w:szCs w:val="20"/>
                <w:color w:val="auto"/>
              </w:rPr>
            </w:pPr>
            <w:r>
              <w:rPr>
                <w:rFonts w:ascii="Arial" w:cs="Arial" w:eastAsia="Arial" w:hAnsi="Arial"/>
                <w:sz w:val="14"/>
                <w:szCs w:val="14"/>
                <w:color w:val="auto"/>
              </w:rPr>
              <w:t>31.2*</w:t>
            </w:r>
          </w:p>
        </w:tc>
        <w:tc>
          <w:tcPr>
            <w:tcW w:w="160" w:type="dxa"/>
            <w:vAlign w:val="bottom"/>
          </w:tcPr>
          <w:p>
            <w:pPr>
              <w:spacing w:after="0"/>
              <w:rPr>
                <w:sz w:val="12"/>
                <w:szCs w:val="12"/>
                <w:color w:val="auto"/>
              </w:rPr>
            </w:pPr>
          </w:p>
        </w:tc>
        <w:tc>
          <w:tcPr>
            <w:tcW w:w="4400" w:type="dxa"/>
            <w:vAlign w:val="bottom"/>
            <w:tcBorders>
              <w:bottom w:val="single" w:sz="8" w:color="0000EE"/>
            </w:tcBorders>
            <w:gridSpan w:val="15"/>
          </w:tcPr>
          <w:p>
            <w:pPr>
              <w:spacing w:after="0" w:line="142" w:lineRule="exact"/>
              <w:rPr>
                <w:sz w:val="20"/>
                <w:szCs w:val="20"/>
                <w:color w:val="auto"/>
              </w:rPr>
            </w:pPr>
            <w:r>
              <w:rPr>
                <w:rFonts w:ascii="Arial" w:cs="Arial" w:eastAsia="Arial" w:hAnsi="Arial"/>
                <w:sz w:val="14"/>
                <w:szCs w:val="14"/>
                <w:color w:val="0000EE"/>
              </w:rPr>
              <w:t>adopted pursuant to Section 302 of the Sarbanes-Oxley Act of 2002.</w:t>
            </w:r>
          </w:p>
        </w:tc>
        <w:tc>
          <w:tcPr>
            <w:tcW w:w="400" w:type="dxa"/>
            <w:vAlign w:val="bottom"/>
            <w:gridSpan w:val="8"/>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3"/>
          </w:tcPr>
          <w:p>
            <w:pPr>
              <w:spacing w:after="0" w:line="142" w:lineRule="exact"/>
              <w:rPr>
                <w:sz w:val="20"/>
                <w:szCs w:val="20"/>
                <w:color w:val="auto"/>
              </w:rPr>
            </w:pPr>
            <w:r>
              <w:rPr>
                <w:rFonts w:ascii="Arial" w:cs="Arial" w:eastAsia="Arial" w:hAnsi="Arial"/>
                <w:sz w:val="14"/>
                <w:szCs w:val="14"/>
                <w:color w:val="0000EE"/>
              </w:rPr>
              <w:t>Certification of Chief Financial Officer pursuant to Rules 13a-14(a) and</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00" w:type="dxa"/>
            <w:vAlign w:val="bottom"/>
            <w:tcBorders>
              <w:top w:val="single" w:sz="8" w:color="0000EE"/>
            </w:tcBorders>
            <w:gridSpan w:val="18"/>
          </w:tcPr>
          <w:p>
            <w:pPr>
              <w:spacing w:after="0" w:line="142" w:lineRule="exact"/>
              <w:rPr>
                <w:sz w:val="20"/>
                <w:szCs w:val="20"/>
                <w:color w:val="auto"/>
              </w:rPr>
            </w:pPr>
            <w:r>
              <w:rPr>
                <w:rFonts w:ascii="Arial" w:cs="Arial" w:eastAsia="Arial" w:hAnsi="Arial"/>
                <w:sz w:val="14"/>
                <w:szCs w:val="14"/>
                <w:color w:val="0000EE"/>
              </w:rPr>
              <w:t>15d-14(a) of the Securities Exchange Act of 1934, as amended, as</w:t>
            </w:r>
          </w:p>
        </w:tc>
        <w:tc>
          <w:tcPr>
            <w:tcW w:w="300" w:type="dxa"/>
            <w:vAlign w:val="bottom"/>
            <w:gridSpan w:val="5"/>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7"/>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restart"/>
          </w:tcPr>
          <w:p>
            <w:pPr>
              <w:jc w:val="right"/>
              <w:ind w:right="288"/>
              <w:spacing w:after="0"/>
              <w:rPr>
                <w:sz w:val="20"/>
                <w:szCs w:val="20"/>
                <w:color w:val="auto"/>
              </w:rPr>
            </w:pPr>
            <w:r>
              <w:rPr>
                <w:rFonts w:ascii="Arial" w:cs="Arial" w:eastAsia="Arial" w:hAnsi="Arial"/>
                <w:sz w:val="14"/>
                <w:szCs w:val="14"/>
                <w:color w:val="auto"/>
              </w:rPr>
              <w:t>32.1**</w:t>
            </w:r>
          </w:p>
        </w:tc>
        <w:tc>
          <w:tcPr>
            <w:tcW w:w="160" w:type="dxa"/>
            <w:vAlign w:val="bottom"/>
          </w:tcPr>
          <w:p>
            <w:pPr>
              <w:spacing w:after="0"/>
              <w:rPr>
                <w:sz w:val="12"/>
                <w:szCs w:val="12"/>
                <w:color w:val="auto"/>
              </w:rPr>
            </w:pPr>
          </w:p>
        </w:tc>
        <w:tc>
          <w:tcPr>
            <w:tcW w:w="4800" w:type="dxa"/>
            <w:vAlign w:val="bottom"/>
            <w:gridSpan w:val="23"/>
          </w:tcPr>
          <w:p>
            <w:pPr>
              <w:spacing w:after="0" w:line="142" w:lineRule="exact"/>
              <w:rPr>
                <w:sz w:val="20"/>
                <w:szCs w:val="20"/>
                <w:color w:val="auto"/>
              </w:rPr>
            </w:pPr>
            <w:r>
              <w:rPr>
                <w:rFonts w:ascii="Arial" w:cs="Arial" w:eastAsia="Arial" w:hAnsi="Arial"/>
                <w:sz w:val="14"/>
                <w:szCs w:val="14"/>
                <w:color w:val="0000EE"/>
              </w:rPr>
              <w:t>adopted pursuant to Section 302 of the Sarbanes-Oxley Act of 2002.</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380" w:type="dxa"/>
            <w:vAlign w:val="bottom"/>
            <w:tcBorders>
              <w:top w:val="single" w:sz="8" w:color="0000EE"/>
            </w:tcBorders>
            <w:gridSpan w:val="14"/>
          </w:tcPr>
          <w:p>
            <w:pPr>
              <w:spacing w:after="0" w:line="142" w:lineRule="exact"/>
              <w:rPr>
                <w:sz w:val="20"/>
                <w:szCs w:val="20"/>
                <w:color w:val="auto"/>
              </w:rPr>
            </w:pPr>
            <w:r>
              <w:rPr>
                <w:rFonts w:ascii="Arial" w:cs="Arial" w:eastAsia="Arial" w:hAnsi="Arial"/>
                <w:sz w:val="14"/>
                <w:szCs w:val="14"/>
                <w:color w:val="0000EE"/>
              </w:rPr>
              <w:t>Certification of Chief Executive Officer pursuant to 18 U.S.C.</w:t>
            </w:r>
          </w:p>
        </w:tc>
        <w:tc>
          <w:tcPr>
            <w:tcW w:w="420" w:type="dxa"/>
            <w:vAlign w:val="bottom"/>
            <w:gridSpan w:val="9"/>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7"/>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3"/>
          </w:tcPr>
          <w:p>
            <w:pPr>
              <w:spacing w:after="0" w:line="142" w:lineRule="exact"/>
              <w:rPr>
                <w:sz w:val="20"/>
                <w:szCs w:val="20"/>
                <w:color w:val="auto"/>
              </w:rPr>
            </w:pPr>
            <w:r>
              <w:rPr>
                <w:rFonts w:ascii="Arial" w:cs="Arial" w:eastAsia="Arial" w:hAnsi="Arial"/>
                <w:sz w:val="14"/>
                <w:szCs w:val="14"/>
                <w:color w:val="0000EE"/>
              </w:rPr>
              <w:t>Section 1350, as adopted pursuant to Section 906 of the Sarbanes-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288"/>
              <w:spacing w:after="0"/>
              <w:rPr>
                <w:sz w:val="20"/>
                <w:szCs w:val="20"/>
                <w:color w:val="auto"/>
              </w:rPr>
            </w:pPr>
            <w:r>
              <w:rPr>
                <w:rFonts w:ascii="Arial" w:cs="Arial" w:eastAsia="Arial" w:hAnsi="Arial"/>
                <w:sz w:val="14"/>
                <w:szCs w:val="14"/>
                <w:color w:val="auto"/>
              </w:rPr>
              <w:t>32.2**</w:t>
            </w:r>
          </w:p>
        </w:tc>
        <w:tc>
          <w:tcPr>
            <w:tcW w:w="16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4"/>
                <w:szCs w:val="14"/>
                <w:color w:val="0000EE"/>
              </w:rPr>
              <w:t>Oxley Act of 2002.</w:t>
            </w:r>
          </w:p>
        </w:tc>
        <w:tc>
          <w:tcPr>
            <w:tcW w:w="3100" w:type="dxa"/>
            <w:vAlign w:val="bottom"/>
            <w:tcBorders>
              <w:top w:val="single" w:sz="8" w:color="0000EE"/>
            </w:tcBorders>
            <w:gridSpan w:val="10"/>
          </w:tcPr>
          <w:p>
            <w:pPr>
              <w:spacing w:after="0"/>
              <w:rPr>
                <w:sz w:val="12"/>
                <w:szCs w:val="12"/>
                <w:color w:val="auto"/>
              </w:rPr>
            </w:pPr>
          </w:p>
        </w:tc>
        <w:tc>
          <w:tcPr>
            <w:tcW w:w="520" w:type="dxa"/>
            <w:vAlign w:val="bottom"/>
            <w:gridSpan w:val="11"/>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840" w:type="dxa"/>
            <w:vAlign w:val="bottom"/>
            <w:tcBorders>
              <w:bottom w:val="single" w:sz="8" w:color="0000EE"/>
            </w:tcBorders>
            <w:gridSpan w:val="9"/>
          </w:tcPr>
          <w:p>
            <w:pPr>
              <w:spacing w:after="0" w:line="142" w:lineRule="exact"/>
              <w:rPr>
                <w:sz w:val="20"/>
                <w:szCs w:val="20"/>
                <w:color w:val="auto"/>
              </w:rPr>
            </w:pPr>
            <w:r>
              <w:rPr>
                <w:rFonts w:ascii="Arial" w:cs="Arial" w:eastAsia="Arial" w:hAnsi="Arial"/>
                <w:sz w:val="14"/>
                <w:szCs w:val="14"/>
                <w:color w:val="0000EE"/>
              </w:rPr>
              <w:t>Certification of Chief Financial Officer pursuant to 18 U.S.C.</w:t>
            </w:r>
          </w:p>
        </w:tc>
        <w:tc>
          <w:tcPr>
            <w:tcW w:w="960" w:type="dxa"/>
            <w:vAlign w:val="bottom"/>
            <w:gridSpan w:val="14"/>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3"/>
          </w:tcPr>
          <w:p>
            <w:pPr>
              <w:spacing w:after="0" w:line="142" w:lineRule="exact"/>
              <w:rPr>
                <w:sz w:val="20"/>
                <w:szCs w:val="20"/>
                <w:color w:val="auto"/>
              </w:rPr>
            </w:pPr>
            <w:r>
              <w:rPr>
                <w:rFonts w:ascii="Arial" w:cs="Arial" w:eastAsia="Arial" w:hAnsi="Arial"/>
                <w:sz w:val="14"/>
                <w:szCs w:val="14"/>
                <w:color w:val="0000EE"/>
              </w:rPr>
              <w:t>Section 1350, as adopted pursuant to Section 906 of the Sarbanes-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68"/>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4"/>
                <w:szCs w:val="14"/>
                <w:color w:val="0000EE"/>
              </w:rPr>
              <w:t>Oxley Act of 2002.</w:t>
            </w:r>
          </w:p>
        </w:tc>
        <w:tc>
          <w:tcPr>
            <w:tcW w:w="3100" w:type="dxa"/>
            <w:vAlign w:val="bottom"/>
            <w:tcBorders>
              <w:top w:val="single" w:sz="8" w:color="0000EE"/>
            </w:tcBorders>
            <w:gridSpan w:val="10"/>
          </w:tcPr>
          <w:p>
            <w:pPr>
              <w:spacing w:after="0"/>
              <w:rPr>
                <w:sz w:val="12"/>
                <w:szCs w:val="12"/>
                <w:color w:val="auto"/>
              </w:rPr>
            </w:pPr>
          </w:p>
        </w:tc>
        <w:tc>
          <w:tcPr>
            <w:tcW w:w="520" w:type="dxa"/>
            <w:vAlign w:val="bottom"/>
            <w:gridSpan w:val="11"/>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3"/>
          </w:tcPr>
          <w:p>
            <w:pPr>
              <w:spacing w:after="0" w:line="147" w:lineRule="exact"/>
              <w:rPr>
                <w:sz w:val="20"/>
                <w:szCs w:val="20"/>
                <w:color w:val="auto"/>
              </w:rPr>
            </w:pPr>
            <w:r>
              <w:rPr>
                <w:rFonts w:ascii="Arial" w:cs="Arial" w:eastAsia="Arial" w:hAnsi="Arial"/>
                <w:sz w:val="14"/>
                <w:szCs w:val="14"/>
                <w:color w:val="auto"/>
              </w:rPr>
              <w:t>The following financial statements from the Company</w:t>
            </w:r>
            <w:r>
              <w:rPr>
                <w:rFonts w:ascii="Times New Roman" w:cs="Times New Roman" w:eastAsia="Times New Roman" w:hAnsi="Times New Roman"/>
                <w:sz w:val="14"/>
                <w:szCs w:val="14"/>
                <w:color w:val="auto"/>
              </w:rPr>
              <w:t>’</w:t>
            </w:r>
            <w:r>
              <w:rPr>
                <w:rFonts w:ascii="Arial" w:cs="Arial" w:eastAsia="Arial" w:hAnsi="Arial"/>
                <w:sz w:val="14"/>
                <w:szCs w:val="14"/>
                <w:color w:val="auto"/>
              </w:rPr>
              <w:t>s Quarterly Report</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3"/>
          </w:tcPr>
          <w:p>
            <w:pPr>
              <w:spacing w:after="0"/>
              <w:rPr>
                <w:sz w:val="20"/>
                <w:szCs w:val="20"/>
                <w:color w:val="auto"/>
              </w:rPr>
            </w:pPr>
            <w:r>
              <w:rPr>
                <w:rFonts w:ascii="Arial" w:cs="Arial" w:eastAsia="Arial" w:hAnsi="Arial"/>
                <w:sz w:val="14"/>
                <w:szCs w:val="14"/>
                <w:color w:val="auto"/>
              </w:rPr>
              <w:t>on Form 10-Q for the fiscal quarter ended September 30, 2024,</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3"/>
          </w:tcPr>
          <w:p>
            <w:pPr>
              <w:spacing w:after="0"/>
              <w:rPr>
                <w:sz w:val="20"/>
                <w:szCs w:val="20"/>
                <w:color w:val="auto"/>
              </w:rPr>
            </w:pPr>
            <w:r>
              <w:rPr>
                <w:rFonts w:ascii="Arial" w:cs="Arial" w:eastAsia="Arial" w:hAnsi="Arial"/>
                <w:sz w:val="14"/>
                <w:szCs w:val="14"/>
                <w:color w:val="auto"/>
              </w:rPr>
              <w:t>formatted in Inline XBRL: (i) Balance Sheets, (ii) Statements of</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3"/>
          </w:tcPr>
          <w:p>
            <w:pPr>
              <w:spacing w:after="0"/>
              <w:rPr>
                <w:sz w:val="20"/>
                <w:szCs w:val="20"/>
                <w:color w:val="auto"/>
              </w:rPr>
            </w:pPr>
            <w:r>
              <w:rPr>
                <w:rFonts w:ascii="Arial" w:cs="Arial" w:eastAsia="Arial" w:hAnsi="Arial"/>
                <w:sz w:val="14"/>
                <w:szCs w:val="14"/>
                <w:color w:val="auto"/>
              </w:rPr>
              <w:t>Operations, (iii) Statements of Stockholders</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Equity and (vi) Notes to</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3"/>
          </w:tcPr>
          <w:p>
            <w:pPr>
              <w:spacing w:after="0"/>
              <w:rPr>
                <w:sz w:val="20"/>
                <w:szCs w:val="20"/>
                <w:color w:val="auto"/>
              </w:rPr>
            </w:pPr>
            <w:r>
              <w:rPr>
                <w:rFonts w:ascii="Arial" w:cs="Arial" w:eastAsia="Arial" w:hAnsi="Arial"/>
                <w:sz w:val="14"/>
                <w:szCs w:val="14"/>
                <w:color w:val="auto"/>
              </w:rPr>
              <w:t>Financial Statements, tagged as blocks of text and including detailed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3"/>
          </w:tcPr>
          <w:p>
            <w:pPr>
              <w:spacing w:after="0"/>
              <w:rPr>
                <w:sz w:val="20"/>
                <w:szCs w:val="20"/>
                <w:color w:val="auto"/>
              </w:rPr>
            </w:pPr>
            <w:r>
              <w:rPr>
                <w:rFonts w:ascii="Arial" w:cs="Arial" w:eastAsia="Arial" w:hAnsi="Arial"/>
                <w:sz w:val="14"/>
                <w:szCs w:val="14"/>
                <w:color w:val="auto"/>
              </w:rPr>
              <w:t>tags.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jc w:val="right"/>
              <w:ind w:right="468"/>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4"/>
                <w:szCs w:val="14"/>
                <w:color w:val="auto"/>
              </w:rPr>
            </w:pPr>
          </w:p>
        </w:tc>
        <w:tc>
          <w:tcPr>
            <w:tcW w:w="4800" w:type="dxa"/>
            <w:vAlign w:val="bottom"/>
            <w:gridSpan w:val="23"/>
          </w:tcPr>
          <w:p>
            <w:pPr>
              <w:spacing w:after="0"/>
              <w:rPr>
                <w:sz w:val="20"/>
                <w:szCs w:val="20"/>
                <w:color w:val="auto"/>
              </w:rPr>
            </w:pPr>
            <w:r>
              <w:rPr>
                <w:rFonts w:ascii="Arial" w:cs="Arial" w:eastAsia="Arial" w:hAnsi="Arial"/>
                <w:sz w:val="14"/>
                <w:szCs w:val="14"/>
                <w:color w:val="auto"/>
              </w:rPr>
              <w:t>Cover Page Interactive Date File (formatted as Inline XBRL and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0" w:type="dxa"/>
            <w:vAlign w:val="bottom"/>
            <w:gridSpan w:val="23"/>
          </w:tcPr>
          <w:p>
            <w:pPr>
              <w:spacing w:after="0"/>
              <w:rPr>
                <w:sz w:val="20"/>
                <w:szCs w:val="20"/>
                <w:color w:val="auto"/>
              </w:rPr>
            </w:pPr>
            <w:r>
              <w:rPr>
                <w:rFonts w:ascii="Arial" w:cs="Arial" w:eastAsia="Arial" w:hAnsi="Arial"/>
                <w:sz w:val="14"/>
                <w:szCs w:val="14"/>
                <w:color w:val="auto"/>
              </w:rPr>
              <w:t>contained in Exhibit 101)</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151130</wp:posOffset>
            </wp:positionV>
            <wp:extent cx="14141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89" w:lineRule="exact"/>
        <w:rPr>
          <w:sz w:val="20"/>
          <w:szCs w:val="20"/>
          <w:color w:val="auto"/>
        </w:rPr>
      </w:pPr>
    </w:p>
    <w:p>
      <w:pPr>
        <w:ind w:left="380" w:hanging="330"/>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17" w:lineRule="exact"/>
        <w:rPr>
          <w:sz w:val="20"/>
          <w:szCs w:val="20"/>
          <w:color w:val="auto"/>
        </w:rPr>
      </w:pPr>
    </w:p>
    <w:p>
      <w:pPr>
        <w:ind w:left="380" w:right="239" w:hanging="330"/>
        <w:spacing w:after="0" w:line="256" w:lineRule="auto"/>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Furnished herewith. This certification is deemed furnished, and not filed, with the Securities and Exchange Commission and is not to be incorporated by reference into any filing of Harmony Biosciences Holdings,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7" w:lineRule="exact"/>
        <w:rPr>
          <w:sz w:val="20"/>
          <w:szCs w:val="20"/>
          <w:color w:val="auto"/>
        </w:rPr>
      </w:pPr>
    </w:p>
    <w:p>
      <w:pPr>
        <w:ind w:left="380" w:right="119" w:hanging="330"/>
        <w:spacing w:after="0" w:line="263" w:lineRule="auto"/>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Schedules have been omitted pursuant to Item 601(b)(2) of Regulation S-K. The Company hereby undertakes to furnish supplemental copies of any of the omitted schedules upon request by the SEC; provided, however, that the Company may request confidential treatment pursuant to Rule 24b-2 of the Securities Exchange Act of 1934 for any schedules so furnished.</w:t>
      </w:r>
    </w:p>
    <w:p>
      <w:pPr>
        <w:spacing w:after="0" w:line="173" w:lineRule="exact"/>
        <w:rPr>
          <w:sz w:val="20"/>
          <w:szCs w:val="20"/>
          <w:color w:val="auto"/>
        </w:rPr>
      </w:pPr>
    </w:p>
    <w:p>
      <w:pPr>
        <w:ind w:left="380" w:hanging="330"/>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33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HARMONY BIOSCIENCES HOLDINGS, INC.</w:t>
      </w:r>
    </w:p>
    <w:p>
      <w:pPr>
        <w:spacing w:after="0" w:line="194" w:lineRule="exact"/>
        <w:rPr>
          <w:sz w:val="20"/>
          <w:szCs w:val="20"/>
          <w:color w:val="auto"/>
        </w:rPr>
      </w:pPr>
    </w:p>
    <w:tbl>
      <w:tblPr>
        <w:tblLayout w:type="fixed"/>
        <w:tblInd w:w="4520" w:type="dxa"/>
        <w:tblCellMar>
          <w:top w:w="0" w:type="dxa"/>
          <w:left w:w="0" w:type="dxa"/>
          <w:bottom w:w="0" w:type="dxa"/>
          <w:right w:w="0" w:type="dxa"/>
        </w:tblCellMar>
      </w:tblPr>
      <w:tr>
        <w:trPr>
          <w:trHeight w:val="21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M. Dayno</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Jeffrey M. Dayno</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October 29, 2024</w:t>
            </w:r>
          </w:p>
        </w:tc>
      </w:tr>
      <w:tr>
        <w:trPr>
          <w:trHeight w:val="381"/>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Sandip Kapadia</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Sandip Kapadia</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Chief Financial Officer and Chief Administrative</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Officer (principal financial 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October 29,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M. Dayno, certify that:</w:t>
      </w:r>
    </w:p>
    <w:p>
      <w:pPr>
        <w:spacing w:after="0" w:line="225" w:lineRule="exact"/>
        <w:rPr>
          <w:sz w:val="20"/>
          <w:szCs w:val="20"/>
          <w:color w:val="auto"/>
        </w:rPr>
      </w:pPr>
    </w:p>
    <w:p>
      <w:pPr>
        <w:ind w:left="700" w:hanging="341"/>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40" w:hanging="341"/>
        <w:spacing w:after="0" w:line="266"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6" w:lineRule="auto"/>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700" w:right="320" w:hanging="341"/>
        <w:spacing w:after="0" w:line="266"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20" w:right="340" w:hanging="359"/>
        <w:spacing w:after="0" w:line="266" w:lineRule="auto"/>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20" w:right="160" w:hanging="359"/>
        <w:spacing w:after="0" w:line="282" w:lineRule="auto"/>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tabs>
          <w:tab w:leader="none" w:pos="4940" w:val="left"/>
          <w:tab w:leader="none" w:pos="5520" w:val="left"/>
        </w:tabs>
        <w:rPr>
          <w:sz w:val="20"/>
          <w:szCs w:val="20"/>
          <w:color w:val="auto"/>
        </w:rPr>
      </w:pPr>
      <w:r>
        <w:rPr>
          <w:rFonts w:ascii="Times New Roman" w:cs="Times New Roman" w:eastAsia="Times New Roman" w:hAnsi="Times New Roman"/>
          <w:sz w:val="18"/>
          <w:szCs w:val="18"/>
          <w:color w:val="auto"/>
        </w:rPr>
        <w:t>Date: October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43180</wp:posOffset>
            </wp:positionV>
            <wp:extent cx="25546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Jeffrey M. Dayno</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6" w:name="page47"/>
    <w:bookmarkEnd w:id="46"/>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Sandip Kapadia, certify that:</w:t>
      </w:r>
    </w:p>
    <w:p>
      <w:pPr>
        <w:spacing w:after="0" w:line="225" w:lineRule="exact"/>
        <w:rPr>
          <w:sz w:val="20"/>
          <w:szCs w:val="20"/>
          <w:color w:val="auto"/>
        </w:rPr>
      </w:pPr>
    </w:p>
    <w:p>
      <w:pPr>
        <w:ind w:left="740" w:hanging="341"/>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40" w:right="280" w:hanging="341"/>
        <w:spacing w:after="0" w:line="266"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6" w:lineRule="auto"/>
        <w:tabs>
          <w:tab w:leader="none" w:pos="14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18"/>
          <w:szCs w:val="18"/>
          <w:color w:val="auto"/>
        </w:rPr>
      </w:pPr>
    </w:p>
    <w:p>
      <w:pPr>
        <w:jc w:val="both"/>
        <w:ind w:left="1460" w:right="40" w:hanging="359"/>
        <w:spacing w:after="0" w:line="260" w:lineRule="auto"/>
        <w:tabs>
          <w:tab w:leader="none" w:pos="14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that occurred during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most recent fiscal quarter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fourth fiscal quarter in the case of an annual report) that has materially affected, or is reasonably likely to materially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and</w:t>
      </w:r>
    </w:p>
    <w:p>
      <w:pPr>
        <w:spacing w:after="0" w:line="180" w:lineRule="exact"/>
        <w:rPr>
          <w:rFonts w:ascii="Times New Roman" w:cs="Times New Roman" w:eastAsia="Times New Roman" w:hAnsi="Times New Roman"/>
          <w:sz w:val="18"/>
          <w:szCs w:val="18"/>
          <w:color w:val="auto"/>
        </w:rPr>
      </w:pPr>
    </w:p>
    <w:p>
      <w:pPr>
        <w:ind w:left="740" w:right="380" w:hanging="341"/>
        <w:spacing w:after="0" w:line="265"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have disclosed, based on our most recent evaluation of internal control over financial reporting, to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auditors and the audit committee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ind w:left="1460" w:right="380" w:hanging="359"/>
        <w:spacing w:after="0" w:line="265" w:lineRule="auto"/>
        <w:tabs>
          <w:tab w:leader="none" w:pos="14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1460" w:right="200" w:hanging="359"/>
        <w:spacing w:after="0" w:line="285" w:lineRule="auto"/>
        <w:tabs>
          <w:tab w:leader="none" w:pos="14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October 29, 2024</w:t>
            </w:r>
          </w:p>
        </w:tc>
        <w:tc>
          <w:tcPr>
            <w:tcW w:w="66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Sandip Kapadia</w:t>
            </w:r>
          </w:p>
        </w:tc>
        <w:tc>
          <w:tcPr>
            <w:tcW w:w="40" w:type="dxa"/>
            <w:vAlign w:val="bottom"/>
          </w:tcPr>
          <w:p>
            <w:pPr>
              <w:spacing w:after="0"/>
              <w:rPr>
                <w:sz w:val="20"/>
                <w:szCs w:val="20"/>
                <w:color w:val="auto"/>
              </w:rPr>
            </w:pPr>
          </w:p>
        </w:tc>
      </w:tr>
      <w:tr>
        <w:trPr>
          <w:trHeight w:val="218"/>
        </w:trPr>
        <w:tc>
          <w:tcPr>
            <w:tcW w:w="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Sandip Kapadia</w:t>
            </w:r>
          </w:p>
        </w:tc>
        <w:tc>
          <w:tcPr>
            <w:tcW w:w="40" w:type="dxa"/>
            <w:vAlign w:val="bottom"/>
            <w:tcBorders>
              <w:top w:val="single" w:sz="8" w:color="auto"/>
            </w:tcBorders>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Administrative Officer</w:t>
            </w:r>
          </w:p>
        </w:tc>
        <w:tc>
          <w:tcPr>
            <w:tcW w:w="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40" w:type="dxa"/>
            <w:vAlign w:val="bottom"/>
          </w:tcPr>
          <w:p>
            <w:pPr>
              <w:spacing w:after="0"/>
              <w:rPr>
                <w:sz w:val="20"/>
                <w:szCs w:val="20"/>
                <w:color w:val="auto"/>
              </w:rPr>
            </w:pPr>
          </w:p>
        </w:tc>
      </w:tr>
      <w:tr>
        <w:trPr>
          <w:trHeight w:val="777"/>
        </w:trPr>
        <w:tc>
          <w:tcPr>
            <w:tcW w:w="4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000"/>
          </w:cols>
          <w:pgMar w:left="940" w:top="117" w:right="959" w:bottom="1440" w:gutter="0" w:footer="0" w:header="0"/>
        </w:sectPr>
      </w:pPr>
    </w:p>
    <w:bookmarkStart w:id="47" w:name="page48"/>
    <w:bookmarkEnd w:id="47"/>
    <w:p>
      <w:pPr>
        <w:ind w:left="8920"/>
        <w:spacing w:after="0"/>
        <w:rPr>
          <w:sz w:val="20"/>
          <w:szCs w:val="20"/>
          <w:color w:val="auto"/>
        </w:rPr>
      </w:pPr>
      <w:r>
        <w:rPr>
          <w:rFonts w:ascii="Arial" w:cs="Arial" w:eastAsia="Arial" w:hAnsi="Arial"/>
          <w:sz w:val="17"/>
          <w:szCs w:val="17"/>
          <w:b w:val="1"/>
          <w:bCs w:val="1"/>
          <w:color w:val="auto"/>
        </w:rPr>
        <w:t>Exhibit 32.1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quarter ended September 30, 2024,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660" w:right="20" w:hanging="328"/>
        <w:spacing w:after="0" w:line="27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0"/>
        <w:spacing w:after="0"/>
        <w:tabs>
          <w:tab w:leader="none" w:pos="4240" w:val="left"/>
        </w:tabs>
        <w:rPr>
          <w:sz w:val="20"/>
          <w:szCs w:val="20"/>
          <w:color w:val="auto"/>
        </w:rPr>
      </w:pPr>
      <w:r>
        <w:rPr>
          <w:rFonts w:ascii="Arial" w:cs="Arial" w:eastAsia="Arial" w:hAnsi="Arial"/>
          <w:sz w:val="18"/>
          <w:szCs w:val="18"/>
          <w:color w:val="auto"/>
        </w:rPr>
        <w:t>Date: October 29, 2024</w:t>
      </w:r>
      <w:r>
        <w:rPr>
          <w:sz w:val="20"/>
          <w:szCs w:val="20"/>
          <w:color w:val="auto"/>
        </w:rPr>
        <w:tab/>
      </w:r>
      <w:r>
        <w:rPr>
          <w:rFonts w:ascii="Arial" w:cs="Arial" w:eastAsia="Arial" w:hAnsi="Arial"/>
          <w:sz w:val="18"/>
          <w:szCs w:val="18"/>
          <w:color w:val="auto"/>
        </w:rPr>
        <w:t>By: /s/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34925</wp:posOffset>
            </wp:positionV>
            <wp:extent cx="25457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Jeffrey M. Dayno</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jc w:val="both"/>
        <w:ind w:right="500" w:firstLine="355"/>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period ended September 30, 2024,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700" w:right="220" w:hanging="341"/>
        <w:spacing w:after="0" w:line="271"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700" w:right="40" w:hanging="341"/>
        <w:spacing w:after="0" w:line="271"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140" w:type="dxa"/>
            <w:vAlign w:val="bottom"/>
            <w:vMerge w:val="restart"/>
          </w:tcPr>
          <w:p>
            <w:pPr>
              <w:spacing w:after="0"/>
              <w:rPr>
                <w:sz w:val="20"/>
                <w:szCs w:val="20"/>
                <w:color w:val="auto"/>
              </w:rPr>
            </w:pPr>
            <w:r>
              <w:rPr>
                <w:rFonts w:ascii="Arial" w:cs="Arial" w:eastAsia="Arial" w:hAnsi="Arial"/>
                <w:sz w:val="18"/>
                <w:szCs w:val="18"/>
                <w:color w:val="auto"/>
              </w:rPr>
              <w:t>Date: October 29, 2024</w:t>
            </w:r>
          </w:p>
        </w:tc>
        <w:tc>
          <w:tcPr>
            <w:tcW w:w="1580" w:type="dxa"/>
            <w:vAlign w:val="bottom"/>
          </w:tcPr>
          <w:p>
            <w:pPr>
              <w:ind w:left="1280"/>
              <w:spacing w:after="0"/>
              <w:rPr>
                <w:sz w:val="20"/>
                <w:szCs w:val="20"/>
                <w:color w:val="auto"/>
              </w:rPr>
            </w:pPr>
            <w:r>
              <w:rPr>
                <w:rFonts w:ascii="Arial" w:cs="Arial" w:eastAsia="Arial" w:hAnsi="Arial"/>
                <w:sz w:val="18"/>
                <w:szCs w:val="18"/>
                <w:color w:val="auto"/>
              </w:rPr>
              <w:t>By</w:t>
            </w:r>
          </w:p>
        </w:tc>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/s/ Sandip Kapadia</w:t>
            </w:r>
          </w:p>
        </w:tc>
        <w:tc>
          <w:tcPr>
            <w:tcW w:w="0" w:type="dxa"/>
            <w:vAlign w:val="bottom"/>
          </w:tcPr>
          <w:p>
            <w:pPr>
              <w:spacing w:after="0"/>
              <w:rPr>
                <w:sz w:val="1"/>
                <w:szCs w:val="1"/>
                <w:color w:val="auto"/>
              </w:rPr>
            </w:pPr>
          </w:p>
        </w:tc>
      </w:tr>
      <w:tr>
        <w:trPr>
          <w:trHeight w:val="194"/>
        </w:trPr>
        <w:tc>
          <w:tcPr>
            <w:tcW w:w="3140" w:type="dxa"/>
            <w:vAlign w:val="bottom"/>
            <w:vMerge w:val="continue"/>
          </w:tcPr>
          <w:p>
            <w:pPr>
              <w:spacing w:after="0"/>
              <w:rPr>
                <w:sz w:val="16"/>
                <w:szCs w:val="16"/>
                <w:color w:val="auto"/>
              </w:rPr>
            </w:pPr>
          </w:p>
        </w:tc>
        <w:tc>
          <w:tcPr>
            <w:tcW w:w="1580" w:type="dxa"/>
            <w:vAlign w:val="bottom"/>
          </w:tcPr>
          <w:p>
            <w:pPr>
              <w:ind w:left="1280"/>
              <w:spacing w:after="0" w:line="189" w:lineRule="exact"/>
              <w:rPr>
                <w:sz w:val="20"/>
                <w:szCs w:val="20"/>
                <w:color w:val="auto"/>
              </w:rPr>
            </w:pPr>
            <w:r>
              <w:rPr>
                <w:rFonts w:ascii="Arial" w:cs="Arial" w:eastAsia="Arial" w:hAnsi="Arial"/>
                <w:sz w:val="18"/>
                <w:szCs w:val="18"/>
                <w:color w:val="auto"/>
              </w:rPr>
              <w:t>:</w:t>
            </w:r>
          </w:p>
        </w:tc>
        <w:tc>
          <w:tcPr>
            <w:tcW w:w="4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3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Sandip Kapadia</w:t>
            </w:r>
          </w:p>
        </w:tc>
        <w:tc>
          <w:tcPr>
            <w:tcW w:w="0" w:type="dxa"/>
            <w:vAlign w:val="bottom"/>
          </w:tcPr>
          <w:p>
            <w:pPr>
              <w:spacing w:after="0"/>
              <w:rPr>
                <w:sz w:val="1"/>
                <w:szCs w:val="1"/>
                <w:color w:val="auto"/>
              </w:rPr>
            </w:pPr>
          </w:p>
        </w:tc>
      </w:tr>
      <w:tr>
        <w:trPr>
          <w:trHeight w:val="202"/>
        </w:trPr>
        <w:tc>
          <w:tcPr>
            <w:tcW w:w="3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700" w:type="dxa"/>
            <w:vAlign w:val="bottom"/>
          </w:tcPr>
          <w:p>
            <w:pPr>
              <w:ind w:left="40"/>
              <w:spacing w:after="0" w:line="202" w:lineRule="exact"/>
              <w:rPr>
                <w:sz w:val="20"/>
                <w:szCs w:val="20"/>
                <w:color w:val="auto"/>
              </w:rPr>
            </w:pPr>
            <w:r>
              <w:rPr>
                <w:rFonts w:ascii="Arial" w:cs="Arial" w:eastAsia="Arial" w:hAnsi="Arial"/>
                <w:sz w:val="18"/>
                <w:szCs w:val="18"/>
                <w:color w:val="auto"/>
              </w:rPr>
              <w:t>Chief Financial Officer and Chief Administrative Officer</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(Principal Financial Officer and Principal Accounting</w:t>
            </w:r>
          </w:p>
        </w:tc>
        <w:tc>
          <w:tcPr>
            <w:tcW w:w="0" w:type="dxa"/>
            <w:vAlign w:val="bottom"/>
          </w:tcPr>
          <w:p>
            <w:pPr>
              <w:spacing w:after="0"/>
              <w:rPr>
                <w:sz w:val="1"/>
                <w:szCs w:val="1"/>
                <w:color w:val="auto"/>
              </w:rPr>
            </w:pPr>
          </w:p>
        </w:tc>
      </w:tr>
      <w:tr>
        <w:trPr>
          <w:trHeight w:val="239"/>
        </w:trPr>
        <w:tc>
          <w:tcPr>
            <w:tcW w:w="3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9"/>
    </w:lvl>
  </w:abstractNum>
  <w:abstractNum w:abstractNumId="7">
    <w:nsid w:val="41A7C4C9"/>
    <w:multiLevelType w:val="hybridMultilevel"/>
    <w:lvl w:ilvl="0">
      <w:lvlJc w:val="left"/>
      <w:lvlText w:val="%1."/>
      <w:numFmt w:val="decimal"/>
      <w:start w:val="14"/>
    </w:lvl>
  </w:abstractNum>
  <w:abstractNum w:abstractNumId="8">
    <w:nsid w:val="6B68079A"/>
    <w:multiLevelType w:val="hybridMultilevel"/>
    <w:lvl w:ilvl="0">
      <w:lvlJc w:val="left"/>
      <w:lvlText w:val="%1."/>
      <w:numFmt w:val="decimal"/>
      <w:start w:val="15"/>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lowerRoman"/>
      <w:start w:val="2"/>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57" Type="http://schemas.openxmlformats.org/officeDocument/2006/relationships/hyperlink" Target="https://www.sec.gov/Archives/edgar/data/1802665/000114036123043963/ef20010653_ex2-1.htm" TargetMode="External"/><Relationship Id="rId58" Type="http://schemas.openxmlformats.org/officeDocument/2006/relationships/hyperlink" Target="https://www.sec.gov/Archives/edgar/data/0001802665/000119312520226978/d97999dex31.htm" TargetMode="External"/><Relationship Id="rId59" Type="http://schemas.openxmlformats.org/officeDocument/2006/relationships/hyperlink" Target="https://www.sec.gov/Archives/edgar/data/0001802665/000119312520226978/d97999dex32.htm" TargetMode="External"/><Relationship Id="rId60" Type="http://schemas.openxmlformats.org/officeDocument/2006/relationships/hyperlink" Target="https://www.sec.gov/Archives/edgar/data/1802665/000155837024006203/hrmy-20240331xex10d1.htm" TargetMode="External"/><Relationship Id="rId61" Type="http://schemas.openxmlformats.org/officeDocument/2006/relationships/hyperlink" Target="https://www.sec.gov/Archives/edgar/data/1802665/000155837024006203/hrmy-20240331xex10d2.htm" TargetMode="External"/><Relationship Id="rId62" Type="http://schemas.openxmlformats.org/officeDocument/2006/relationships/hyperlink" Target="https://www.sec.gov/Archives/edgar/data/1802665/000155837024006594/hrmy-20240501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2024-10-29T07:11:59Z</dcterms:created>
  <dcterms:modified xsi:type="dcterms:W3CDTF">2024-10-29T07:11:59Z</dcterms:modified>
</cp:coreProperties>
</file>