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June 30, 2025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499" w:firstLine="648"/>
        <w:spacing w:after="0" w:line="285" w:lineRule="auto"/>
        <w:rPr>
          <w:sz w:val="20"/>
          <w:szCs w:val="20"/>
          <w:color w:val="auto"/>
        </w:rPr>
      </w:pPr>
      <w:r>
        <w:rPr>
          <w:rFonts w:ascii="Arial" w:cs="Arial" w:eastAsia="Arial" w:hAnsi="Arial"/>
          <w:sz w:val="14"/>
          <w:szCs w:val="14"/>
          <w:color w:val="auto"/>
        </w:rPr>
        <w:t>As of August 1, 2025, there were 57,532,601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7"/>
          <w:szCs w:val="17"/>
          <w:b w:val="1"/>
          <w:bCs w:val="1"/>
          <w:color w:val="auto"/>
        </w:rPr>
        <w:t>HARMONY BIOSCIENCES HOLDINGS, INC. AND SUBSIDIARIES UNAUDITED CONDENSED CONSOLIDATED BALANCE SHEETS (In thousands, except share and per share data)</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546,050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453,001</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19,224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14,185</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83,033</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7,198</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691,354</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579,252</w:t>
            </w:r>
          </w:p>
        </w:tc>
      </w:tr>
      <w:tr>
        <w:trPr>
          <w:trHeight w:val="156"/>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101,341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113,263</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190,398</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5,886</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416,654</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419,948</w:t>
            </w:r>
          </w:p>
        </w:tc>
      </w:tr>
      <w:tr>
        <w:trPr>
          <w:trHeight w:val="195"/>
        </w:trPr>
        <w:tc>
          <w:tcPr>
            <w:tcW w:w="65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1,108,008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999,200</w:t>
            </w:r>
          </w:p>
        </w:tc>
      </w:tr>
      <w:tr>
        <w:trPr>
          <w:trHeight w:val="143"/>
        </w:trPr>
        <w:tc>
          <w:tcPr>
            <w:tcW w:w="6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11,735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18,776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118,293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16,250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180,135</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175,082</w:t>
            </w: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153,345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163,016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154,793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164,963</w:t>
            </w: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334,928</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340,045</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656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June 30, 2025 and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December 31, 2024, respectively; 57,537,869 and 57,144,887 shares issued and outstanding at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ind w:left="220"/>
              <w:spacing w:after="0"/>
              <w:rPr>
                <w:sz w:val="20"/>
                <w:szCs w:val="20"/>
                <w:color w:val="auto"/>
              </w:rPr>
            </w:pPr>
            <w:r>
              <w:rPr>
                <w:rFonts w:ascii="Arial" w:cs="Arial" w:eastAsia="Arial" w:hAnsi="Arial"/>
                <w:sz w:val="14"/>
                <w:szCs w:val="14"/>
                <w:color w:val="auto"/>
              </w:rPr>
              <w:t>June 30, 2025 and December 31, 2024, respectively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685,288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656,872</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87,552</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773,080</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55"/>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1,108,008</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999,200</w:t>
            </w:r>
          </w:p>
        </w:tc>
      </w:tr>
      <w:tr>
        <w:trPr>
          <w:trHeight w:val="20"/>
        </w:trPr>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250" w:lineRule="auto"/>
        <w:rPr>
          <w:sz w:val="20"/>
          <w:szCs w:val="20"/>
          <w:color w:val="auto"/>
        </w:rPr>
      </w:pPr>
      <w:r>
        <w:rPr>
          <w:rFonts w:ascii="Arial" w:cs="Arial" w:eastAsia="Arial" w:hAnsi="Arial"/>
          <w:sz w:val="18"/>
          <w:szCs w:val="18"/>
          <w:b w:val="1"/>
          <w:bCs w:val="1"/>
          <w:color w:val="auto"/>
        </w:rPr>
        <w:t>HARMONY BIOSCIENCES HOLDINGS, INC. AND SUBSIDIARIES UNAUDITED CONDENSED CONSOLIDATED STATEMENTS OF OPERATIONS AND COMPREHENSIVE INCOME (In thousands, except share and per share data)</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200,489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172,814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385,222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327,429</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38,153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32,144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70,147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59,628</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162,336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140,670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315,075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267,801</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85,772</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30,073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28,507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60,784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55,740</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33,924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65,167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52,900</w:t>
            </w:r>
          </w:p>
        </w:tc>
        <w:tc>
          <w:tcPr>
            <w:tcW w:w="0" w:type="dxa"/>
            <w:vAlign w:val="bottom"/>
          </w:tcPr>
          <w:p>
            <w:pPr>
              <w:spacing w:after="0"/>
              <w:rPr>
                <w:sz w:val="1"/>
                <w:szCs w:val="1"/>
                <w:color w:val="auto"/>
              </w:rPr>
            </w:pPr>
          </w:p>
        </w:tc>
      </w:tr>
      <w:tr>
        <w:trPr>
          <w:trHeight w:val="196"/>
        </w:trPr>
        <w:tc>
          <w:tcPr>
            <w:tcW w:w="342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114,156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119,314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210,650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194,412</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104,425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73,389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10,340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49,637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73,479</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(9,861)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(21,478)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(23,554)</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39,776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85,336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49,925</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income (loss) on investments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39,770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85,509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49,689</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3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57,469,775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56,802,357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57,390,298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56,786,873</w:t>
            </w:r>
          </w:p>
        </w:tc>
        <w:tc>
          <w:tcPr>
            <w:tcW w:w="0" w:type="dxa"/>
            <w:vAlign w:val="bottom"/>
          </w:tcPr>
          <w:p>
            <w:pPr>
              <w:spacing w:after="0"/>
              <w:rPr>
                <w:sz w:val="1"/>
                <w:szCs w:val="1"/>
                <w:color w:val="auto"/>
              </w:rPr>
            </w:pPr>
          </w:p>
        </w:tc>
      </w:tr>
      <w:tr>
        <w:trPr>
          <w:trHeight w:val="184"/>
        </w:trPr>
        <w:tc>
          <w:tcPr>
            <w:tcW w:w="342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58,427,134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57,541,696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58,468,717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57,571,570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w:t>
      </w:r>
    </w:p>
    <w:p>
      <w:pPr>
        <w:jc w:val="center"/>
        <w:ind w:right="19"/>
        <w:spacing w:after="0" w:line="234" w:lineRule="auto"/>
        <w:rPr>
          <w:sz w:val="20"/>
          <w:szCs w:val="20"/>
          <w:color w:val="auto"/>
        </w:rPr>
      </w:pPr>
      <w:r>
        <w:rPr>
          <w:rFonts w:ascii="Arial" w:cs="Arial" w:eastAsia="Arial" w:hAnsi="Arial"/>
          <w:sz w:val="18"/>
          <w:szCs w:val="18"/>
          <w:b w:val="1"/>
          <w:bCs w:val="1"/>
          <w:color w:val="auto"/>
        </w:rPr>
        <w:t>STATEMENTS OF STOCKHOLDERS’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March 31, 2025</w:t>
            </w: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57,393,673</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672,503</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245</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47,776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720,525</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39,776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39,776</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144,196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11,456</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2025</w:t>
            </w:r>
          </w:p>
        </w:tc>
        <w:tc>
          <w:tcPr>
            <w:tcW w:w="18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57,537,869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685,288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87,552</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773,080</w:t>
            </w: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4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57,144,887</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656,872</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2,216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85,336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85,336</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392,982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4,462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4,462</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23,954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23,954</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2025</w:t>
            </w:r>
          </w:p>
        </w:tc>
        <w:tc>
          <w:tcPr>
            <w:tcW w:w="18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57,537,869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685,288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87,552</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773,080</w:t>
            </w: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1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March 31, 2024</w:t>
            </w: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56,791,214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620,507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(104,943)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515,394</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11,591</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42,557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56,833,771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632,168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(93,352)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6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1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56,769,081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610,266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49,925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stock options and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64,690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21,482</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56,833,771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632,168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(93,352)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60" w:right="379" w:hanging="3045"/>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w:t>
      </w:r>
      <w:r>
        <w:rPr>
          <w:rFonts w:ascii="Arial" w:cs="Arial" w:eastAsia="Arial" w:hAnsi="Arial"/>
          <w:sz w:val="16"/>
          <w:szCs w:val="16"/>
          <w:color w:val="auto"/>
        </w:rPr>
        <w: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1520" w:right="1160"/>
        <w:spacing w:after="0" w:line="257" w:lineRule="auto"/>
        <w:rPr>
          <w:sz w:val="20"/>
          <w:szCs w:val="20"/>
          <w:color w:val="auto"/>
        </w:rPr>
      </w:pPr>
      <w:r>
        <w:rPr>
          <w:rFonts w:ascii="Arial" w:cs="Arial" w:eastAsia="Arial" w:hAnsi="Arial"/>
          <w:sz w:val="18"/>
          <w:szCs w:val="18"/>
          <w:b w:val="1"/>
          <w:bCs w:val="1"/>
          <w:color w:val="auto"/>
        </w:rPr>
        <w:t>HARMONY BIOSCIENCES HOLDINGS, INC. AND SUBSIDIARIES UNAUDITED CONDENSED CONSOLIDATED STATEMENTS OF CASH FLOWS (In thousands, except share and per share data)</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6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85,336</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49,925</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42,595</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(10,796)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(17,756)</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(904)</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1,126</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(9,948)</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(9,017)</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(5,586)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(4,004)</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(12,483)</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(25,095)</w:t>
            </w:r>
          </w:p>
        </w:tc>
        <w:tc>
          <w:tcPr>
            <w:tcW w:w="20" w:type="dxa"/>
            <w:vAlign w:val="bottom"/>
          </w:tcPr>
          <w:p>
            <w:pPr>
              <w:spacing w:after="0"/>
              <w:rPr>
                <w:sz w:val="14"/>
                <w:szCs w:val="14"/>
                <w:color w:val="auto"/>
              </w:rPr>
            </w:pPr>
          </w:p>
        </w:tc>
      </w:tr>
      <w:tr>
        <w:trPr>
          <w:trHeight w:val="155"/>
        </w:trPr>
        <w:tc>
          <w:tcPr>
            <w:tcW w:w="66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113,314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73,758</w:t>
            </w:r>
          </w:p>
        </w:tc>
        <w:tc>
          <w:tcPr>
            <w:tcW w:w="20" w:type="dxa"/>
            <w:vAlign w:val="bottom"/>
          </w:tcPr>
          <w:p>
            <w:pPr>
              <w:spacing w:after="0"/>
              <w:rPr>
                <w:sz w:val="13"/>
                <w:szCs w:val="13"/>
                <w:color w:val="auto"/>
              </w:rPr>
            </w:pPr>
          </w:p>
        </w:tc>
      </w:tr>
      <w:tr>
        <w:trPr>
          <w:trHeight w:val="156"/>
        </w:trPr>
        <w:tc>
          <w:tcPr>
            <w:tcW w:w="66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(43,032)</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(46,317)</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40,937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44,481</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(33,069)</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upfront fee related to research collaboration, option and license agreement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20" w:type="dxa"/>
            <w:vAlign w:val="bottom"/>
          </w:tcPr>
          <w:p>
            <w:pPr>
              <w:spacing w:after="0"/>
              <w:rPr>
                <w:sz w:val="14"/>
                <w:szCs w:val="14"/>
                <w:color w:val="auto"/>
              </w:rPr>
            </w:pPr>
          </w:p>
        </w:tc>
      </w:tr>
      <w:tr>
        <w:trPr>
          <w:trHeight w:val="155"/>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(17,227)</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(61,042)</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Principal repayment of long-term debt</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(7,500)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(7,500)</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(2,341)</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0" w:type="dxa"/>
            <w:vAlign w:val="bottom"/>
          </w:tcPr>
          <w:p>
            <w:pPr>
              <w:spacing w:after="0"/>
              <w:rPr>
                <w:sz w:val="14"/>
                <w:szCs w:val="14"/>
                <w:color w:val="auto"/>
              </w:rPr>
            </w:pPr>
          </w:p>
        </w:tc>
      </w:tr>
      <w:tr>
        <w:trPr>
          <w:trHeight w:val="162"/>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20" w:type="dxa"/>
            <w:vAlign w:val="bottom"/>
          </w:tcPr>
          <w:p>
            <w:pPr>
              <w:spacing w:after="0"/>
              <w:rPr>
                <w:sz w:val="14"/>
                <w:szCs w:val="14"/>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(3,038)</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(7,080)</w:t>
            </w:r>
          </w:p>
        </w:tc>
        <w:tc>
          <w:tcPr>
            <w:tcW w:w="20" w:type="dxa"/>
            <w:vAlign w:val="bottom"/>
          </w:tcPr>
          <w:p>
            <w:pPr>
              <w:spacing w:after="0"/>
              <w:rPr>
                <w:sz w:val="13"/>
                <w:szCs w:val="13"/>
                <w:color w:val="auto"/>
              </w:rPr>
            </w:pPr>
          </w:p>
        </w:tc>
      </w:tr>
      <w:tr>
        <w:trPr>
          <w:trHeight w:val="155"/>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93,049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5,636</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453,271</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0" w:type="dxa"/>
            <w:vAlign w:val="bottom"/>
          </w:tcPr>
          <w:p>
            <w:pPr>
              <w:spacing w:after="0"/>
              <w:rPr>
                <w:sz w:val="13"/>
                <w:szCs w:val="13"/>
                <w:color w:val="auto"/>
              </w:rPr>
            </w:pPr>
          </w:p>
        </w:tc>
      </w:tr>
      <w:tr>
        <w:trPr>
          <w:trHeight w:val="155"/>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546,320</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317,566</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7,660</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8,944</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42,093</w:t>
            </w:r>
          </w:p>
        </w:tc>
        <w:tc>
          <w:tcPr>
            <w:tcW w:w="20" w:type="dxa"/>
            <w:vAlign w:val="bottom"/>
          </w:tcPr>
          <w:p>
            <w:pPr>
              <w:spacing w:after="0"/>
              <w:rPr>
                <w:sz w:val="14"/>
                <w:szCs w:val="14"/>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42"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(“Harmony”), and Harmony Biosciences Management, Inc. The Company is headquartered in Plymouth Meeting, Pennsylvania.</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is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63"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Since its</w:t>
      </w:r>
    </w:p>
    <w:p>
      <w:pPr>
        <w:jc w:val="both"/>
        <w:ind w:left="60" w:right="59"/>
        <w:spacing w:after="0" w:line="237" w:lineRule="auto"/>
        <w:rPr>
          <w:sz w:val="20"/>
          <w:szCs w:val="20"/>
          <w:color w:val="auto"/>
        </w:rPr>
      </w:pPr>
      <w:r>
        <w:rPr>
          <w:rFonts w:ascii="Arial" w:cs="Arial" w:eastAsia="Arial" w:hAnsi="Arial"/>
          <w:sz w:val="18"/>
          <w:szCs w:val="18"/>
          <w:color w:val="auto"/>
        </w:rPr>
        <w:t>initial FDA approval in 2019 for excessive daytime sleepiness (“EDS”) in adult patients with narcolepsy, WAKIX has subsequently been approved for cataplexy in adult patients in 2020 and EDS in pediatric patients six years and older in 2024. Beyond narcolepsy, we are also advancing late-stage clinical programs exploring pitolisant in Prader-Willi syndrome (“PWS”) and continue to grow our impact in other rare neurological diseases. In July 2022, we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clinical development.</w:t>
      </w:r>
    </w:p>
    <w:p>
      <w:pPr>
        <w:spacing w:after="0" w:line="16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In October 2023, the Company completed a tender offer to acquire all of the outstanding shares of common stock of Zynerba Pharmaceuticals, Inc. (together with its subsidiary, Zynerba Pharmaceutical Pty, Ltd., “Zynerba”). Zynerba was a clinical-stage pharmaceutical company focused on innovative, pharmaceutically produced transdermal cannabidiol therapies for orphan neurobehavioral disorders, including Fragile X Syndrome and 22q deletion syndrome. As of July 1, 2024, Zynerba Pharmaceuticals, Inc. was renamed and is known as Harmony Biosciences Management, Inc.</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Under the sublicense agreement we obtained the exclusive right to develop, manufacture and commercialize BP1.15205 in the United States and Latin American territories, which are rights originally licensed from Teijin Pharma, the innovator of BP1.15205. We further broadened our portfolio into rare epilepsy when the Company acquired all of the issued and outstanding capital stock of Epygenix Therapeutics, Inc. (“Epygenix”) in April 2024. As a result, the Company now has an exclusive license relating to the use of clemizole hydrochloride, initially for the treatment of Dravet Syndrome (“DS”) and Lennox-Gastaut Syndrome (“LGS”), and a liquid formulation of lorcaserin for the treatment of developmental and epileptic encephalopathies.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retained earnings of $87,552 and $ 2,216, as of June 30, 2025, and December 31, 2024, respectively. As of June 30, 2025, the Company had cash, cash equivalents and investments of $672,282.</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June 30, 2025, as well as additional cash generated from operating and financing activities will meet its operational liquidity needs and fund potential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6"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June 30, 2025, the unaudited condensed consolidated statements of cash flows for the six months ended June 30, 2025, and 2024, and the unaudited condensed consolidated statements of operations and comprehensive income and the unaudited condensed consolidated statements of shareholders’ equity for the three and six months ended June 30, 2025, and 2024, are unaudited. The balance sheet as of December 31, 2024, was derived from audited financial statements as of and for the year ended December 31, 2024. The unaudited interim condensed consolidated financial statements have been prepared on the same basis as the audited annual financial statements as of and for the year ended December 31, 2024, and, in the opinion of management, reflect all adjustments, which include only normal recurring adjustments, necessary for the fair presentation of the Company’s financial position as of June 30, 2025, and the results of its operations and its cash flows for the six months ended June 30, 2025, and 2024.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2024.</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including generic competition; the price of, and demand for, the Company’s products, if approved; the Company’s ability to negotiate favorable licensing or other manufacturing and marketing agreements for its product candidates.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rare neurological diseases and, therefore, has one reportable segment. The Company holds all its tangible assets, conducts its operations, and generates its revenue in the United States.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June 30, 2025, or December 31, 2024.</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market funds and debt securities that approximate fair value. The following table provides a reconciliation of cash, cash equivalents, and restricted cash reported within the balance sheet and the statements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546,050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453,001</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546,320</w:t>
            </w:r>
          </w:p>
        </w:tc>
        <w:tc>
          <w:tcPr>
            <w:tcW w:w="480" w:type="dxa"/>
            <w:vAlign w:val="bottom"/>
            <w:gridSpan w:val="3"/>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453,271</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for uncollectible amounts, if necessary. As of June 30, 2025, three customers accounted for 100% of gross accounts receivable; Caremark LLC (“CVS Caremark”), which accounted for 35% of gross accounts receivable; Accredo Health Group, Inc. (“Accredo”), which accounted for 35% of gross accounts receivable; and PANTHERx Specialty Pharmacy LLC (“Pantherx”), which accounted for 30% of gross accounts receivable. As of December 31, 2024, three customers accounted for 100% of gross accounts receivable; CVS Caremark, which accounted for 39% of gross accounts receivable, Pantherx, which accounted for 31% of gross accounts receivable; and Accredo, which accounted for 30% of gross accounts receivable.</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For the six months ended June 30, 2025, three customers accounted for 100% of gross product revenue; CVS Caremark accounted for 38% of gross product revenue; Accredo accounted for 36% of gross product revenue; and Pantherx accounted for 26% of gross product revenue. For the six months ended June 30, 2024, three customers accounted for 100% of gross product revenue; CVS Caremark accounted for 40%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of gross product revenue; Accredo accounted for 33% of gross product revenue; and Pantherx accounted for 27% of gross product revenue.</w:t>
      </w:r>
    </w:p>
    <w:p>
      <w:pPr>
        <w:spacing w:after="0" w:line="15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 of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is intended to improve 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was effective for annual reporting periods beginning after December 15, 2023, and interim periods within fiscal years beginning after December 15, 2024. Early adoption was permitted. ASU 2023-07 was required to be applied retrospectively to all prior periods presented in the financial statements. The Company adopted this guidance in the fourth quarter of 2024. This pronouncement addresses disclosures only and had no impact on the Company’s consolidated financial statements.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Income—Expense Disaggregation Disclosures (Subtopic 220-40)</w:t>
      </w:r>
      <w:r>
        <w:rPr>
          <w:rFonts w:ascii="Arial" w:cs="Arial" w:eastAsia="Arial" w:hAnsi="Arial"/>
          <w:sz w:val="18"/>
          <w:szCs w:val="18"/>
          <w:color w:val="auto"/>
        </w:rPr>
        <w:t>. ASU 2024-03 requires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the financial 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 after December 15, 2027. The guidance may be applied prospectively or retrospectively. Early adoption is permitted. The Company is currently evaluating the impact that ASU 2024-03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ACQUISITIONS</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Epygenix</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April 30, 2024, the Company acquired all of the issued and outstanding capital stock of Epygenix pursuant to the terms of a stock purchase agreement. The Company paid the former stockholders of Epygenix up front consideration of $35,000 less a working capital 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DS and LGS.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rPr>
              <w:t>June 30, 2025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234"/>
        </w:trPr>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10,829</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19,221</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19,224</w:t>
            </w:r>
          </w:p>
        </w:tc>
      </w:tr>
      <w:tr>
        <w:trPr>
          <w:trHeight w:val="197"/>
        </w:trPr>
        <w:tc>
          <w:tcPr>
            <w:tcW w:w="5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88,858</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107,008</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Gains</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7,678</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14,165</w:t>
            </w:r>
          </w:p>
        </w:tc>
        <w:tc>
          <w:tcPr>
            <w:tcW w:w="16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14,185</w:t>
            </w:r>
          </w:p>
        </w:tc>
      </w:tr>
      <w:tr>
        <w:trPr>
          <w:trHeight w:val="197"/>
        </w:trPr>
        <w:tc>
          <w:tcPr>
            <w:tcW w:w="5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22,124</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108,874</w:t>
            </w: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in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June 30, 2025, and December 31, 2024, respectively.</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June 30, 2025, or December 31,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2025</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2024</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$ 301,425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301,425</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$ 303,545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303,545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97,253</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97,253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93,257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93,257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$ 427,657</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301,425</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126,232</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$ 426,604</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303,545</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123,059</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7. INVENTORY</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960" w:type="dxa"/>
            <w:vAlign w:val="bottom"/>
            <w:gridSpan w:val="2"/>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4"/>
          </w:tcPr>
          <w:p>
            <w:pPr>
              <w:jc w:val="right"/>
              <w:ind w:right="420"/>
              <w:spacing w:after="0" w:line="147" w:lineRule="exact"/>
              <w:rPr>
                <w:sz w:val="20"/>
                <w:szCs w:val="20"/>
                <w:color w:val="auto"/>
              </w:rPr>
            </w:pPr>
            <w:r>
              <w:rPr>
                <w:rFonts w:ascii="Arial" w:cs="Arial" w:eastAsia="Arial" w:hAnsi="Arial"/>
                <w:sz w:val="14"/>
                <w:szCs w:val="14"/>
                <w:b w:val="1"/>
                <w:bCs w:val="1"/>
                <w:color w:val="auto"/>
              </w:rPr>
              <w:t>June 30,</w:t>
            </w:r>
          </w:p>
        </w:tc>
        <w:tc>
          <w:tcPr>
            <w:tcW w:w="1000" w:type="dxa"/>
            <w:vAlign w:val="bottom"/>
            <w:gridSpan w:val="4"/>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2,155</w:t>
            </w: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6,265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6,100</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August 2019, the Company received FDA approval of WAKIX for the treatment of EDS in adult patients with narcolepsy. This event triggered a milestone payment of $75,000 under the provisions of the 2017 LCA which the Company capitalized as an intangible asset. The Company determined a useful life of 10 years for the intangible asset, and, as of June 30, 2025, the remaining useful life was 4.3 years.</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June 30, 2025, the remaining useful life was 4.3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June 30, 2025, the remaining useful life was 4.3 years.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Amortization expense was $5,961 for each of the three months ended June 30, 2025, and 2024, respectively, and $11,922 for each of the six months ended June 30, 2025, and 2024, respectively, and is recorded in general and administrative on the unaudited condensed consolidated statements of operations and comprehensive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 (excluding the six months ended June 30, 2025)</w:t>
            </w:r>
          </w:p>
        </w:tc>
        <w:tc>
          <w:tcPr>
            <w:tcW w:w="196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11,923</w:t>
            </w:r>
          </w:p>
        </w:tc>
      </w:tr>
      <w:tr>
        <w:trPr>
          <w:trHeight w:val="203"/>
        </w:trPr>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2027</w:t>
            </w: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2029</w:t>
            </w: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203"/>
        </w:trPr>
        <w:tc>
          <w:tcPr>
            <w:tcW w:w="60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7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101,341</w:t>
            </w: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was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(113,659)</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(101,737)</w:t>
            </w:r>
          </w:p>
        </w:tc>
        <w:tc>
          <w:tcPr>
            <w:tcW w:w="20" w:type="dxa"/>
            <w:vAlign w:val="bottom"/>
          </w:tcPr>
          <w:p>
            <w:pPr>
              <w:spacing w:after="0"/>
              <w:rPr>
                <w:sz w:val="17"/>
                <w:szCs w:val="17"/>
                <w:color w:val="auto"/>
              </w:rPr>
            </w:pPr>
          </w:p>
        </w:tc>
      </w:tr>
      <w:tr>
        <w:trPr>
          <w:trHeight w:val="196"/>
        </w:trPr>
        <w:tc>
          <w:tcPr>
            <w:tcW w:w="67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2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Bioprojet Agreements</w:t>
      </w: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the 2017 LCA with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$35,783 and $30,199 for the three months ended June 30, 2025, and 2024, respectively, and $65,340 and $ 54,937 for the six months ended June 30, 2025, and 2024, respectively for sales-based, trademark and tiered royalties recognized as cost of product sold. As of June 30, 2025, and December 31, 2024, the Company had accrued $35,783 and $51,746, respectively, for sales-based, trademark and tiered royalties.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July 2022, Harmony entered into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also requires a fixed trademark royalty and a tiered royalty based on net sales upon commercialization, which will be payable to Bioprojet on a quarterly basis.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Medicinal Product Dossier (“IMPD”) Application currently anticipated in the second half of 2025. Under the Sublicense, the Company paid Bioprojet an upfront license fee of $25,500, which the Company recognized as an IPR&amp;D charge recorded in research and development within the consolidated statements of operations and comprehensive income for the year ended December 31, 2024,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consolidated statement of operations and comprehensive income for the year ended December 31, 2023. In September 2024, the Company achieved a milestone for preclinical proof-of-concept, which triggered a $1,000 payment under the provisions of the APA, which the Company recognized as an IPR&amp;D charge recorded in research and development within the consolidated statement of operations and comprehensive income for the year ended December 31, 2024. There are additional payments due under the APA upon the achievement of certain milestones including $19,000 for development milestones, $44,000 for regulatory milestones and $110,000 for sales milestones.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In June 2025, the Company entered into a research collaboration, option and license agreement (the “CiRC Agreement”) with a related party, CiRC Biosciences, Inc. (“CiRC”). Under this agreement, the Company and CiRC will collaborate on the research and development of two discovery-stage candidates (together the “Candidates”) using cell replacement therapy for treatment of refractory epilepsies and treatment-resistant narcolepsy. In connection with the CiRC Agreement, the Company paid CiRC an upfront fee of $15,000, which the Company recognized as an IPR&amp;D charge recorded in research and development within the unaudited condensed consolidated statements of operations and comprehensive income for the three and six months ended June 30, 2025. The Company will also be obligated to pay $2,000 to CiRC upon the achievement of certain research milestones for each of the Candidates. In addition, the Company has an option to obtain an exclusive license for each of the Candidates that would grant the Company global rights to develop, manufacture and commercialize each Candidate. Upon exercise of each option, the Company would be obligated to pay an option exercise fee of $ 8,000, or $16,000 in the aggregate if the options related to both Candidates were to be exercised, and the Company would be obligated upon achievement to pay future development, regulatory and sales-based milestones, as well as royalties on sales of any product derived from the Candidates. Refer to Note 19,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further discussion of related party considerations for the CiRC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35,783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51,746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61,129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50,542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7,590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r>
      <w:tr>
        <w:trPr>
          <w:trHeight w:val="196"/>
        </w:trPr>
        <w:tc>
          <w:tcPr>
            <w:tcW w:w="5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118,293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120,640</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$200,000.</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quarterly $3,750 principal payments, which commenced on December 31, 2023, increasing to quarterly $5,000 principal payments beginning on December 31, 2025, with a $115,000 payment due on the maturity date of July 26, 2028. The TLA Term Loan bears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TLA Term Loan as a result of the transactions, less debt issuance costs of $ 2,997, was $197,003. The debt issuance costs related to the TLA Term Loan will be amortized as additional interest expense over the loan term of the TLA Credit Agreement. The fair value of the TLA Term Loan as of June 30, 2025, was $171,485.</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173,750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172,095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153,345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June 30, 2025, for the periods indicated below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 (excluding the six months ended June 30, 2025)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173,750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56"/>
        </w:trPr>
        <w:tc>
          <w:tcPr>
            <w:tcW w:w="5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8,583</w:t>
            </w:r>
          </w:p>
        </w:tc>
      </w:tr>
      <w:tr>
        <w:trPr>
          <w:trHeight w:val="203"/>
        </w:trPr>
        <w:tc>
          <w:tcPr>
            <w:tcW w:w="5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196"/>
        </w:trPr>
        <w:tc>
          <w:tcPr>
            <w:tcW w:w="54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7,482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8,939</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was set to expire in May 2024. The Company subsequently entered into two separate operating leases for additional office space in Plymouth Meeting, PA, which include approximately thirteen thousand square feet and seven thousand square feet of additional office space, respectively, and were extended through August 2025. The terms of the lease payments provide for rental payments on a monthly basis and on a graduated scale. The Company also leases a fleet of automobiles that are primarily used by its sales force and are classified as operating leases.</w:t>
      </w:r>
    </w:p>
    <w:p>
      <w:pPr>
        <w:spacing w:after="0" w:line="185"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$598 and $622 for the three months ended June 30, 2025, and 2024, respectively, and $1,065 and $1,131 for the six months ended June 30, 2025, and 2024, respectively.</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2025, the weighted-average remaining lease term for operating leases was 1.6 years and the weighted-average discount rate for operating leases was 7.72%.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tcPr>
          <w:p>
            <w:pPr>
              <w:ind w:left="1540"/>
              <w:spacing w:after="0"/>
              <w:rPr>
                <w:sz w:val="20"/>
                <w:szCs w:val="20"/>
                <w:color w:val="auto"/>
              </w:rPr>
            </w:pPr>
            <w:r>
              <w:rPr>
                <w:rFonts w:ascii="Arial" w:cs="Arial" w:eastAsia="Arial" w:hAnsi="Arial"/>
                <w:sz w:val="14"/>
                <w:szCs w:val="14"/>
                <w:b w:val="1"/>
                <w:bCs w:val="1"/>
                <w:color w:val="auto"/>
              </w:rPr>
              <w:t>Leases</w:t>
            </w:r>
          </w:p>
        </w:tc>
        <w:tc>
          <w:tcPr>
            <w:tcW w:w="2940" w:type="dxa"/>
            <w:vAlign w:val="bottom"/>
          </w:tcPr>
          <w:p>
            <w:pPr>
              <w:ind w:left="112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2025   December 31, 2024</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940" w:type="dxa"/>
            <w:vAlign w:val="bottom"/>
          </w:tcPr>
          <w:p>
            <w:pPr>
              <w:ind w:left="24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1,277</w:t>
            </w:r>
          </w:p>
        </w:tc>
        <w:tc>
          <w:tcPr>
            <w:tcW w:w="8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940" w:type="dxa"/>
            <w:vAlign w:val="bottom"/>
          </w:tcPr>
          <w:p>
            <w:pPr>
              <w:ind w:left="2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8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9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196"/>
        </w:trPr>
        <w:tc>
          <w:tcPr>
            <w:tcW w:w="33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9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r>
      <w:tr>
        <w:trPr>
          <w:trHeight w:val="20"/>
        </w:trPr>
        <w:tc>
          <w:tcPr>
            <w:tcW w:w="3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 2024</w:t>
            </w:r>
          </w:p>
        </w:tc>
      </w:tr>
      <w:tr>
        <w:trPr>
          <w:trHeight w:val="196"/>
        </w:trPr>
        <w:tc>
          <w:tcPr>
            <w:tcW w:w="6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1,075</w:t>
            </w: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1,254</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June 30, 2025,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 (excluding the six months ended June 30, 2025)</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1,354</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1,278</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w:t>
      </w:r>
      <w:r>
        <w:rPr>
          <w:rFonts w:ascii="Arial" w:cs="Arial" w:eastAsia="Arial" w:hAnsi="Arial"/>
          <w:sz w:val="18"/>
          <w:szCs w:val="18"/>
          <w:color w:val="auto"/>
        </w:rPr>
        <w:t xml:space="preserve"> </w:t>
      </w:r>
      <w:r>
        <w:rPr>
          <w:rFonts w:ascii="Arial" w:cs="Arial" w:eastAsia="Arial" w:hAnsi="Arial"/>
          <w:sz w:val="18"/>
          <w:szCs w:val="18"/>
          <w:color w:val="212529"/>
        </w:rPr>
        <w:t>business. The 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June 30, 2025, there were no material claims or lawsuits outstanding other than the Abbreviated New Drug Application (“ANDA”) litigation discussed below</w:t>
      </w:r>
      <w:r>
        <w:rPr>
          <w:rFonts w:ascii="Arial" w:cs="Arial" w:eastAsia="Arial" w:hAnsi="Arial"/>
          <w:sz w:val="18"/>
          <w:szCs w:val="18"/>
          <w:color w:val="000000"/>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212529"/>
        </w:rPr>
        <w:t xml:space="preserve">In September 2023, the Company and its licensor, Bioprojet, received notice from Lupin Limited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Nos. 8,486,947 (“’947 patent”) and 8,207,197 (“’197 patent”). On September 27,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212529"/>
        </w:rPr>
        <w:t>“Novugen Notice Letter”) that Novugen has submitted ANDA No. 218834 (the “Novugen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’197 patent. The ’947 patent and the ‘197 patent are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w:t>
      </w:r>
    </w:p>
    <w:p>
      <w:pPr>
        <w:spacing w:after="0" w:line="58"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October 2023, the Company and Bioprojet received notice from Novitium Pharma LLC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February 2026, ’947 patent, and ’197 patent. On October 12,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“Zenara Notice Letter”), that Zenara has submitted ANDA No. 218796 (the “Zenara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’947 patent and the ’197 patent. On October 14,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the ’197 patent. On October 16,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the Company,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6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0"/>
          <w:szCs w:val="10"/>
          <w:color w:val="212529"/>
          <w:vertAlign w:val="subscript"/>
        </w:rPr>
        <w:t>.</w:t>
      </w:r>
      <w:r>
        <w:rPr>
          <w:rFonts w:ascii="Arial" w:cs="Arial" w:eastAsia="Arial" w:hAnsi="Arial"/>
          <w:sz w:val="18"/>
          <w:szCs w:val="18"/>
          <w:color w:val="212529"/>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212529"/>
        </w:rPr>
        <w:t>In April 2024, the United States District Court for the District of Delaware issued a scheduling order consolidating the cases described above for all purposes up to and including trial (the “Scheduling Order”).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212529"/>
        </w:rPr>
        <w:t>Scheduling Order set March 27, 2025, as the date for the hearing on claim construction and scheduled a four-day bench trial beginning on February 17, 2026.</w:t>
      </w:r>
    </w:p>
    <w:p>
      <w:pPr>
        <w:spacing w:after="0" w:line="15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August 2024, the Company and Bioprojet received further notice from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AET Notice Letter”) that AET has submitted the AET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On August 13, 2024, we, Bioprojet and Bioprojet Pharma filed a complaint in the United States District Court for the District of Delaware for patent infringement of the ’947 patent and the ‘197 patent against AET.</w:t>
      </w:r>
    </w:p>
    <w:p>
      <w:pPr>
        <w:spacing w:after="0" w:line="1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212529"/>
        </w:rPr>
        <w:t>In October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January 2030, or earlier under certain circumstances.</w:t>
      </w:r>
    </w:p>
    <w:p>
      <w:pPr>
        <w:spacing w:after="0" w:line="16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In December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Lupin Notice Letter”) that Lupin has submitted the Lupin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On January 24, 2025, we, Bioprojet and Bioprojet Pharma filed a complaint in the United States District Court for the District of Delaware for patent infringement of the ’947 patent and the ‘197 patent against Lupin.</w:t>
      </w:r>
    </w:p>
    <w:p>
      <w:pPr>
        <w:spacing w:after="0" w:line="226" w:lineRule="exact"/>
        <w:rPr>
          <w:sz w:val="20"/>
          <w:szCs w:val="20"/>
          <w:color w:val="auto"/>
        </w:rPr>
      </w:pPr>
    </w:p>
    <w:p>
      <w:pPr>
        <w:ind w:left="60" w:right="119" w:firstLine="648"/>
        <w:spacing w:after="0" w:line="244" w:lineRule="auto"/>
        <w:rPr>
          <w:sz w:val="20"/>
          <w:szCs w:val="20"/>
          <w:color w:val="auto"/>
        </w:rPr>
      </w:pPr>
      <w:r>
        <w:rPr>
          <w:rFonts w:ascii="Arial" w:cs="Arial" w:eastAsia="Arial" w:hAnsi="Arial"/>
          <w:sz w:val="18"/>
          <w:szCs w:val="18"/>
          <w:color w:val="auto"/>
        </w:rPr>
        <w:t>In March 2025, the Company reached an agreement with Annora to resolve the dispute over Annora’s ANDA for a generic pitolisant hydrochloride product. Under the terms of the settlement agreement, the litigation between the parties in the United States District Court for the District of Delaware was ended on March 31, 2025, and Annora will have a license to sell its generic product beginning January 2030, or earlier under certain circumstances.</w:t>
      </w:r>
    </w:p>
    <w:p>
      <w:pPr>
        <w:spacing w:after="0" w:line="163" w:lineRule="exact"/>
        <w:rPr>
          <w:sz w:val="20"/>
          <w:szCs w:val="20"/>
          <w:color w:val="auto"/>
        </w:rPr>
      </w:pPr>
    </w:p>
    <w:p>
      <w:pPr>
        <w:ind w:left="60" w:right="59" w:firstLine="648"/>
        <w:spacing w:after="0" w:line="247" w:lineRule="auto"/>
        <w:rPr>
          <w:sz w:val="20"/>
          <w:szCs w:val="20"/>
          <w:color w:val="auto"/>
        </w:rPr>
      </w:pPr>
      <w:r>
        <w:rPr>
          <w:rFonts w:ascii="Arial" w:cs="Arial" w:eastAsia="Arial" w:hAnsi="Arial"/>
          <w:sz w:val="18"/>
          <w:szCs w:val="18"/>
          <w:color w:val="auto"/>
        </w:rPr>
        <w:t>In June 2025, the Company reached an agreement with Lupin to resolve the dispute over Lupin’s ANDA to market a generic version of WAKIX. Under the terms of the settlement agreement, the litigation between the parties in the United States District Court for the District of Delaware will be dismissed, and Lupin will have a license to sell its generic product beginning January 2030, or earlier under certain circumstances.</w:t>
      </w:r>
    </w:p>
    <w:p>
      <w:pPr>
        <w:spacing w:after="0" w:line="16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resolution of one or more of the ANDA litigation matters against the Company could have a significant negative effect on the Company’s results of operations.</w:t>
      </w:r>
    </w:p>
    <w:p>
      <w:pPr>
        <w:spacing w:after="0" w:line="167" w:lineRule="exact"/>
        <w:rPr>
          <w:sz w:val="20"/>
          <w:szCs w:val="20"/>
          <w:color w:val="auto"/>
        </w:rPr>
      </w:pPr>
    </w:p>
    <w:p>
      <w:pPr>
        <w:ind w:left="700" w:right="6399" w:hanging="650"/>
        <w:spacing w:after="0" w:line="513"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2025, and 2024, no shares of common stock were repurchased by the Company under the October 2023 Repurchase Program. As of June 30, 2025, the remaining amount of common stock authorized for repurchases was $150,000.</w:t>
      </w:r>
    </w:p>
    <w:p>
      <w:pPr>
        <w:spacing w:after="0" w:line="185" w:lineRule="exact"/>
        <w:rPr>
          <w:sz w:val="20"/>
          <w:szCs w:val="20"/>
          <w:color w:val="auto"/>
        </w:rPr>
      </w:pPr>
    </w:p>
    <w:p>
      <w:pPr>
        <w:ind w:left="700" w:right="3179" w:hanging="650"/>
        <w:spacing w:after="0" w:line="485"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Stock Appreciation Rights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SARs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June 30, 2025, there were 8,620,499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six months ended June 30,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Number of</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7,157,235</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$ 32.48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1,347,981</w:t>
            </w:r>
          </w:p>
        </w:tc>
        <w:tc>
          <w:tcPr>
            <w:tcW w:w="16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$ 36.34</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(279,561)</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$ 23.93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(213,758)</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$ 34.90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2025</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8,011,897</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$ 33.36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30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29,800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8"/>
                <w:szCs w:val="18"/>
                <w:color w:val="auto"/>
              </w:rPr>
              <w:t>Awards exercisable—June 30, 2025</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4,942,003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32.67</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5.8</w:t>
            </w:r>
          </w:p>
        </w:tc>
        <w:tc>
          <w:tcPr>
            <w:tcW w:w="2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24,912</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Awards unvested—June 30, 2025</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3,069,894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34.48</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weighted-average grant-date fair value of stock options granted during the six months ended June 30, 2025, was $24.24. The total intrinsic value of stock options exercised for the six months ended June 30, 2025, was $3,400.</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six months ended June 30,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00" w:type="dxa"/>
            <w:vAlign w:val="bottom"/>
          </w:tcPr>
          <w:p>
            <w:pPr>
              <w:spacing w:after="0"/>
              <w:rPr>
                <w:sz w:val="14"/>
                <w:szCs w:val="14"/>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5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r>
      <w:tr>
        <w:trPr>
          <w:trHeight w:val="196"/>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2025</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28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610</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exercisable—June 30, 2025</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41,382</w:t>
            </w:r>
          </w:p>
        </w:tc>
        <w:tc>
          <w:tcPr>
            <w:tcW w:w="280" w:type="dxa"/>
            <w:vAlign w:val="bottom"/>
            <w:gridSpan w:val="2"/>
          </w:tcPr>
          <w:p>
            <w:pPr>
              <w:ind w:left="18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9.19</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3.8</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597</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six months ended June 30, 2025:</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638,900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02"/>
        </w:trPr>
        <w:tc>
          <w:tcPr>
            <w:tcW w:w="68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458,650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37.61</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(170,795)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30.78</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(79,491)</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33.21</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outstanding—June 30, 2025</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847,264</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34.34</w:t>
            </w:r>
          </w:p>
        </w:tc>
      </w:tr>
      <w:tr>
        <w:trPr>
          <w:trHeight w:val="20"/>
        </w:trPr>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weighted-average per share fair value of awards issued under the 2020 Plan during the six months ended June 30, 2025, and 2024 was $37.61 and $30.62,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rPr>
              <w:t>As of</w:t>
            </w:r>
          </w:p>
        </w:tc>
      </w:tr>
      <w:tr>
        <w:trPr>
          <w:trHeight w:val="155"/>
        </w:trPr>
        <w:tc>
          <w:tcPr>
            <w:tcW w:w="6020" w:type="dxa"/>
            <w:vAlign w:val="bottom"/>
          </w:tcPr>
          <w:p>
            <w:pPr>
              <w:spacing w:after="0"/>
              <w:rPr>
                <w:sz w:val="13"/>
                <w:szCs w:val="13"/>
                <w:color w:val="auto"/>
              </w:rPr>
            </w:pPr>
          </w:p>
        </w:tc>
        <w:tc>
          <w:tcPr>
            <w:tcW w:w="1400" w:type="dxa"/>
            <w:vAlign w:val="bottom"/>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June 30, 2025</w:t>
            </w:r>
          </w:p>
        </w:tc>
        <w:tc>
          <w:tcPr>
            <w:tcW w:w="148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December 31, 2024</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tcBorders>
              <w:top w:val="single" w:sz="8" w:color="CCEEFF"/>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69.83 - 71.43 %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69.84 - 72.98 %</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3.79 - 4.44 %</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3.51 - 4.65 %</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1.6 - 6.1</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1.8 - 6.1</w:t>
            </w:r>
          </w:p>
        </w:tc>
        <w:tc>
          <w:tcPr>
            <w:tcW w:w="180" w:type="dxa"/>
            <w:vAlign w:val="bottom"/>
            <w:shd w:val="clear" w:color="auto" w:fill="CCEEFF"/>
          </w:tcPr>
          <w:p>
            <w:pPr>
              <w:spacing w:after="0"/>
              <w:rPr>
                <w:sz w:val="17"/>
                <w:szCs w:val="17"/>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and six months ended June 30, 2025, and 2024,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6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5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4,094</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7,629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15,033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14,249</w:t>
            </w:r>
          </w:p>
        </w:tc>
      </w:tr>
      <w:tr>
        <w:trPr>
          <w:trHeight w:val="196"/>
        </w:trPr>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10,963</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23,844</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21,397</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June 30, 2025, the total unrecognized stock-based compensation expense was $59,155 and $25,038 for stock options and RSUs,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respectively. These amounts will be recognized in the Company’s consolidated statement of operations over a weighted average period of 2.6 years and 3.1 years for stock options and RSUs, respectively.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11,772 and 10,707 shares issued under the ESPP for each of the three and six months ended June 30, 2025, and 2024, respectively. The discount on the ESPP was $65 and $78 for the three months ended June 30, 2025, and 2024, respectively, and $125 and $158 for the six months ended June 30, 2025, and 2024, respectively, and is recorded within stock-based compensation expense.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 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three and six months ended June 30, 2025, and 2024:</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Rare Neurological Diseases Segment</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800" w:type="dxa"/>
            <w:vAlign w:val="bottom"/>
          </w:tcPr>
          <w:p>
            <w:pPr>
              <w:spacing w:after="0"/>
              <w:rPr>
                <w:sz w:val="13"/>
                <w:szCs w:val="13"/>
                <w:color w:val="auto"/>
              </w:rPr>
            </w:pPr>
          </w:p>
        </w:tc>
        <w:tc>
          <w:tcPr>
            <w:tcW w:w="208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2020" w:type="dxa"/>
            <w:vAlign w:val="bottom"/>
            <w:tcBorders>
              <w:bottom w:val="single" w:sz="8" w:color="auto"/>
            </w:tcBorders>
            <w:gridSpan w:val="4"/>
          </w:tcPr>
          <w:p>
            <w:pPr>
              <w:jc w:val="right"/>
              <w:ind w:right="11"/>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3"/>
                <w:szCs w:val="13"/>
                <w:color w:val="auto"/>
              </w:rPr>
            </w:pPr>
          </w:p>
        </w:tc>
      </w:tr>
      <w:tr>
        <w:trPr>
          <w:trHeight w:val="155"/>
        </w:trPr>
        <w:tc>
          <w:tcPr>
            <w:tcW w:w="4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96"/>
        </w:trPr>
        <w:tc>
          <w:tcPr>
            <w:tcW w:w="4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200,489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172,814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385,222</w:t>
            </w:r>
          </w:p>
        </w:tc>
        <w:tc>
          <w:tcPr>
            <w:tcW w:w="3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327,429</w:t>
            </w:r>
          </w:p>
        </w:tc>
        <w:tc>
          <w:tcPr>
            <w:tcW w:w="20" w:type="dxa"/>
            <w:vAlign w:val="bottom"/>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product sold (a)</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32,140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70,134</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59,617</w:t>
            </w:r>
          </w:p>
        </w:tc>
        <w:tc>
          <w:tcPr>
            <w:tcW w:w="20" w:type="dxa"/>
            <w:vAlign w:val="bottom"/>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(b)</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33,046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19,305</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65,284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40,123</w:t>
            </w:r>
          </w:p>
        </w:tc>
        <w:tc>
          <w:tcPr>
            <w:tcW w:w="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(c)</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26,407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56,388</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51,646</w:t>
            </w:r>
          </w:p>
        </w:tc>
        <w:tc>
          <w:tcPr>
            <w:tcW w:w="20" w:type="dxa"/>
            <w:vAlign w:val="bottom"/>
          </w:tcPr>
          <w:p>
            <w:pPr>
              <w:spacing w:after="0"/>
              <w:rPr>
                <w:sz w:val="17"/>
                <w:szCs w:val="17"/>
                <w:color w:val="auto"/>
              </w:rPr>
            </w:pPr>
          </w:p>
        </w:tc>
      </w:tr>
      <w:tr>
        <w:trPr>
          <w:trHeight w:val="202"/>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(d)</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13,996</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38,212</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26,486</w:t>
            </w:r>
          </w:p>
        </w:tc>
        <w:tc>
          <w:tcPr>
            <w:tcW w:w="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11,935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12,176</w:t>
            </w:r>
          </w:p>
        </w:tc>
        <w:tc>
          <w:tcPr>
            <w:tcW w:w="20" w:type="dxa"/>
            <w:vAlign w:val="bottom"/>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10,963</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23,844</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21,397</w:t>
            </w:r>
          </w:p>
        </w:tc>
        <w:tc>
          <w:tcPr>
            <w:tcW w:w="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7,482</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8,939</w:t>
            </w:r>
          </w:p>
        </w:tc>
        <w:tc>
          <w:tcPr>
            <w:tcW w:w="20" w:type="dxa"/>
            <w:vAlign w:val="bottom"/>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(5,296)</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(4,705)</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(10,340)</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(9,133)</w:t>
            </w:r>
          </w:p>
        </w:tc>
        <w:tc>
          <w:tcPr>
            <w:tcW w:w="20" w:type="dxa"/>
            <w:vAlign w:val="bottom"/>
          </w:tcPr>
          <w:p>
            <w:pPr>
              <w:spacing w:after="0"/>
              <w:rPr>
                <w:sz w:val="17"/>
                <w:szCs w:val="17"/>
                <w:color w:val="auto"/>
              </w:rPr>
            </w:pPr>
          </w:p>
        </w:tc>
      </w:tr>
      <w:tr>
        <w:trPr>
          <w:trHeight w:val="203"/>
        </w:trPr>
        <w:tc>
          <w:tcPr>
            <w:tcW w:w="4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21,478</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23,554</w:t>
            </w:r>
          </w:p>
        </w:tc>
        <w:tc>
          <w:tcPr>
            <w:tcW w:w="20" w:type="dxa"/>
            <w:vAlign w:val="bottom"/>
          </w:tcPr>
          <w:p>
            <w:pPr>
              <w:spacing w:after="0"/>
              <w:rPr>
                <w:sz w:val="17"/>
                <w:szCs w:val="17"/>
                <w:color w:val="auto"/>
              </w:rPr>
            </w:pPr>
          </w:p>
        </w:tc>
      </w:tr>
      <w:tr>
        <w:trPr>
          <w:trHeight w:val="203"/>
        </w:trPr>
        <w:tc>
          <w:tcPr>
            <w:tcW w:w="48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segment items (e)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15,193</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42,558</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15,469</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42,699</w:t>
            </w:r>
          </w:p>
        </w:tc>
        <w:tc>
          <w:tcPr>
            <w:tcW w:w="20" w:type="dxa"/>
            <w:vAlign w:val="bottom"/>
          </w:tcPr>
          <w:p>
            <w:pPr>
              <w:spacing w:after="0"/>
              <w:rPr>
                <w:sz w:val="17"/>
                <w:szCs w:val="17"/>
                <w:color w:val="auto"/>
              </w:rPr>
            </w:pPr>
          </w:p>
        </w:tc>
      </w:tr>
      <w:tr>
        <w:trPr>
          <w:trHeight w:val="196"/>
        </w:trPr>
        <w:tc>
          <w:tcPr>
            <w:tcW w:w="4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39,776</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11,591</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85,336</w:t>
            </w:r>
          </w:p>
        </w:tc>
        <w:tc>
          <w:tcPr>
            <w:tcW w:w="3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49,925</w:t>
            </w:r>
          </w:p>
        </w:tc>
        <w:tc>
          <w:tcPr>
            <w:tcW w:w="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040" w:hanging="315"/>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Cost of product sold excluding depreciation.</w:t>
      </w:r>
    </w:p>
    <w:p>
      <w:pPr>
        <w:spacing w:after="0" w:line="5" w:lineRule="exact"/>
        <w:rPr>
          <w:rFonts w:ascii="Arial" w:cs="Arial" w:eastAsia="Arial" w:hAnsi="Arial"/>
          <w:sz w:val="14"/>
          <w:szCs w:val="14"/>
          <w:color w:val="auto"/>
        </w:rPr>
      </w:pPr>
    </w:p>
    <w:p>
      <w:pPr>
        <w:ind w:left="1040" w:hanging="315"/>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Research and development excluding stock-based compensation and IPR&amp;D.</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Sales and marketing excluding stock-based compensation.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General and administrative excluding stock-based compensation, depreciation and amortization.</w:t>
      </w:r>
    </w:p>
    <w:p>
      <w:pPr>
        <w:spacing w:after="0" w:line="1" w:lineRule="exact"/>
        <w:rPr>
          <w:rFonts w:ascii="Arial" w:cs="Arial" w:eastAsia="Arial" w:hAnsi="Arial"/>
          <w:sz w:val="14"/>
          <w:szCs w:val="14"/>
          <w:color w:val="auto"/>
        </w:rPr>
      </w:pPr>
    </w:p>
    <w:p>
      <w:pPr>
        <w:ind w:left="1040" w:hanging="315"/>
        <w:spacing w:after="0"/>
        <w:tabs>
          <w:tab w:leader="none" w:pos="1040" w:val="left"/>
        </w:tabs>
        <w:numPr>
          <w:ilvl w:val="1"/>
          <w:numId w:val="9"/>
        </w:numPr>
        <w:rPr>
          <w:rFonts w:ascii="Arial" w:cs="Arial" w:eastAsia="Arial" w:hAnsi="Arial"/>
          <w:sz w:val="14"/>
          <w:szCs w:val="14"/>
          <w:color w:val="auto"/>
        </w:rPr>
      </w:pPr>
      <w:r>
        <w:rPr>
          <w:rFonts w:ascii="Arial" w:cs="Arial" w:eastAsia="Arial" w:hAnsi="Arial"/>
          <w:sz w:val="14"/>
          <w:szCs w:val="14"/>
          <w:color w:val="auto"/>
        </w:rPr>
        <w:t>Other segment items include other expense, net and IPR&amp;D charges.</w:t>
      </w:r>
    </w:p>
    <w:p>
      <w:pPr>
        <w:spacing w:after="0" w:line="233" w:lineRule="exact"/>
        <w:rPr>
          <w:rFonts w:ascii="Arial" w:cs="Arial" w:eastAsia="Arial" w:hAnsi="Arial"/>
          <w:sz w:val="14"/>
          <w:szCs w:val="14"/>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6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39,776</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11,591</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85,336</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49,925</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Net income per share of common stock -</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184"/>
        </w:trPr>
        <w:tc>
          <w:tcPr>
            <w:tcW w:w="36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Net income per share of common stock-</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1"/>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57,469,775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56,802,357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57,390,298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56,786,873</w:t>
            </w:r>
          </w:p>
        </w:tc>
      </w:tr>
      <w:tr>
        <w:trPr>
          <w:trHeight w:val="184"/>
        </w:trPr>
        <w:tc>
          <w:tcPr>
            <w:tcW w:w="36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1"/>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58,427,134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57,541,696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58,468,717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57,571,570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and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w:t>
            </w:r>
          </w:p>
        </w:tc>
        <w:tc>
          <w:tcPr>
            <w:tcW w:w="21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0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450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Stock options, SARs, and RSUs to purchase common</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957,359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739,339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1,078,419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784,697</w:t>
            </w:r>
          </w:p>
        </w:tc>
      </w:tr>
    </w:tbl>
    <w:p>
      <w:pPr>
        <w:spacing w:after="0" w:line="200" w:lineRule="exact"/>
        <w:rPr>
          <w:sz w:val="20"/>
          <w:szCs w:val="20"/>
          <w:color w:val="auto"/>
        </w:rPr>
      </w:pPr>
    </w:p>
    <w:p>
      <w:pPr>
        <w:spacing w:after="0" w:line="38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Potential shares of common stock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452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Stock options, SARs, and RSUs to purchase common</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7,945,010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7,629,250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7,823,950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7,583,892</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and six months ended June 30, 2025, and 2024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7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(0.3)</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(0.2)</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w:t>
            </w: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IPR&amp;D</w:t>
            </w:r>
          </w:p>
        </w:tc>
        <w:tc>
          <w:tcPr>
            <w:tcW w:w="114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1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10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7"/>
                <w:szCs w:val="17"/>
                <w:color w:val="auto"/>
              </w:rPr>
            </w:pPr>
          </w:p>
        </w:tc>
      </w:tr>
      <w:tr>
        <w:trPr>
          <w:trHeight w:val="196"/>
        </w:trPr>
        <w:tc>
          <w:tcPr>
            <w:tcW w:w="47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RELATED-PARTY TRANSACTIONS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is a party to a right of use agreement with Paragon Biosciences, LLC (“Paragon”) whereby it has access to and the right to use certain office space leased by Paragon in Chicago, IL. In addition, the Company received consulting services from Paragon during the three and six months ended June 30, 2025. Paragon is an entity that shares common ownership with the Company. In addition, the Chairman of the Company’s board of directors is the Founder, Chairman and CEO of Paragon. The Company incurred $255 and $72 for each of the three months ended June 30, 2025, and 2024, respectively, and incurred $328 and $145 for the six months ended June 30, 2025, and 2024, respectively, in expenses to Paragon, which are included in general and administrative in the unaudited condensed consolidated statements of operations and comprehensive loss. As of June 30, 2025, and December 31, 2024, there were no amounts due to or due from Paragon included in the unaudited condensed consolidated balance sheets.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In June 2025, the Company entered into the CiRC Agreement with CiRC, an entity controlled by Paragon. The Company paid a $ 15,000 upfront payment to CiRC pursuant to the CiRC Agreement which was recorded as an IPR&amp;D charge in research and development in the unaudited condensed consolidated statements of operations and comprehensive income. As of June 30, 2025, there were no amounts due to or due from CiRC under the CiRC agreement. Refer to Note 9, </w:t>
      </w:r>
      <w:r>
        <w:rPr>
          <w:rFonts w:ascii="Arial" w:cs="Arial" w:eastAsia="Arial" w:hAnsi="Arial"/>
          <w:sz w:val="18"/>
          <w:szCs w:val="18"/>
          <w:i w:val="1"/>
          <w:iCs w:val="1"/>
          <w:color w:val="auto"/>
        </w:rPr>
        <w:t>License Agreements</w:t>
      </w:r>
      <w:r>
        <w:rPr>
          <w:rFonts w:ascii="Arial" w:cs="Arial" w:eastAsia="Arial" w:hAnsi="Arial"/>
          <w:sz w:val="18"/>
          <w:szCs w:val="18"/>
          <w:color w:val="auto"/>
        </w:rPr>
        <w:t>, for further discussion regarding the CiRC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w:t>
      </w:r>
    </w:p>
    <w:p>
      <w:pPr>
        <w:spacing w:after="0" w:line="212" w:lineRule="exact"/>
        <w:rPr>
          <w:sz w:val="20"/>
          <w:szCs w:val="20"/>
          <w:color w:val="auto"/>
        </w:rPr>
      </w:pPr>
    </w:p>
    <w:p>
      <w:pPr>
        <w:ind w:left="60" w:right="119" w:firstLine="648"/>
        <w:spacing w:after="0" w:line="247" w:lineRule="auto"/>
        <w:rPr>
          <w:sz w:val="20"/>
          <w:szCs w:val="20"/>
          <w:color w:val="auto"/>
        </w:rPr>
      </w:pPr>
      <w:r>
        <w:rPr>
          <w:rFonts w:ascii="Arial" w:cs="Arial" w:eastAsia="Arial" w:hAnsi="Arial"/>
          <w:sz w:val="18"/>
          <w:szCs w:val="18"/>
          <w:color w:val="auto"/>
        </w:rPr>
        <w:t>On July 4, 2025, the "One Big Beautiful Bill Act" (the "OBBBA") was enacted into law. The OBBBA contains several changes to corporate taxation, including the allowance of immediate expensing of domestic research and development expenses. The Company is in the process of evaluating the impact of the OBBBA to our condensed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51"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Pitolisant Gastro-resistant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GR</w:t>
      </w:r>
      <w:r>
        <w:rPr>
          <w:rFonts w:ascii="Times New Roman" w:cs="Times New Roman" w:eastAsia="Times New Roman" w:hAnsi="Times New Roman"/>
          <w:sz w:val="18"/>
          <w:szCs w:val="18"/>
          <w:color w:val="auto"/>
        </w:rPr>
        <w:t>”</w:t>
      </w:r>
      <w:r>
        <w:rPr>
          <w:rFonts w:ascii="Arial" w:cs="Arial" w:eastAsia="Arial" w:hAnsi="Arial"/>
          <w:sz w:val="18"/>
          <w:szCs w:val="18"/>
          <w:color w:val="auto"/>
        </w:rPr>
        <w:t>) and Pitolisant High Dose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HD</w:t>
      </w:r>
      <w:r>
        <w:rPr>
          <w:rFonts w:ascii="Times New Roman" w:cs="Times New Roman" w:eastAsia="Times New Roman" w:hAnsi="Times New Roman"/>
          <w:sz w:val="18"/>
          <w:szCs w:val="18"/>
          <w:color w:val="auto"/>
        </w:rPr>
        <w:t>”</w:t>
      </w:r>
      <w:r>
        <w:rPr>
          <w:rFonts w:ascii="Arial" w:cs="Arial" w:eastAsia="Arial" w:hAnsi="Arial"/>
          <w:sz w:val="18"/>
          <w:szCs w:val="18"/>
          <w:color w:val="auto"/>
        </w:rPr>
        <w:t>) formulations, and the development of ZYN002, BP1-15205, clemizole hydrochloride (</w:t>
      </w:r>
      <w:r>
        <w:rPr>
          <w:rFonts w:ascii="Times New Roman" w:cs="Times New Roman" w:eastAsia="Times New Roman" w:hAnsi="Times New Roman"/>
          <w:sz w:val="18"/>
          <w:szCs w:val="18"/>
          <w:color w:val="auto"/>
        </w:rPr>
        <w:t>“</w:t>
      </w:r>
      <w:r>
        <w:rPr>
          <w:rFonts w:ascii="Arial" w:cs="Arial" w:eastAsia="Arial" w:hAnsi="Arial"/>
          <w:sz w:val="18"/>
          <w:szCs w:val="18"/>
          <w:color w:val="auto"/>
        </w:rPr>
        <w:t>EPX-100</w:t>
      </w:r>
      <w:r>
        <w:rPr>
          <w:rFonts w:ascii="Times New Roman" w:cs="Times New Roman" w:eastAsia="Times New Roman" w:hAnsi="Times New Roman"/>
          <w:sz w:val="18"/>
          <w:szCs w:val="18"/>
          <w:color w:val="auto"/>
        </w:rPr>
        <w:t>”</w:t>
      </w:r>
      <w:r>
        <w:rPr>
          <w:rFonts w:ascii="Arial" w:cs="Arial" w:eastAsia="Arial" w:hAnsi="Arial"/>
          <w:sz w:val="18"/>
          <w:szCs w:val="18"/>
          <w:color w:val="auto"/>
        </w:rPr>
        <w:t>) and other compounds;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Further, we have in-licensed from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 Our operations are conducted by our wholly owned subsidiaries, Harmony Biosciences, LLC and Harmony Biosciences Management, Inc.</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pacing w:after="0" w:line="18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believe that pitolisant’s ability to regulate histamine mediated through histamine-3 receptor antagonist and inverse agonist activity gives it the potential to provide therapeutic benefit in other rare neurological diseases.</w:t>
      </w:r>
    </w:p>
    <w:p>
      <w:pPr>
        <w:spacing w:after="0" w:line="47"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the registrational trial and also support our efforts to seek pediatric exclusivity for pitolisant. In February 2024, the FDA granted Orphan Drug designation to pitolisant for the treatment of PWS. The Phase 3 registrational trial, the 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and tolerability profile of pitolisant in adult patients with DM1 was consistent with the established safety and tolerability profile of pitolisant with no new safety signals detected and no serious adverse events reported.</w:t>
      </w:r>
    </w:p>
    <w:p>
      <w:pPr>
        <w:spacing w:after="0" w:line="18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2024, we held a Type A meeting with the FDA to discuss the pediatric cataplexy indication and reached alignment on a path to sNDA resubmission, which is planned for the third quarter of 2025.</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 the FDA’s approval of WAKIX in its current pediatric indication, are supportive of our efforts in obtaining pediatric exclusivity for WAKIX.</w:t>
      </w:r>
    </w:p>
    <w:p>
      <w:pPr>
        <w:spacing w:after="0" w:line="17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have expanded our pipeline through the acquisition of additional assets that focus on addressing the unmet needs of patients living with rare neurological diseases as well as patients living with other neurological diseases who have unmet medical needs. We target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initiated the pivotal bioequivalence study in the first quarter of 2025 and anticipate the topline data readout in the fourth quarter of 2025. Our anticipated PDUFA date for Pitolisant GR is in 2026. We received data from the Pitolisant HD pilot pharmacokinetics study in June 2024, which also supports advancing this development program toward pivotal trials. Preparations are ongoing to initiate Phase 3 registrational trials in narcolepsy and idiopathic hypersomnia (“IH”) in the fourth quarter of 2025. Our anticipated PDUFA date for the Pitolisant HD narcolepsy and IH programs is in 2028. A phase 1b study was conducted to evaluate the safety and tolerability of pitolisant at repeat doses of up to 180mg and the initial results are consistent with the known safety profile of pitolisant and support advancement of the Pitolisant HD development program. Utility patents have been filed for Pitolisant GR and Pitolisant HD, with the potential for patent protection to the mid-2040’s.</w:t>
      </w:r>
    </w:p>
    <w:p>
      <w:pPr>
        <w:spacing w:after="0" w:line="19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obtained the exclusive right to develop, manufacture and commercialize BP1.15205 in the United States and Latin American territories, which are rights that Bioprojet originally licensed from Teijin Pharma, the innovator of BP1.15205. In June 2025, we announced positive pre-clinical data demonstrating significant wake-promoting and cataplexy-suppressing effects in a standard transgenic mouse model of narcolepsy type 1, and presented safety data from the three month GLP toxicity studies in two different species. We plan to file an investigational medicinal product dossier (“IMPD”) with the EMA and begin first-in-human studies in the second half of 2025 with topline data anticipated in 2026.</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Harmony and CiRC will collaborate on the research and development of two discovery-stage candidates (together the “Candidates”) using cell replacement therapy for the treatment of refractory epilepsies and treatment-resistant narcolepsy.</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In addition, a 13-week toxicology study has been completed. The results from these preclinical studies are encouraging.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Neurobehavioral Franchise</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October 2023, we acquired Zynerba Pharmaceuticals, Inc. (“Zynerba”), adding global rights to develop, manufacture and commercialize ZYN002, which is a pharmaceutically manufactured 100% synthetic, patent protected permeation enhanced cannabidiol gel for transdermal delivery. Transdermal delivery provides better gastrointestinal tolerability and minimize the potential for drug interactions or impacts on liver function tests by avoiding first-pass metabolism in the liver. The most common adverse effect observed in clinical studies has been application site pain, which has occurred in less than 7% of patients. ZYN002 is currently working toward completion of a Phase 3 registrational trial, the RECONNECT study, for the treatment of Fragile X Syndrome (“FXS”), which was designed to confirm the positive findings from the prespecified analysis of the primary outcome in the subgroup of patients with complete methylation from the Phase 2/3 CONNECT study conducted by Zynerba. We believe the total addressable market for ZYN002 among patients with FXS is approximately 25,000 people based on an estimated current FXS prevalence of up to 87,000 cases and up to 40,000 diagnosed FXS cases. We have completed enrollment in our ZYN002 Phase 3 registrational trial and topline data is on track for the third quarter of 2025. ZYN002 has patent protection for the treatment of FXS until 2038. Based on the positive proof-of-concept (“PoC”) study data obtained by Zynerba in 22q deletion syndrome, another rare disorder with prominent neurobehavioral symptoms, we plan to initiate a Phase 3 registrational study in 2025 in 22q deletion syndrome, pending positive data from the RECONNECT study.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19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April 2024, we acquired all of the outstanding capital stock of Epygenix Therapeutics, Inc. (“Epygenix”), pursuant to the terms of a stock purchase agreement (the “Epygenix Agreement”). As a result, we now have an exclusive license relating to the use of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two Phase 3 registrational clinical trials, one for each of DS (the ARGUS Study) and LGS (the LIGHTHOUSE Study).</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are currently developing a liquid formulation of lorcaserin for the treatment of DEEs (“EPX-200”), another asset acquired pursuant to the terms of the Epygenix Agreement. EPX-200 is currently in the pre-IND phase.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continued to see growth in the number of unique healthcare professional (“HCP”) prescribers of WAKIX since it became available in November 2019. As of June 30, 2025, there are approximately 9,000 HCPs who treat patients living with narcolepsy, with approximately 4,000 enrolled in oxybate risk-evaluation and mitigation strategies (“REMS”) and approximately 5,000 HCPs who do not participate in the oxybate REMS programs. The average number of patients on WAKIX for the three months ended June 30, 2025, was approximately 7,600. Additionally, as of June 30, 2025, we have formulary access for more than 80% of all insured lives (Commercial, Medicare and Medicaid)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revenue from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patient segments and/or changes in our estimates.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depreciation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shelf life of WAKIX is four years from the date of manufacture, with the earliest expiration of current inventory expected to be January 2027. We regularly review our inventory levels and expect write-offs from time to time. We will continue to assess inventory levels in future periods as demand for WAKIX and the rate of inventory turnover evolves. We currently have adequate supply of WAKIX to cover demand into the second quarter of 2027, with additional API on-hand inventory to support at least two years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PWS and DM1 and the development of our product candidates ZYN002, EPX-100, EPX-200 Pitolisant GR, Pitolisant HD, BP1.15205 and HBS-102.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0" w:lineRule="exact"/>
        <w:rPr>
          <w:sz w:val="20"/>
          <w:szCs w:val="20"/>
          <w:color w:val="auto"/>
        </w:rPr>
      </w:pPr>
    </w:p>
    <w:p>
      <w:pPr>
        <w:ind w:left="1040" w:right="51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319" w:hanging="315"/>
        <w:spacing w:after="0" w:line="300" w:lineRule="auto"/>
        <w:tabs>
          <w:tab w:leader="none" w:pos="104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direct third-party costs such as expenses incurred under agreements with clinical research organizations (“CROs”), and contract development and manufacturing organizations (“CDMOs”);</w:t>
      </w:r>
    </w:p>
    <w:p>
      <w:pPr>
        <w:spacing w:after="0" w:line="1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complete the Phase 3 clinical trials for ZYN002, EPX-100 and advance the development of Pitolisant GR, Pitolisant HD, BP1.15205 and HBS-102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legal fees, including ANDA litigation expenses, and professional fees, including tax and accounting, insurance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Additionally, we received consulting services from Paragon. We paid fees of $0.2 million and $ 0.3 million to Paragon related to rent and consulting services for the three and six months ended June 30, 2025, respectively.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200" w:lineRule="exact"/>
        <w:rPr>
          <w:sz w:val="20"/>
          <w:szCs w:val="20"/>
          <w:color w:val="auto"/>
        </w:rPr>
      </w:pPr>
    </w:p>
    <w:p>
      <w:pPr>
        <w:spacing w:after="0" w:line="3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620" w:type="dxa"/>
            <w:vAlign w:val="bottom"/>
            <w:gridSpan w:val="6"/>
          </w:tcPr>
          <w:p>
            <w:pPr>
              <w:ind w:left="540"/>
              <w:spacing w:after="0" w:line="159" w:lineRule="exact"/>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3"/>
                <w:szCs w:val="13"/>
                <w:color w:val="auto"/>
              </w:rPr>
            </w:pPr>
          </w:p>
        </w:tc>
        <w:tc>
          <w:tcPr>
            <w:tcW w:w="1980" w:type="dxa"/>
            <w:vAlign w:val="bottom"/>
            <w:gridSpan w:val="6"/>
          </w:tcPr>
          <w:p>
            <w:pPr>
              <w:jc w:val="right"/>
              <w:spacing w:after="0" w:line="159"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right"/>
              <w:ind w:right="45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70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200,489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172,814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385,222</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38,153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32,144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70,147</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162,336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140,670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315,075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28,507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60,784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33,924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65,167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114,156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119,314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210,650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194,412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104,425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(3,646)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49,637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21,694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106,814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73,479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(9,861)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(23,554)</w:t>
            </w: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39,776</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11,591</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85,336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Net product revenue increased by $27.7 million, or 16.0%, for the three months ended June 30, 2025, and increased by $57.8 million, or 17.7%, for the six months ended June 30, 2025, compared to the same periods in 2024. The increase for the three months ended June 30, 2025, was primarily due to a 10.0% increase in the number of units shipped, and the impact of a 7% price increase partially offset by higher rebates of approximately 1.0%. </w:t>
      </w:r>
      <w:r>
        <w:rPr>
          <w:rFonts w:ascii="Arial" w:cs="Arial" w:eastAsia="Arial" w:hAnsi="Arial"/>
          <w:sz w:val="18"/>
          <w:szCs w:val="18"/>
          <w:color w:val="212529"/>
        </w:rPr>
        <w:t>The increase for the six months ended June 30, 2025, was primarily due to a 13.2%</w:t>
      </w:r>
      <w:r>
        <w:rPr>
          <w:rFonts w:ascii="Arial" w:cs="Arial" w:eastAsia="Arial" w:hAnsi="Arial"/>
          <w:sz w:val="18"/>
          <w:szCs w:val="18"/>
          <w:color w:val="auto"/>
        </w:rPr>
        <w:t xml:space="preserve"> </w:t>
      </w:r>
      <w:r>
        <w:rPr>
          <w:rFonts w:ascii="Arial" w:cs="Arial" w:eastAsia="Arial" w:hAnsi="Arial"/>
          <w:sz w:val="18"/>
          <w:szCs w:val="18"/>
          <w:color w:val="212529"/>
        </w:rPr>
        <w:t xml:space="preserve">increase in the number of units shipped, and the impact of a 7% price increase partially offset by higher rebates and co-pay assistance of approximately 2.0%. </w:t>
      </w:r>
      <w:r>
        <w:rPr>
          <w:rFonts w:ascii="Arial" w:cs="Arial" w:eastAsia="Arial" w:hAnsi="Arial"/>
          <w:sz w:val="18"/>
          <w:szCs w:val="18"/>
          <w:color w:val="000000"/>
        </w:rPr>
        <w:t>The price increase occurred in January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Cost of product sales increased by $6.0 million, or 18.7%, for the three months ended June 30, 2025, and increased by $10.5 million, or 17.6%, for the six months ended June 30, 2025, compared to the same period in 2024. Cost of product sales as a percentage of net product revenue was 19.0% and 18.2% for the three and six months ended June 30, 2025, respectively, compared to 18.6% and 18.2% for the three and six months ended June 30, 2024, respectively. The increase in cost of product sales was primarily due to higher royalties as a result of the increase in net product revenue of WAKIX.</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28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Change</w:t>
            </w:r>
          </w:p>
        </w:tc>
      </w:tr>
      <w:tr>
        <w:trPr>
          <w:trHeight w:val="196"/>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ZYN002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6,426</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EPX-100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IPR&amp;D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(27,595)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(27,595)</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 GR and Pitolisant HD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4,837</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research and development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r>
      <w:tr>
        <w:trPr>
          <w:trHeight w:val="196"/>
        </w:trPr>
        <w:tc>
          <w:tcPr>
            <w:tcW w:w="2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50,159</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63,583</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(13,424)</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84,699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85,772</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(1,073)</w:t>
            </w: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expenses decreased by $13.4 million, or 21.1%, for the three months ended June 30, 2025, and decreased by $1.1 million, or 1.3%, for the six months ended June 30, 2025, compared to the same periods in 2024. The decrease for the three months ended June 30, 2025 was primarily driven by $ 42.6 million in IPR&amp;D charges related to the Bioprojet Sublicense Agreement ($25.5 million) and the acquisition of Epygenix ($17.1 million) that occurred during the three months ended June 30, 2024, and a $0.9 million decrease in clinical development associated with pitolisant, driven by a decrease in clinical trial expenses for the IH indication, partially offset by $15.0 million in IPR&amp;D charges related to the CiRC Agreement during the three months ended June 30, 2025, a combined $11.1 million increase in research and development expenses for EPX-100, ZYN002 and Pitolisant GR and HD as we ramped up clinical trials and manufacturing, a $2.7 million increase in personnel costs associated with higher headcount, a $ 0.5 million increase in stock compensation associated with new equity awards and $0.9 million in other research and development expenses.</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decrease for the six months ended June 30, 2025 was primarily driven by $42.6 million in IPR&amp;D charges related to the Bioprojet Sublicense Agreement ($25.5 million) and the acquisition of Epygenix ($17.1 million) that occurred during the six months ended June 30, 2024, and a $4.6 million decrease in clinical development associated with pitolisant, driven by a decrease in clinical trial expenses for the IH indication, partially offset by $15.0 million in IPR&amp;D charges related to the CiRC Agreement during the six months ended June 30, 2025, a combined $23.4 million increase in research and development expenses for EPX-100, ZYN002 and Pitolisant GR and HD as we ramped up clinical trials and manufacturing, a $4.8 million increase in personnel costs associated with higher headcount, a $1.4 million increase in stock compensation associated with new equity awards and $1.5 million in other research and development expenses.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Sales and marketing expenses increased by $1.6 million, or 5.5%, for the three months ended June 30, 2025, and increased by $5.0 million, or 9.0%, for the six months ended June 30, 2025, compared to the same periods in 2024. The increase for the three months ended June 30, 2025, was primarily due to a $1.0 million increase in patient engagement and marketing activities and a $0.9 million increase in personnel costs offset by a $0.4 million decrease in stock compensation expense. The increase for the six months ended June 30, 2025, was primarily due to a $2.9 million increase in patient engagement and marketing activities, a $1.8 million increase in personnel costs and a $0.3 million increase in stock compensation expense. The increase in patient engagement and marketing activities for both comparable periods was driven by our continued growth of WAKIX and the increase in personnel costs and stock compensation was related to costs associated with the separation of an executive of the Company.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General and administrative expenses increased by $6.7 million, or 24.6%, for the three months ended June 30, 2025, and increased by $12.3 million, or 23.2%, for the six months ended June 30, 2025, compared to the same periods in 2024. The increase in the three months ended June 30, 2025, was primarily due to a $6.1 million increase in legal and professional fees, primarily associated with patent lawsuits, a $0.5 million increase in stock compensation associated with new equity awards, and a $0.1 million increase in personnel costs associated with higher headcount. The increase in the six months ended June 30, 2025, was primarily due to a $10.6 million increase in legal and professional fees, primarily associated with patent lawsuits, a $ 0.8 million increase in stock compensation associated with new equity awards, and a $0.8 million increase in personnel costs associated with higher headcount.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$0.8 million, or 17.2%, for the three months ended June 30, 2025, and decreased by $1.5 million, or 16.3%, for the six months ended June 30, 2025, compared to the same periods in 2024. The decrease for the three and six months ended June 30, 2025, was primarily due to lower interest rates as a result of the reduction of the Term SOFR.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income increased by $ 0.6 million, or 12.6%, for the three months ended June 30, 2025, and increased by $1.2 million, or 13.2%, for the six months ended June 30, 2025, compared to the same periods in 2024. The increase for the three and six months ended June 30, 2025, was primarily a result of having higher invested balances compared to the prior year.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Income tax expense was $9.9 million, representing a 19.9% effective tax rate, for the three months ended June 30, 2025, compared to $10.1 million, representing a 46.6% effective tax rate, for the three months ended June 30, 2024. Income tax expense was $21.5 million, representing a 20.1% effective tax rate, for the six months ended June 30, 2025, compared to $23.6 million, representing a 32.1% effective tax rate, for the six months ended June 30, 2024. The decrease in our effective tax rate for both comparable periods was primarily driven by a $17.1 million IPR&amp;D charge related to the Epygenix acquisition recognized during the three and six months ended June 30, 2024, which was nondeductible for tax purposes, an increase in the benefits from research and development and orphan drug credits and a decrease in state taxes. The effective tax rate of 19.9% for the three months ended June 30, 2025, included 1.3% in state income taxes, offset by a 2.7% benefit from credits. The effective tax rate of 20.1% for the six months ended June 30, 2025, included 1.2% in state income taxes, offset by a 2.6% benefit from credits.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2025, we had cash, cash equivalents, and investments of $672.3 million, outstanding debt of $173.8 million and retained earnings of $87.6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June 30, 2025, will enable us to meet our operational liquidity needs and fund our potential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$3.8 million quarterly principal payments, which commenced on December 31, 2023, increasing to $5.0 million quarterly principal payments beginning on December 31, 2025, with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June 30, 2025.</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2025, no shares of common stock were repurchased by the Company under the October 2023 Repurchase Program. As of June 30, 2025, the remaining amount of common stock authorized for repurchases was $150.0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April 2024, we acquired all of the outstanding capital stock of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As a result, the Company now has an exclusive license relating to the use of clemizole, initially for the treatment of DS and LGS.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$ 19.0 million for development milestones, $44.0 million for regulatory milestones and $110.0 million for sales milestones.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submission currently anticipated in the second half of 2025. Under the Sublicense, the Company paid Bioprojet an upfront license fee of $25.5 million and will also be obligated to pay up to $127.5 million upon achievement of development and regulatory milestones and up to $240.0 million upon achievement of sales-based milestones, as well as royalty rates in the mid-teens on potential sales in the Licensed Territories.</w:t>
      </w:r>
    </w:p>
    <w:p>
      <w:pPr>
        <w:spacing w:after="0" w:line="267"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we will collaborate on the research and development of two discovery-stage candidates (together the “Candidates”) using cell replacement therapy for the treatment of refractory epilepsies and treatment-resistant narcolepsy. As part of the CiRC Agreement, we paid CiRC an upfront fee of $15.0 million and we will also be obligated to pay $2.0 million upon the achievement of certain research milestones for each of the Candidates. In addition, we have an option to obtain an exclusive license for each of the Candidates that would grant us global rights to develop, manufacture and commercialize that Candidate. We would be obligated to pay an option exercise fee of $8.0 million, or $16.0 million in the aggregate if the options related to both Candidates were exercised, and we would be obligated upon achievement to pay future development, regulatory and sales-based milestones, as well as royalties on sales of any product derived from the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a summary of our cash flows for the six months ended June 30,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6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10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40" w:type="dxa"/>
            <w:vAlign w:val="bottom"/>
            <w:gridSpan w:val="3"/>
            <w:vMerge w:val="continue"/>
          </w:tcPr>
          <w:p>
            <w:pPr>
              <w:spacing w:after="0"/>
              <w:rPr>
                <w:sz w:val="11"/>
                <w:szCs w:val="11"/>
                <w:color w:val="auto"/>
              </w:rPr>
            </w:pPr>
          </w:p>
        </w:tc>
        <w:tc>
          <w:tcPr>
            <w:tcW w:w="226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   113,314</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(17,227)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provided by operating activities for the six months ended June 30, 2025, primarily consisted of net income of $ 85.3 million adjusted for non-cash items of $23.8 million related to stock-based compensation expense, $15.0 million related to acquired IPR&amp;D and $11.9 million related to intangible amortization and depreciation, partially offset by $10.8 million related to deferred tax assets. Net working capital excluding cash increased by $12.4 million, primarily driven by increases in accounts receivable due to higher net product revenue in the current period and an increase in accounts payable due to the timing of payments.</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212529"/>
        </w:rPr>
        <w:t>Net cash provided by operating activities for the six months ended June 30, 2024, primarily consisted of net income of $49.9 million adjusted for non-cash items of $42.6 million related to acquired IPR&amp;D, $ 21.4 million related to stock-based compensation expense, and $12.2 million related to intangible amortization and depreciation, offset by $17.8 million related to deferred tax assets. Net working capital excluding cash increased by $34.8 million.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2025, was $17.2 million, which was primarily attributable to $43.0 million in purchases of debt securities, a $15.0 million upfront fee paid to CiRC and $0.1 million in purchases of property and equipment, partially offset by $40.9 million from maturities of investments.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Net cash used in investing activities for the six months ended June 30, 2024, was $61.0 million, which was primarily attributable to $46.3 million in purchases of debt securities, a $25.5 million license fee paid to Bioprojet, $33.1 million net cash consideration paid for the acquisition of Epygenix, and $0.6 million in purchases of property and equipment, partially offset by $44.5 million from maturities of investments.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six months ended June 30, 2025, was $3.0 million, which primarily consisted of $7.5 million in principal payments associated with the TLA Credit Agreement and $2.3 million of employee withholding tax payments related to stock-based awards, partially offset by $6.8 million in proceeds from the exercise of stock options.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Net cash used in financing activities for the six months ended June 30, 2024, was $7.1 million, which primarily consisted of $ 7.5 million in principal payments associated with the TLA Credit Agreement, partially offset by $0.7 million in proceeds from the exercise of stock options and $0.3 million of employee withholding tax payments related to stock-based awards.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$427.7 million of investments in money market funds, U.S. treasury notes, corporate bonds and municipal obligations as of June 30, 2025, an immediate 10% change in market interest rates would not have a material impact on the fair market value of our investment portfolio or on our financial position or results of operations.</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June 30, 2025, we had $173.8 million in borrowings outstanding. The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$173.8 million of principal outstanding as of June 30, 2025, 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immediate 10% change in the Term SOFR would not have a material impact on our debt-related obligations, financial position or results of operations.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may affect us by potentially increasing costs such as labor and our clinical trial costs. We do not believe that inflation had a material effect on our business, financial condition or results of operations for each of the three months ended June 30, 2025, and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June 30, 2025. Based on that evaluation, our principal executive officer and principal financial officer concluded that, as of June 30, 2025,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Refer to Part I, Item I, Note 13 “Commitments and Contingencies,” of this Quarterly Report for a full description of our material pending legal matters.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2024,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212529"/>
        </w:rPr>
        <w:t>During the three months ended June 30, 2025, no director or officer of the Company adopted or terminated a “Rule 10b5-1 trading arrangement” or “non-Rule 10b5-1 trading arrangement,” as each term is defined in Item 408(a) of Regulation S-K</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20" w:type="dxa"/>
            <w:vAlign w:val="bottom"/>
            <w:gridSpan w:val="15"/>
          </w:tcPr>
          <w:p>
            <w:pPr>
              <w:ind w:left="48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68"/>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15"/>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14"/>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7"/>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tcBorders>
            <w:gridSpan w:val="3"/>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Amended and Restated</w:t>
              </w:r>
            </w:hyperlink>
          </w:p>
        </w:tc>
        <w:tc>
          <w:tcPr>
            <w:tcW w:w="3120" w:type="dxa"/>
            <w:vAlign w:val="bottom"/>
            <w:gridSpan w:val="14"/>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Bylaws.</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206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0000EE"/>
              </w:rPr>
              <w:t>Certification of Chief Executive</w:t>
            </w:r>
          </w:p>
        </w:tc>
        <w:tc>
          <w:tcPr>
            <w:tcW w:w="2480" w:type="dxa"/>
            <w:vAlign w:val="bottom"/>
            <w:tcBorders>
              <w:bottom w:val="single" w:sz="8" w:color="0000EE"/>
            </w:tcBorders>
            <w:gridSpan w:val="10"/>
          </w:tcPr>
          <w:p>
            <w:pPr>
              <w:spacing w:after="0" w:line="142" w:lineRule="exact"/>
              <w:rPr>
                <w:sz w:val="20"/>
                <w:szCs w:val="20"/>
                <w:color w:val="auto"/>
              </w:rPr>
            </w:pPr>
            <w:r>
              <w:rPr>
                <w:rFonts w:ascii="Arial" w:cs="Arial" w:eastAsia="Arial" w:hAnsi="Arial"/>
                <w:sz w:val="14"/>
                <w:szCs w:val="14"/>
                <w:color w:val="0000EE"/>
                <w:w w:val="99"/>
              </w:rPr>
              <w:t>Officer pursuant to Rules 13a-14(a) and</w:t>
            </w:r>
          </w:p>
        </w:tc>
        <w:tc>
          <w:tcPr>
            <w:tcW w:w="26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380" w:type="dxa"/>
            <w:vAlign w:val="bottom"/>
            <w:tcBorders>
              <w:bottom w:val="single" w:sz="8" w:color="0000EE"/>
            </w:tcBorders>
            <w:gridSpan w:val="11"/>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20" w:type="dxa"/>
            <w:vAlign w:val="bottom"/>
            <w:gridSpan w:val="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EE"/>
            </w:tcBorders>
            <w:gridSpan w:val="10"/>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40" w:type="dxa"/>
            <w:vAlign w:val="bottom"/>
            <w:gridSpan w:val="7"/>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7"/>
          </w:tcPr>
          <w:p>
            <w:pPr>
              <w:spacing w:after="0"/>
              <w:rPr>
                <w:sz w:val="12"/>
                <w:szCs w:val="12"/>
                <w:color w:val="auto"/>
              </w:rPr>
            </w:pPr>
          </w:p>
        </w:tc>
        <w:tc>
          <w:tcPr>
            <w:tcW w:w="5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6"/>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7"/>
          </w:tcPr>
          <w:p>
            <w:pPr>
              <w:spacing w:after="0"/>
              <w:rPr>
                <w:sz w:val="12"/>
                <w:szCs w:val="12"/>
                <w:color w:val="auto"/>
              </w:rPr>
            </w:pPr>
          </w:p>
        </w:tc>
        <w:tc>
          <w:tcPr>
            <w:tcW w:w="52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7"/>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on Form 10-Q for the fiscal quarter ended June 30, 2025, formatted in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Inline XBRL: (i) Balance Sheets, (ii) Statements of Operations,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 Financial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Statements, tagged as blocks of text and including detailed 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17"/>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5, 2025</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5,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67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June 30,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June 30,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vMerge w:val="restart"/>
          </w:tcPr>
          <w:p>
            <w:pPr>
              <w:spacing w:after="0"/>
              <w:rPr>
                <w:sz w:val="20"/>
                <w:szCs w:val="20"/>
                <w:color w:val="auto"/>
              </w:rPr>
            </w:pPr>
            <w:r>
              <w:rPr>
                <w:rFonts w:ascii="Arial" w:cs="Arial" w:eastAsia="Arial" w:hAnsi="Arial"/>
                <w:sz w:val="18"/>
                <w:szCs w:val="18"/>
                <w:color w:val="auto"/>
              </w:rPr>
              <w:t>Date: August 5, 2025</w:t>
            </w:r>
          </w:p>
        </w:tc>
        <w:tc>
          <w:tcPr>
            <w:tcW w:w="1680" w:type="dxa"/>
            <w:vAlign w:val="bottom"/>
          </w:tcPr>
          <w:p>
            <w:pPr>
              <w:ind w:left="13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1680" w:type="dxa"/>
            <w:vAlign w:val="bottom"/>
          </w:tcPr>
          <w:p>
            <w:pPr>
              <w:ind w:left="13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4"/>
    </w:lvl>
  </w:abstractNum>
  <w:abstractNum w:abstractNumId="7">
    <w:nsid w:val="1BEFD79F"/>
    <w:multiLevelType w:val="hybridMultilevel"/>
    <w:lvl w:ilvl="0">
      <w:lvlJc w:val="left"/>
      <w:lvlText w:val="%1."/>
      <w:numFmt w:val="decimal"/>
      <w:start w:val="15"/>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decimal"/>
      <w:start w:val="17"/>
    </w:lvl>
    <w:lvl w:ilvl="1">
      <w:lvlJc w:val="left"/>
      <w:lvlText w:val="%2"/>
      <w:numFmt w:val="lowerLetter"/>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58" Type="http://schemas.openxmlformats.org/officeDocument/2006/relationships/hyperlink" Target="https://www.sec.gov/Archives/edgar/data/1802665/000114036123043963/ef20010653_ex2-1.htm" TargetMode="External"/><Relationship Id="rId59" Type="http://schemas.openxmlformats.org/officeDocument/2006/relationships/hyperlink" Target="https://www.sec.gov/Archives/edgar/data/0001802665/000119312520226978/d97999dex31.htm" TargetMode="External"/><Relationship Id="rId60"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2025-08-05T07:20:06Z</dcterms:created>
  <dcterms:modified xsi:type="dcterms:W3CDTF">2025-08-05T07:20:06Z</dcterms:modified>
</cp:coreProperties>
</file>