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hrmy-20230331x10q.htm"/>
        <w:bookmarkStart w:id="1" w:name="kshrmy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spacing w:before="0" w:after="240"/>
        <w:ind w:left="0" w:right="0" w:hanging="0"/>
        <w:jc w:val="center"/>
        <w:rPr/>
      </w:pPr>
      <w:r>
        <w:rPr/>
        <w:t>​</w:t>
      </w:r>
    </w:p>
    <w:p>
      <w:pPr>
        <w:pStyle w:val="TextBody"/>
        <w:spacing w:before="0" w:after="240"/>
        <w:ind w:left="0" w:right="0" w:hanging="0"/>
        <w:jc w:val="center"/>
        <w:rPr/>
      </w:pPr>
      <w:r>
        <w:rPr/>
        <w:t>​</w:t>
      </w:r>
    </w:p>
    <w:p>
      <w:pPr>
        <w:pStyle w:val="TextBody"/>
        <w:spacing w:before="0" w:after="0"/>
        <w:ind w:left="0" w:right="0" w:hanging="0"/>
        <w:jc w:val="center"/>
        <w:rPr>
          <w:rFonts w:ascii="Arial;Helvetica;sans-serif" w:hAnsi="Arial;Helvetica;sans-serif"/>
          <w:b/>
          <w:sz w:val="22"/>
        </w:rPr>
      </w:pPr>
      <w:bookmarkStart w:id="2" w:name="_30abb29e_e38c_4d5d_b17d_9a935de73a45"/>
      <w:bookmarkEnd w:id="2"/>
      <w:r>
        <w:rPr>
          <w:rFonts w:ascii="Arial;Helvetica;sans-serif" w:hAnsi="Arial;Helvetica;sans-serif"/>
          <w:b/>
          <w:sz w:val="22"/>
        </w:rPr>
        <w:t>UNITED STATES</w:t>
      </w:r>
    </w:p>
    <w:p>
      <w:pPr>
        <w:pStyle w:val="TextBody"/>
        <w:spacing w:before="0" w:after="0"/>
        <w:ind w:left="0" w:right="0" w:hanging="0"/>
        <w:jc w:val="center"/>
        <w:rPr>
          <w:rFonts w:ascii="Arial;Helvetica;sans-serif" w:hAnsi="Arial;Helvetica;sans-serif"/>
          <w:b/>
          <w:sz w:val="22"/>
        </w:rPr>
      </w:pPr>
      <w:r>
        <w:rPr>
          <w:rFonts w:ascii="Arial;Helvetica;sans-serif" w:hAnsi="Arial;Helvetica;sans-serif"/>
          <w:b/>
          <w:sz w:val="22"/>
        </w:rPr>
        <w:t>SECURITIES AND EXCHANGE COMMISSION</w:t>
      </w:r>
    </w:p>
    <w:p>
      <w:pPr>
        <w:pStyle w:val="TextBody"/>
        <w:spacing w:before="0" w:after="0"/>
        <w:ind w:left="0" w:right="0" w:hanging="0"/>
        <w:jc w:val="center"/>
        <w:rPr>
          <w:rFonts w:ascii="Arial;Helvetica;sans-serif" w:hAnsi="Arial;Helvetica;sans-serif"/>
          <w:b/>
          <w:sz w:val="22"/>
        </w:rPr>
      </w:pPr>
      <w:r>
        <w:rPr>
          <w:rFonts w:ascii="Arial;Helvetica;sans-serif" w:hAnsi="Arial;Helvetica;sans-serif"/>
          <w:b/>
          <w:sz w:val="22"/>
        </w:rPr>
        <w:t>Washington, D.C. 20549</w:t>
      </w:r>
    </w:p>
    <w:p>
      <w:pPr>
        <w:pStyle w:val="TextBody"/>
        <w:spacing w:before="0" w:after="0"/>
        <w:ind w:left="0" w:right="0" w:hanging="0"/>
        <w:jc w:val="center"/>
        <w:rPr>
          <w:rFonts w:ascii="Arial;Helvetica;sans-serif" w:hAnsi="Arial;Helvetica;sans-serif"/>
          <w:b/>
          <w:sz w:val="24"/>
        </w:rPr>
      </w:pPr>
      <w:r>
        <w:rPr>
          <w:rFonts w:ascii="Arial;Helvetica;sans-serif" w:hAnsi="Arial;Helvetica;sans-serif"/>
          <w:b/>
          <w:sz w:val="24"/>
        </w:rPr>
        <w:t>FORM 10-Q</w:t>
      </w:r>
    </w:p>
    <w:p>
      <w:pPr>
        <w:pStyle w:val="TextBody"/>
        <w:spacing w:before="0" w:after="0"/>
        <w:ind w:left="0" w:right="0" w:hanging="0"/>
        <w:rPr>
          <w:rFonts w:ascii="Arial;Helvetica;sans-serif" w:hAnsi="Arial;Helvetica;sans-serif"/>
          <w:sz w:val="16"/>
        </w:rPr>
      </w:pPr>
      <w:r>
        <w:rPr>
          <w:rFonts w:ascii="Arial;Helvetica;sans-serif" w:hAnsi="Arial;Helvetica;sans-serif"/>
          <w:sz w:val="16"/>
        </w:rPr>
        <w:t>(Mark One)</w:t>
      </w:r>
    </w:p>
    <w:tbl>
      <w:tblPr>
        <w:tblW w:w="8987" w:type="dxa"/>
        <w:jc w:val="left"/>
        <w:tblInd w:w="0" w:type="dxa"/>
        <w:tblCellMar>
          <w:top w:w="0" w:type="dxa"/>
          <w:left w:w="0" w:type="dxa"/>
          <w:bottom w:w="0" w:type="dxa"/>
          <w:right w:w="0" w:type="dxa"/>
        </w:tblCellMar>
      </w:tblPr>
      <w:tblGrid>
        <w:gridCol w:w="331"/>
        <w:gridCol w:w="8656"/>
      </w:tblGrid>
      <w:tr>
        <w:trPr/>
        <w:tc>
          <w:tcPr>
            <w:tcW w:w="331" w:type="dxa"/>
            <w:tcBorders/>
            <w:shd w:fill="auto" w:val="clear"/>
            <w:vAlign w:val="center"/>
          </w:tcPr>
          <w:p>
            <w:pPr>
              <w:pStyle w:val="TableContents"/>
              <w:spacing w:before="0" w:after="120"/>
              <w:rPr/>
            </w:pPr>
            <w:r>
              <w:rPr/>
              <w:t>☒</w:t>
            </w:r>
          </w:p>
        </w:tc>
        <w:tc>
          <w:tcPr>
            <w:tcW w:w="8656" w:type="dxa"/>
            <w:tcBorders/>
            <w:shd w:fill="auto" w:val="clear"/>
            <w:vAlign w:val="center"/>
          </w:tcPr>
          <w:p>
            <w:pPr>
              <w:pStyle w:val="TableContents"/>
              <w:spacing w:before="0" w:after="120"/>
              <w:rPr>
                <w:rFonts w:ascii="Arial;Helvetica;sans-serif" w:hAnsi="Arial;Helvetica;sans-serif"/>
                <w:b/>
                <w:sz w:val="16"/>
              </w:rPr>
            </w:pPr>
            <w:r>
              <w:rPr>
                <w:rFonts w:ascii="Arial;Helvetica;sans-serif" w:hAnsi="Arial;Helvetica;sans-serif"/>
                <w:b/>
                <w:sz w:val="16"/>
              </w:rPr>
              <w:t>QUARTERLY REPORT PURSUANT TO SECTION 13 OR 15(d) OF THE SECURITIES EXCHANGE ACT OF 1934</w:t>
            </w:r>
          </w:p>
        </w:tc>
      </w:tr>
    </w:tbl>
    <w:p>
      <w:pPr>
        <w:pStyle w:val="TextBody"/>
        <w:spacing w:before="0" w:after="0"/>
        <w:ind w:left="0" w:right="0" w:hanging="0"/>
        <w:jc w:val="center"/>
        <w:rPr>
          <w:rFonts w:ascii="Arial;Helvetica;sans-serif" w:hAnsi="Arial;Helvetica;sans-serif"/>
          <w:sz w:val="16"/>
        </w:rPr>
      </w:pPr>
      <w:r>
        <w:rPr>
          <w:rFonts w:ascii="Arial;Helvetica;sans-serif" w:hAnsi="Arial;Helvetica;sans-serif"/>
          <w:sz w:val="16"/>
        </w:rPr>
        <w:t>For the Quarterly Period Ended March 31, 2023</w:t>
      </w:r>
    </w:p>
    <w:p>
      <w:pPr>
        <w:pStyle w:val="TextBody"/>
        <w:pBdr/>
        <w:spacing w:before="0" w:after="120"/>
        <w:ind w:left="0" w:right="0" w:hanging="490"/>
        <w:jc w:val="center"/>
        <w:rPr>
          <w:rFonts w:ascii="Arial;Helvetica;sans-serif" w:hAnsi="Arial;Helvetica;sans-serif"/>
          <w:sz w:val="16"/>
        </w:rPr>
      </w:pPr>
      <w:r>
        <w:rPr>
          <w:rFonts w:ascii="Arial;Helvetica;sans-serif" w:hAnsi="Arial;Helvetica;sans-serif"/>
          <w:sz w:val="16"/>
        </w:rPr>
        <w:t>OR</w:t>
      </w:r>
    </w:p>
    <w:tbl>
      <w:tblPr>
        <w:tblW w:w="8972" w:type="dxa"/>
        <w:jc w:val="left"/>
        <w:tblInd w:w="0" w:type="dxa"/>
        <w:tblCellMar>
          <w:top w:w="0" w:type="dxa"/>
          <w:left w:w="0" w:type="dxa"/>
          <w:bottom w:w="0" w:type="dxa"/>
          <w:right w:w="0" w:type="dxa"/>
        </w:tblCellMar>
      </w:tblPr>
      <w:tblGrid>
        <w:gridCol w:w="331"/>
        <w:gridCol w:w="8641"/>
      </w:tblGrid>
      <w:tr>
        <w:trPr/>
        <w:tc>
          <w:tcPr>
            <w:tcW w:w="331" w:type="dxa"/>
            <w:tcBorders/>
            <w:shd w:fill="auto" w:val="clear"/>
            <w:vAlign w:val="center"/>
          </w:tcPr>
          <w:p>
            <w:pPr>
              <w:pStyle w:val="TableContents"/>
              <w:spacing w:before="0" w:after="120"/>
              <w:rPr/>
            </w:pPr>
            <w:r>
              <w:rPr/>
              <w:t>☐</w:t>
            </w:r>
          </w:p>
        </w:tc>
        <w:tc>
          <w:tcPr>
            <w:tcW w:w="8641" w:type="dxa"/>
            <w:tcBorders/>
            <w:shd w:fill="auto" w:val="clear"/>
            <w:vAlign w:val="center"/>
          </w:tcPr>
          <w:p>
            <w:pPr>
              <w:pStyle w:val="TableContents"/>
              <w:spacing w:before="0" w:after="120"/>
              <w:rPr>
                <w:rFonts w:ascii="Arial;Helvetica;sans-serif" w:hAnsi="Arial;Helvetica;sans-serif"/>
                <w:b/>
                <w:sz w:val="16"/>
              </w:rPr>
            </w:pPr>
            <w:r>
              <w:rPr>
                <w:rFonts w:ascii="Arial;Helvetica;sans-serif" w:hAnsi="Arial;Helvetica;sans-serif"/>
                <w:b/>
                <w:sz w:val="16"/>
              </w:rPr>
              <w:t>TRANSITION REPORT PURSUANT TO SECTION 13 OR 15(d) OF THE SECURITIES EXCHANGE ACT OF 1934</w:t>
            </w:r>
          </w:p>
        </w:tc>
      </w:tr>
    </w:tbl>
    <w:p>
      <w:pPr>
        <w:pStyle w:val="TextBody"/>
        <w:spacing w:before="0" w:after="0"/>
        <w:ind w:left="0" w:right="0" w:hanging="0"/>
        <w:jc w:val="center"/>
        <w:rPr>
          <w:rFonts w:ascii="Arial;Helvetica;sans-serif" w:hAnsi="Arial;Helvetica;sans-serif"/>
          <w:sz w:val="16"/>
        </w:rPr>
      </w:pPr>
      <w:r>
        <w:rPr>
          <w:rFonts w:ascii="Arial;Helvetica;sans-serif" w:hAnsi="Arial;Helvetica;sans-serif"/>
          <w:sz w:val="16"/>
        </w:rPr>
        <w:t>For the transition period from                      to</w:t>
      </w:r>
    </w:p>
    <w:p>
      <w:pPr>
        <w:pStyle w:val="TextBody"/>
        <w:spacing w:before="0" w:after="0"/>
        <w:ind w:left="0" w:right="0" w:hanging="0"/>
        <w:jc w:val="center"/>
        <w:rPr>
          <w:rFonts w:ascii="Arial;Helvetica;sans-serif" w:hAnsi="Arial;Helvetica;sans-serif"/>
          <w:sz w:val="16"/>
        </w:rPr>
      </w:pPr>
      <w:r>
        <w:rPr>
          <w:rFonts w:ascii="Arial;Helvetica;sans-serif" w:hAnsi="Arial;Helvetica;sans-serif"/>
          <w:sz w:val="16"/>
        </w:rPr>
        <w:t>Commission File Number: 001-39450</w:t>
      </w:r>
    </w:p>
    <w:p>
      <w:pPr>
        <w:pStyle w:val="TextBody"/>
        <w:spacing w:before="0" w:after="0"/>
        <w:ind w:left="0" w:right="0" w:hanging="0"/>
        <w:jc w:val="center"/>
        <w:rPr>
          <w:rFonts w:ascii="Arial;Helvetica;sans-serif" w:hAnsi="Arial;Helvetica;sans-serif"/>
          <w:b/>
          <w:sz w:val="22"/>
        </w:rPr>
      </w:pPr>
      <w:r>
        <w:rPr>
          <w:rFonts w:ascii="Arial;Helvetica;sans-serif" w:hAnsi="Arial;Helvetica;sans-serif"/>
          <w:b/>
          <w:sz w:val="22"/>
        </w:rPr>
        <w:t>HARMONY BIOSCIENCES HOLDINGS, INC.</w:t>
      </w:r>
    </w:p>
    <w:p>
      <w:pPr>
        <w:pStyle w:val="TextBody"/>
        <w:spacing w:before="0" w:after="0"/>
        <w:ind w:left="0" w:right="0" w:hanging="0"/>
        <w:jc w:val="center"/>
        <w:rPr>
          <w:rFonts w:ascii="Arial;Helvetica;sans-serif" w:hAnsi="Arial;Helvetica;sans-serif"/>
          <w:sz w:val="16"/>
        </w:rPr>
      </w:pPr>
      <w:r>
        <w:rPr>
          <w:rFonts w:ascii="Arial;Helvetica;sans-serif" w:hAnsi="Arial;Helvetica;sans-serif"/>
          <w:sz w:val="16"/>
        </w:rPr>
        <w:t>(Exact name of registrant as specified in its charter)</w:t>
      </w:r>
    </w:p>
    <w:p>
      <w:pPr>
        <w:pStyle w:val="Normal"/>
        <w:spacing w:before="0" w:after="0"/>
        <w:rPr>
          <w:sz w:val="4"/>
          <w:szCs w:val="4"/>
        </w:rPr>
      </w:pPr>
      <w:r>
        <w:rPr>
          <w:sz w:val="4"/>
          <w:szCs w:val="4"/>
        </w:rPr>
      </w:r>
      <w:bookmarkStart w:id="3" w:name="Tc_yYdiBqsNiUC8mmgIfYQHsA_2_1"/>
      <w:bookmarkStart w:id="4" w:name="Tc_j5O-cKrRYkucUZceqhf9fw_2_0"/>
      <w:bookmarkStart w:id="5" w:name="_648aa833_80d6_493b_bcea_db50229a6217"/>
      <w:bookmarkStart w:id="6" w:name="Tc_yYdiBqsNiUC8mmgIfYQHsA_2_1"/>
      <w:bookmarkStart w:id="7" w:name="Tc_j5O-cKrRYkucUZceqhf9fw_2_0"/>
      <w:bookmarkStart w:id="8" w:name="_648aa833_80d6_493b_bcea_db50229a6217"/>
      <w:bookmarkEnd w:id="6"/>
      <w:bookmarkEnd w:id="7"/>
      <w:bookmarkEnd w:id="8"/>
    </w:p>
    <w:tbl>
      <w:tblPr>
        <w:tblW w:w="3662" w:type="dxa"/>
        <w:jc w:val="left"/>
        <w:tblInd w:w="0" w:type="dxa"/>
        <w:tblCellMar>
          <w:top w:w="0" w:type="dxa"/>
          <w:left w:w="0" w:type="dxa"/>
          <w:bottom w:w="0" w:type="dxa"/>
          <w:right w:w="0" w:type="dxa"/>
        </w:tblCellMar>
      </w:tblPr>
      <w:tblGrid>
        <w:gridCol w:w="2251"/>
        <w:gridCol w:w="1411"/>
      </w:tblGrid>
      <w:tr>
        <w:trPr/>
        <w:tc>
          <w:tcPr>
            <w:tcW w:w="2251" w:type="dxa"/>
            <w:tcBorders/>
            <w:shd w:fill="auto" w:val="clear"/>
            <w:vAlign w:val="center"/>
          </w:tcPr>
          <w:p>
            <w:pPr>
              <w:pStyle w:val="TableContents"/>
              <w:spacing w:before="0" w:after="0"/>
              <w:ind w:left="0" w:right="0" w:hanging="0"/>
              <w:rPr/>
            </w:pPr>
            <w:r>
              <w:rPr/>
              <w:t>​</w:t>
            </w:r>
          </w:p>
        </w:tc>
        <w:tc>
          <w:tcPr>
            <w:tcW w:w="1411" w:type="dxa"/>
            <w:tcBorders/>
            <w:shd w:fill="auto" w:val="clear"/>
            <w:vAlign w:val="center"/>
          </w:tcPr>
          <w:p>
            <w:pPr>
              <w:pStyle w:val="TableContents"/>
              <w:spacing w:before="0" w:after="0"/>
              <w:ind w:left="0" w:right="0" w:hanging="0"/>
              <w:rPr/>
            </w:pPr>
            <w:r>
              <w:rPr/>
              <w:t>​</w:t>
            </w:r>
          </w:p>
        </w:tc>
      </w:tr>
      <w:tr>
        <w:trPr/>
        <w:tc>
          <w:tcPr>
            <w:tcW w:w="225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Delaware</w:t>
            </w:r>
          </w:p>
        </w:tc>
        <w:tc>
          <w:tcPr>
            <w:tcW w:w="141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82-2279923</w:t>
            </w:r>
          </w:p>
        </w:tc>
      </w:tr>
      <w:tr>
        <w:trPr/>
        <w:tc>
          <w:tcPr>
            <w:tcW w:w="2251" w:type="dxa"/>
            <w:tcBorders/>
            <w:shd w:fill="auto" w:val="cle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(State or other jurisdiction of</w:t>
              <w:br/>
              <w:t>incorporation or organization)</w:t>
            </w:r>
          </w:p>
        </w:tc>
        <w:tc>
          <w:tcPr>
            <w:tcW w:w="1411" w:type="dxa"/>
            <w:tcBorders/>
            <w:shd w:fill="auto" w:val="cle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(I.R.S. Employer</w:t>
              <w:br/>
              <w:t>Identification No.)</w:t>
            </w:r>
          </w:p>
        </w:tc>
      </w:tr>
    </w:tbl>
    <w:p>
      <w:pPr>
        <w:pStyle w:val="TextBody"/>
        <w:spacing w:before="0" w:after="240"/>
        <w:ind w:left="0" w:right="0" w:hanging="0"/>
        <w:rPr/>
      </w:pPr>
      <w:r>
        <w:rPr/>
        <w:t>​</w:t>
      </w:r>
    </w:p>
    <w:p>
      <w:pPr>
        <w:pStyle w:val="Normal"/>
        <w:spacing w:before="0" w:after="0"/>
        <w:rPr>
          <w:sz w:val="4"/>
          <w:szCs w:val="4"/>
        </w:rPr>
      </w:pPr>
      <w:r>
        <w:rPr>
          <w:sz w:val="4"/>
          <w:szCs w:val="4"/>
        </w:rPr>
      </w:r>
      <w:bookmarkStart w:id="9" w:name="Tc_jgv0ES0U7UuFipVWnkGPXg_2_1"/>
      <w:bookmarkStart w:id="10" w:name="Tc_AbQ-1kT3-0GI2pX77rDVjA_2_0"/>
      <w:bookmarkStart w:id="11" w:name="Tc_A-9m3qdfX0SNeWQqCYfUTQ_1_0"/>
      <w:bookmarkStart w:id="12" w:name="_cddea3b1_17e1_488f_848f_9d9d8fcf89d6"/>
      <w:bookmarkStart w:id="13" w:name="Tc_jgv0ES0U7UuFipVWnkGPXg_2_1"/>
      <w:bookmarkStart w:id="14" w:name="Tc_AbQ-1kT3-0GI2pX77rDVjA_2_0"/>
      <w:bookmarkStart w:id="15" w:name="Tc_A-9m3qdfX0SNeWQqCYfUTQ_1_0"/>
      <w:bookmarkStart w:id="16" w:name="_cddea3b1_17e1_488f_848f_9d9d8fcf89d6"/>
      <w:bookmarkEnd w:id="13"/>
      <w:bookmarkEnd w:id="14"/>
      <w:bookmarkEnd w:id="15"/>
      <w:bookmarkEnd w:id="16"/>
    </w:p>
    <w:tbl>
      <w:tblPr>
        <w:tblW w:w="5687" w:type="dxa"/>
        <w:jc w:val="left"/>
        <w:tblInd w:w="0" w:type="dxa"/>
        <w:tblCellMar>
          <w:top w:w="0" w:type="dxa"/>
          <w:left w:w="0" w:type="dxa"/>
          <w:bottom w:w="0" w:type="dxa"/>
          <w:right w:w="0" w:type="dxa"/>
        </w:tblCellMar>
      </w:tblPr>
      <w:tblGrid>
        <w:gridCol w:w="4756"/>
        <w:gridCol w:w="931"/>
      </w:tblGrid>
      <w:tr>
        <w:trPr/>
        <w:tc>
          <w:tcPr>
            <w:tcW w:w="47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020060" cy="175260"/>
                      <wp:effectExtent l="0" t="0" r="0" b="0"/>
                      <wp:wrapNone/>
                      <wp:docPr id="1" name="Frame1"/>
                      <a:graphic xmlns:a="http://schemas.openxmlformats.org/drawingml/2006/main">
                        <a:graphicData uri="http://schemas.microsoft.com/office/word/2010/wordprocessingShape">
                          <wps:wsp>
                            <wps:cNvSpPr txBox="1"/>
                            <wps:spPr>
                              <a:xfrm>
                                <a:off x="0" y="0"/>
                                <a:ext cx="3020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91185" cy="175260"/>
                      <wp:effectExtent l="0" t="0" r="0" b="0"/>
                      <wp:wrapNone/>
                      <wp:docPr id="2" name="Frame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5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b/>
                <w:sz w:val="16"/>
              </w:rPr>
              <w:t>630 W.</w:t>
            </w:r>
            <w:r>
              <w:rPr>
                <w:rFonts w:ascii="Arial;Helvetica;sans-serif" w:hAnsi="Arial;Helvetica;sans-serif"/>
                <w:sz w:val="20"/>
              </w:rPr>
              <w:t xml:space="preserve"> </w:t>
            </w:r>
            <w:r>
              <w:rPr>
                <w:rFonts w:ascii="Arial;Helvetica;sans-serif" w:hAnsi="Arial;Helvetica;sans-serif"/>
                <w:b/>
                <w:sz w:val="16"/>
              </w:rPr>
              <w:t>Germantown Pike, Suite 215, Plymouth Meeting, PA</w:t>
            </w:r>
          </w:p>
        </w:tc>
        <w:tc>
          <w:tcPr>
            <w:tcW w:w="93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19462</w:t>
            </w:r>
          </w:p>
        </w:tc>
      </w:tr>
      <w:tr>
        <w:trPr/>
        <w:tc>
          <w:tcPr>
            <w:tcW w:w="4756" w:type="dxa"/>
            <w:tcBorders/>
            <w:shd w:fill="auto" w:val="cle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(Address of principal executive offices)</w:t>
            </w:r>
          </w:p>
        </w:tc>
        <w:tc>
          <w:tcPr>
            <w:tcW w:w="931" w:type="dxa"/>
            <w:tcBorders/>
            <w:shd w:fill="auto" w:val="cle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(Zip Code)</w:t>
            </w:r>
          </w:p>
        </w:tc>
      </w:tr>
    </w:tbl>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(484) 539-9800</w:t>
      </w:r>
    </w:p>
    <w:p>
      <w:pPr>
        <w:pStyle w:val="TextBody"/>
        <w:spacing w:before="0" w:after="120"/>
        <w:ind w:left="0" w:right="0" w:hanging="0"/>
        <w:jc w:val="center"/>
        <w:rPr>
          <w:rFonts w:ascii="Arial;Helvetica;sans-serif" w:hAnsi="Arial;Helvetica;sans-serif"/>
          <w:sz w:val="16"/>
        </w:rPr>
      </w:pPr>
      <w:r>
        <w:rPr>
          <w:rFonts w:ascii="Arial;Helvetica;sans-serif" w:hAnsi="Arial;Helvetica;sans-serif"/>
          <w:sz w:val="16"/>
        </w:rPr>
        <w:t>(Registrant’s telephone number, including area code)</w:t>
      </w:r>
    </w:p>
    <w:p>
      <w:pPr>
        <w:pStyle w:val="TextBody"/>
        <w:spacing w:before="0" w:after="0"/>
        <w:ind w:left="0" w:right="0" w:hanging="0"/>
        <w:jc w:val="center"/>
        <w:rPr>
          <w:rFonts w:ascii="Arial;Helvetica;sans-serif" w:hAnsi="Arial;Helvetica;sans-serif"/>
          <w:sz w:val="16"/>
        </w:rPr>
      </w:pPr>
      <w:r>
        <w:rPr>
          <w:rFonts w:ascii="Arial;Helvetica;sans-serif" w:hAnsi="Arial;Helvetica;sans-serif"/>
          <w:sz w:val="16"/>
        </w:rPr>
        <w:t>Securities registered pursuant to Section 12(b) of the Act:</w:t>
      </w:r>
    </w:p>
    <w:p>
      <w:pPr>
        <w:pStyle w:val="TextBody"/>
        <w:spacing w:before="0" w:after="240"/>
        <w:ind w:left="0" w:right="0" w:hanging="0"/>
        <w:rPr/>
      </w:pPr>
      <w:r>
        <w:rPr/>
        <w:t>​</w:t>
      </w:r>
    </w:p>
    <w:p>
      <w:pPr>
        <w:pStyle w:val="Normal"/>
        <w:spacing w:before="0" w:after="0"/>
        <w:rPr>
          <w:sz w:val="4"/>
          <w:szCs w:val="4"/>
        </w:rPr>
      </w:pPr>
      <w:r>
        <w:rPr>
          <w:sz w:val="4"/>
          <w:szCs w:val="4"/>
        </w:rPr>
      </w:r>
      <w:bookmarkStart w:id="17" w:name="Tc_hTdAQ6fcVUuWYJrsR69YZw_2_4"/>
      <w:bookmarkStart w:id="18" w:name="Tc_SZBmnD9V80m1tm_YvBZTCg_1_4"/>
      <w:bookmarkStart w:id="19" w:name="Tc_AEC93W7pEUShXAFsnpXdeA_1_2"/>
      <w:bookmarkStart w:id="20" w:name="Tc_9TycV0ttekqri4zjDhgYEA_1_0"/>
      <w:bookmarkStart w:id="21" w:name="_ffb0de40_f8cc_422d_8285_b0c730998427"/>
      <w:bookmarkStart w:id="22" w:name="Tc_hTdAQ6fcVUuWYJrsR69YZw_2_4"/>
      <w:bookmarkStart w:id="23" w:name="Tc_SZBmnD9V80m1tm_YvBZTCg_1_4"/>
      <w:bookmarkStart w:id="24" w:name="Tc_AEC93W7pEUShXAFsnpXdeA_1_2"/>
      <w:bookmarkStart w:id="25" w:name="Tc_9TycV0ttekqri4zjDhgYEA_1_0"/>
      <w:bookmarkStart w:id="26" w:name="_ffb0de40_f8cc_422d_8285_b0c730998427"/>
      <w:bookmarkEnd w:id="22"/>
      <w:bookmarkEnd w:id="23"/>
      <w:bookmarkEnd w:id="24"/>
      <w:bookmarkEnd w:id="25"/>
      <w:bookmarkEnd w:id="26"/>
    </w:p>
    <w:tbl>
      <w:tblPr>
        <w:tblW w:w="7900" w:type="dxa"/>
        <w:jc w:val="left"/>
        <w:tblInd w:w="0" w:type="dxa"/>
        <w:tblCellMar>
          <w:top w:w="0" w:type="dxa"/>
          <w:left w:w="0" w:type="dxa"/>
          <w:bottom w:w="0" w:type="dxa"/>
          <w:right w:w="0" w:type="dxa"/>
        </w:tblCellMar>
      </w:tblPr>
      <w:tblGrid>
        <w:gridCol w:w="3916"/>
        <w:gridCol w:w="326"/>
        <w:gridCol w:w="916"/>
        <w:gridCol w:w="326"/>
        <w:gridCol w:w="2416"/>
      </w:tblGrid>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center"/>
              <w:rPr/>
            </w:pPr>
            <w:r>
              <w:rPr/>
              <w:t>​</w:t>
            </w:r>
          </w:p>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jc w:val="center"/>
              <w:rPr/>
            </w:pPr>
            <w:r>
              <w:rPr/>
              <w:t>​</w:t>
            </w:r>
          </w:p>
          <w:p>
            <w:pPr>
              <w:pStyle w:val="TableContents"/>
              <w:spacing w:before="0" w:after="0"/>
              <w:ind w:left="0" w:right="0" w:hanging="0"/>
              <w:rPr/>
            </w:pPr>
            <w:r>
              <w:rPr/>
              <w:t>​</w:t>
            </w:r>
          </w:p>
        </w:tc>
      </w:tr>
      <w:tr>
        <w:trPr/>
        <w:tc>
          <w:tcPr>
            <w:tcW w:w="3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Title of each class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Trading</w:t>
              <w:br/>
              <w:t>Symbol(s)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24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Name of each exchange</w:t>
              <w:br/>
              <w:t>on which registered</w:t>
            </w:r>
          </w:p>
        </w:tc>
      </w:tr>
      <w:tr>
        <w:trPr/>
        <w:tc>
          <w:tcPr>
            <w:tcW w:w="391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Common Stock, par value $0.00001 value per share</w:t>
            </w:r>
          </w:p>
        </w:tc>
        <w:tc>
          <w:tcPr>
            <w:tcW w:w="326" w:type="dxa"/>
            <w:tcBorders/>
            <w:shd w:fill="auto" w:val="clear"/>
            <w:vAlign w:val="center"/>
          </w:tcPr>
          <w:p>
            <w:pPr>
              <w:pStyle w:val="TableContents"/>
              <w:spacing w:before="0" w:after="0"/>
              <w:ind w:left="0" w:right="0" w:hanging="0"/>
              <w:rPr/>
            </w:pPr>
            <w:r>
              <w:rPr/>
              <w:t> </w:t>
            </w:r>
          </w:p>
        </w:tc>
        <w:tc>
          <w:tcPr>
            <w:tcW w:w="91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HRMY</w:t>
            </w:r>
          </w:p>
        </w:tc>
        <w:tc>
          <w:tcPr>
            <w:tcW w:w="326" w:type="dxa"/>
            <w:tcBorders/>
            <w:shd w:fill="auto" w:val="clear"/>
            <w:vAlign w:val="center"/>
          </w:tcPr>
          <w:p>
            <w:pPr>
              <w:pStyle w:val="TableContents"/>
              <w:spacing w:before="0" w:after="0"/>
              <w:ind w:left="0" w:right="0" w:hanging="0"/>
              <w:rPr/>
            </w:pPr>
            <w:r>
              <w:rPr/>
              <w:t> </w:t>
            </w:r>
          </w:p>
        </w:tc>
        <w:tc>
          <w:tcPr>
            <w:tcW w:w="241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The Nasdaq Stock Market LLC</w:t>
              <w:br/>
              <w:t>(Nasdaq Global Market)</w:t>
            </w:r>
          </w:p>
        </w:tc>
      </w:tr>
    </w:tbl>
    <w:p>
      <w:pPr>
        <w:pStyle w:val="TextBody"/>
        <w:spacing w:before="0" w:after="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     </w:t>
      </w:r>
      <w:r>
        <w:rPr>
          <w:rFonts w:ascii="Arial;Helvetica;sans-serif" w:hAnsi="Arial;Helvetica;sans-serif"/>
          <w:sz w:val="16"/>
        </w:rPr>
        <w:t>No   </w:t>
      </w:r>
      <w:r>
        <w:rPr>
          <w:rFonts w:ascii="Arial;Helvetica;sans-serif" w:hAnsi="Arial;Helvetica;sans-serif"/>
          <w:sz w:val="20"/>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  </w:t>
      </w:r>
      <w:r>
        <w:rPr>
          <w:rFonts w:ascii="Arial;Helvetica;sans-serif" w:hAnsi="Arial;Helvetica;sans-serif"/>
          <w:sz w:val="16"/>
        </w:rPr>
        <w:t>No  </w:t>
      </w:r>
      <w:r>
        <w:rPr>
          <w:rFonts w:ascii="Arial;Helvetica;sans-serif" w:hAnsi="Arial;Helvetica;sans-serif"/>
          <w:sz w:val="20"/>
        </w:rPr>
        <w:t>☐</w:t>
      </w:r>
    </w:p>
    <w:p>
      <w:pPr>
        <w:pStyle w:val="TextBody"/>
        <w:spacing w:before="0" w:after="0"/>
        <w:ind w:left="0" w:right="0" w:hanging="0"/>
        <w:rPr>
          <w:rFonts w:ascii="Arial;Helvetica;sans-serif" w:hAnsi="Arial;Helvetica;sans-serif"/>
          <w:sz w:val="16"/>
        </w:rPr>
      </w:pPr>
      <w:r>
        <w:rPr>
          <w:rFonts w:ascii="Arial;Helvetica;sans-serif" w:hAnsi="Arial;Helvetica;san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240"/>
        <w:ind w:left="0" w:right="0" w:hanging="0"/>
        <w:rPr/>
      </w:pPr>
      <w:r>
        <w:rPr/>
        <w:t>​</w:t>
      </w:r>
    </w:p>
    <w:p>
      <w:pPr>
        <w:pStyle w:val="Normal"/>
        <w:spacing w:before="0" w:after="0"/>
        <w:rPr>
          <w:sz w:val="4"/>
          <w:szCs w:val="4"/>
        </w:rPr>
      </w:pPr>
      <w:r>
        <w:rPr>
          <w:sz w:val="4"/>
          <w:szCs w:val="4"/>
        </w:rPr>
      </w:r>
      <w:bookmarkStart w:id="27" w:name="Tc_v-N6MX3N8Ui6Vk4zUhNElA_4_2"/>
      <w:bookmarkStart w:id="28" w:name="Tc_nzg2s53wrUCcQCVNL9tprw_3_2"/>
      <w:bookmarkStart w:id="29" w:name="Tc_Gj63Hu5akEKsuNhO8VCFCA_3_1"/>
      <w:bookmarkStart w:id="30" w:name="Tc_2dZsx4HVNE2c_IuSauQ2gQ_3_0"/>
      <w:bookmarkStart w:id="31" w:name="Tc_d7uIUZ2tTUGyDDPwTZC75Q_2_3"/>
      <w:bookmarkStart w:id="32" w:name="Tc_8DIBgfSILEqaNNUFjcIGzw_2_2"/>
      <w:bookmarkStart w:id="33" w:name="Tc_zy3JS5FFG0CZNg3dbIb6nw_2_1"/>
      <w:bookmarkStart w:id="34" w:name="_fc77bd78_6348_449c_bb58_459aea7ced4b"/>
      <w:bookmarkStart w:id="35" w:name="Tc_v-N6MX3N8Ui6Vk4zUhNElA_4_2"/>
      <w:bookmarkStart w:id="36" w:name="Tc_nzg2s53wrUCcQCVNL9tprw_3_2"/>
      <w:bookmarkStart w:id="37" w:name="Tc_Gj63Hu5akEKsuNhO8VCFCA_3_1"/>
      <w:bookmarkStart w:id="38" w:name="Tc_2dZsx4HVNE2c_IuSauQ2gQ_3_0"/>
      <w:bookmarkStart w:id="39" w:name="Tc_d7uIUZ2tTUGyDDPwTZC75Q_2_3"/>
      <w:bookmarkStart w:id="40" w:name="Tc_8DIBgfSILEqaNNUFjcIGzw_2_2"/>
      <w:bookmarkStart w:id="41" w:name="Tc_zy3JS5FFG0CZNg3dbIb6nw_2_1"/>
      <w:bookmarkStart w:id="42" w:name="_fc77bd78_6348_449c_bb58_459aea7ced4b"/>
      <w:bookmarkEnd w:id="35"/>
      <w:bookmarkEnd w:id="36"/>
      <w:bookmarkEnd w:id="37"/>
      <w:bookmarkEnd w:id="38"/>
      <w:bookmarkEnd w:id="39"/>
      <w:bookmarkEnd w:id="40"/>
      <w:bookmarkEnd w:id="41"/>
      <w:bookmarkEnd w:id="42"/>
    </w:p>
    <w:tbl>
      <w:tblPr>
        <w:tblW w:w="4474" w:type="dxa"/>
        <w:jc w:val="left"/>
        <w:tblInd w:w="0" w:type="dxa"/>
        <w:tblCellMar>
          <w:top w:w="0" w:type="dxa"/>
          <w:left w:w="0" w:type="dxa"/>
          <w:bottom w:w="0" w:type="dxa"/>
          <w:right w:w="0" w:type="dxa"/>
        </w:tblCellMar>
      </w:tblPr>
      <w:tblGrid>
        <w:gridCol w:w="1741"/>
        <w:gridCol w:w="316"/>
        <w:gridCol w:w="2056"/>
        <w:gridCol w:w="361"/>
      </w:tblGrid>
      <w:tr>
        <w:trPr/>
        <w:tc>
          <w:tcPr>
            <w:tcW w:w="1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105535" cy="175260"/>
                      <wp:effectExtent l="0" t="0" r="0" b="0"/>
                      <wp:wrapNone/>
                      <wp:docPr id="3" name="Frame3"/>
                      <a:graphic xmlns:a="http://schemas.openxmlformats.org/drawingml/2006/main">
                        <a:graphicData uri="http://schemas.microsoft.com/office/word/2010/wordprocessingShape">
                          <wps:wsp>
                            <wps:cNvSpPr txBox="1"/>
                            <wps:spPr>
                              <a:xfrm>
                                <a:off x="0" y="0"/>
                                <a:ext cx="1105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0660" cy="175260"/>
                      <wp:effectExtent l="0" t="0" r="0" b="0"/>
                      <wp:wrapNone/>
                      <wp:docPr id="4" name="Frame4"/>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05560" cy="175260"/>
                      <wp:effectExtent l="0" t="0" r="0" b="0"/>
                      <wp:wrapNone/>
                      <wp:docPr id="5" name="Frame5"/>
                      <a:graphic xmlns:a="http://schemas.openxmlformats.org/drawingml/2006/main">
                        <a:graphicData uri="http://schemas.microsoft.com/office/word/2010/wordprocessingShape">
                          <wps:wsp>
                            <wps:cNvSpPr txBox="1"/>
                            <wps:spPr>
                              <a:xfrm>
                                <a:off x="0" y="0"/>
                                <a:ext cx="1305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29235" cy="175260"/>
                      <wp:effectExtent l="0" t="0" r="0" b="0"/>
                      <wp:wrapNone/>
                      <wp:docPr id="6" name="Frame6"/>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41"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205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Large accelerated filer</w:t>
            </w:r>
          </w:p>
        </w:tc>
        <w:tc>
          <w:tcPr>
            <w:tcW w:w="316" w:type="dxa"/>
            <w:tcBorders/>
            <w:shd w:fill="auto" w:val="clear"/>
            <w:vAlign w:val="center"/>
          </w:tcPr>
          <w:p>
            <w:pPr>
              <w:pStyle w:val="TableContents"/>
              <w:spacing w:before="0" w:after="0"/>
              <w:ind w:left="0" w:right="0" w:hanging="0"/>
              <w:rPr/>
            </w:pPr>
            <w:r>
              <w:rPr/>
              <w:t>☒</w:t>
            </w:r>
          </w:p>
        </w:tc>
        <w:tc>
          <w:tcPr>
            <w:tcW w:w="205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Accelerated filer</w:t>
            </w:r>
          </w:p>
        </w:tc>
        <w:tc>
          <w:tcPr>
            <w:tcW w:w="361" w:type="dxa"/>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Non-accelerated filer</w:t>
            </w:r>
          </w:p>
        </w:tc>
        <w:tc>
          <w:tcPr>
            <w:tcW w:w="316" w:type="dxa"/>
            <w:tcBorders/>
            <w:shd w:fill="auto" w:val="clear"/>
            <w:vAlign w:val="center"/>
          </w:tcPr>
          <w:p>
            <w:pPr>
              <w:pStyle w:val="TableContents"/>
              <w:spacing w:before="0" w:after="0"/>
              <w:ind w:left="0" w:right="0" w:hanging="0"/>
              <w:rPr/>
            </w:pPr>
            <w:r>
              <w:rPr/>
              <w:t>☐</w:t>
            </w:r>
          </w:p>
        </w:tc>
        <w:tc>
          <w:tcPr>
            <w:tcW w:w="205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Smaller reporting company</w:t>
            </w:r>
          </w:p>
        </w:tc>
        <w:tc>
          <w:tcPr>
            <w:tcW w:w="361" w:type="dxa"/>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spacing w:before="0" w:after="240"/>
              <w:ind w:left="0" w:right="0" w:hanging="0"/>
              <w:rPr/>
            </w:pPr>
            <w:r>
              <w:rPr/>
              <w:t>​</w:t>
            </w:r>
          </w:p>
        </w:tc>
        <w:tc>
          <w:tcPr>
            <w:tcW w:w="316" w:type="dxa"/>
            <w:tcBorders/>
            <w:shd w:fill="auto" w:val="clear"/>
            <w:vAlign w:val="center"/>
          </w:tcPr>
          <w:p>
            <w:pPr>
              <w:pStyle w:val="TableContents"/>
              <w:spacing w:before="0" w:after="240"/>
              <w:ind w:left="0" w:right="0" w:hanging="0"/>
              <w:rPr/>
            </w:pPr>
            <w:r>
              <w:rPr/>
              <w:t>​</w:t>
            </w:r>
          </w:p>
        </w:tc>
        <w:tc>
          <w:tcPr>
            <w:tcW w:w="205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Emerging growth company</w:t>
            </w:r>
          </w:p>
        </w:tc>
        <w:tc>
          <w:tcPr>
            <w:tcW w:w="36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120"/>
        <w:ind w:left="0" w:right="0" w:hanging="0"/>
        <w:rPr>
          <w:rFonts w:ascii="Arial;Helvetica;sans-serif" w:hAnsi="Arial;Helvetica;sans-serif"/>
          <w:sz w:val="16"/>
        </w:rPr>
      </w:pPr>
      <w:r>
        <w:rPr>
          <w:rFonts w:ascii="Arial;Helvetica;sans-serif" w:hAnsi="Arial;Helvetica;san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120"/>
        <w:ind w:left="0" w:right="0" w:hanging="0"/>
        <w:rPr>
          <w:rFonts w:ascii="Arial;Helvetica;sans-serif" w:hAnsi="Arial;Helvetica;sans-serif"/>
          <w:sz w:val="20"/>
        </w:rPr>
      </w:pPr>
      <w:r>
        <w:rPr>
          <w:rFonts w:ascii="Arial;Helvetica;sans-serif" w:hAnsi="Arial;Helvetica;sans-serif"/>
          <w:sz w:val="16"/>
        </w:rPr>
        <w:t>Indicate by check mark whether the registrant is a shell company (as defined in Rule 12b-2 of the Exchange Act).   Yes  </w:t>
      </w:r>
      <w:r>
        <w:rPr>
          <w:rFonts w:ascii="Arial;Helvetica;sans-serif" w:hAnsi="Arial;Helvetica;sans-serif"/>
          <w:sz w:val="20"/>
        </w:rPr>
        <w:t>☐   </w:t>
      </w:r>
      <w:r>
        <w:rPr>
          <w:rFonts w:ascii="Arial;Helvetica;sans-serif" w:hAnsi="Arial;Helvetica;sans-serif"/>
          <w:sz w:val="16"/>
        </w:rPr>
        <w:t>No  </w:t>
      </w:r>
      <w:r>
        <w:rPr>
          <w:rFonts w:ascii="Arial;Helvetica;sans-serif" w:hAnsi="Arial;Helvetica;sans-serif"/>
          <w:sz w:val="20"/>
        </w:rPr>
        <w:t>☒</w:t>
      </w:r>
    </w:p>
    <w:p>
      <w:pPr>
        <w:pStyle w:val="TextBody"/>
        <w:spacing w:before="0" w:after="120"/>
        <w:ind w:left="0" w:right="0" w:firstLine="720"/>
        <w:rPr>
          <w:rFonts w:ascii="Arial;Helvetica;sans-serif" w:hAnsi="Arial;Helvetica;sans-serif"/>
          <w:sz w:val="16"/>
        </w:rPr>
      </w:pPr>
      <w:r>
        <w:rPr>
          <w:rFonts w:ascii="Arial;Helvetica;sans-serif" w:hAnsi="Arial;Helvetica;sans-serif"/>
          <w:sz w:val="16"/>
        </w:rPr>
        <w:t>As of April 28, 2023, there were 59,954,618 shares of the registrant’s common stock, par value $0.00001 value per share, outstanding.</w:t>
      </w:r>
    </w:p>
    <w:p>
      <w:pPr>
        <w:pStyle w:val="TextBody"/>
        <w:spacing w:before="0" w:after="240"/>
        <w:ind w:left="0" w:right="0" w:hanging="0"/>
        <w:rPr/>
      </w:pPr>
      <w:r>
        <w:rPr/>
        <w:t>​</w:t>
      </w:r>
    </w:p>
    <w:p>
      <w:pPr>
        <w:pStyle w:val="TextBody"/>
        <w:pBdr>
          <w:top w:val="single" w:sz="8" w:space="1" w:color="000000"/>
          <w:bottom w:val="single" w:sz="24" w:space="1" w:color="000000"/>
        </w:pBdr>
        <w:spacing w:before="0" w:after="240"/>
        <w:ind w:left="0" w:right="0" w:hanging="0"/>
        <w:rPr/>
      </w:pPr>
      <w:r>
        <w:rPr/>
        <w:t>​</w:t>
      </w:r>
    </w:p>
    <w:p>
      <w:pPr>
        <w:pStyle w:val="TextBody"/>
        <w:spacing w:before="0" w:after="24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20"/>
        </w:rPr>
      </w:pPr>
      <w:bookmarkStart w:id="43" w:name="TOC"/>
      <w:bookmarkStart w:id="44" w:name="_5e8cc1f8_301d_4c41_8c59_bcec55d29640"/>
      <w:bookmarkEnd w:id="43"/>
      <w:bookmarkEnd w:id="44"/>
      <w:r>
        <w:rPr>
          <w:rFonts w:ascii="Arial;Helvetica;sans-serif" w:hAnsi="Arial;Helvetica;sans-serif"/>
          <w:b w:val="false"/>
          <w:sz w:val="20"/>
        </w:rPr>
        <w:t>T</w:t>
      </w:r>
      <w:r>
        <w:rPr>
          <w:rFonts w:ascii="Arial;Helvetica;sans-serif" w:hAnsi="Arial;Helvetica;sans-serif"/>
          <w:b/>
          <w:sz w:val="20"/>
        </w:rPr>
        <w:t>ABLE OF CONTENTS</w:t>
      </w:r>
    </w:p>
    <w:p>
      <w:pPr>
        <w:pStyle w:val="TextBody"/>
        <w:spacing w:before="0" w:after="240"/>
        <w:ind w:left="0" w:right="0" w:hanging="0"/>
        <w:jc w:val="center"/>
        <w:rPr/>
      </w:pPr>
      <w:r>
        <w:rPr/>
        <w:t>​</w:t>
      </w:r>
    </w:p>
    <w:tbl>
      <w:tblPr>
        <w:tblW w:w="9077" w:type="dxa"/>
        <w:jc w:val="left"/>
        <w:tblInd w:w="0" w:type="dxa"/>
        <w:tblCellMar>
          <w:top w:w="0" w:type="dxa"/>
          <w:left w:w="0" w:type="dxa"/>
          <w:bottom w:w="0" w:type="dxa"/>
          <w:right w:w="0" w:type="dxa"/>
        </w:tblCellMar>
      </w:tblPr>
      <w:tblGrid>
        <w:gridCol w:w="8536"/>
        <w:gridCol w:w="541"/>
      </w:tblGrid>
      <w:tr>
        <w:trPr/>
        <w:tc>
          <w:tcPr>
            <w:tcW w:w="853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43535" cy="29210"/>
                      <wp:effectExtent l="0" t="0" r="0" b="0"/>
                      <wp:wrapNone/>
                      <wp:docPr id="7" name="Frame7"/>
                      <a:graphic xmlns:a="http://schemas.openxmlformats.org/drawingml/2006/main">
                        <a:graphicData uri="http://schemas.microsoft.com/office/word/2010/wordprocessingShape">
                          <wps:wsp>
                            <wps:cNvSpPr txBox="1"/>
                            <wps:spPr>
                              <a:xfrm>
                                <a:off x="0" y="0"/>
                                <a:ext cx="3435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8536" w:type="dxa"/>
            <w:tcBorders/>
            <w:shd w:fill="auto" w:val="clear"/>
            <w:vAlign w:val="center"/>
          </w:tcPr>
          <w:p>
            <w:pPr>
              <w:pStyle w:val="TableContents"/>
              <w:spacing w:before="0" w:after="0"/>
              <w:ind w:left="0" w:right="0" w:hanging="0"/>
              <w:rPr/>
            </w:pPr>
            <w:r>
              <w:rPr/>
              <w:t>​</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Page</w:t>
            </w:r>
          </w:p>
        </w:tc>
      </w:tr>
      <w:tr>
        <w:trPr/>
        <w:tc>
          <w:tcPr>
            <w:tcW w:w="8536" w:type="dxa"/>
            <w:tcBorders/>
            <w:shd w:fill="auto" w:val="clear"/>
            <w:vAlign w:val="center"/>
          </w:tcPr>
          <w:p>
            <w:pPr>
              <w:pStyle w:val="TableContents"/>
              <w:spacing w:before="0" w:after="0"/>
              <w:ind w:left="0" w:right="0" w:hanging="0"/>
              <w:rPr/>
            </w:pPr>
            <w:hyperlink w:anchor="PARTI">
              <w:r>
                <w:rPr>
                  <w:rStyle w:val="InternetLink"/>
                  <w:rFonts w:ascii="Arial;Helvetica;sans-serif" w:hAnsi="Arial;Helvetica;sans-serif"/>
                  <w:b w:val="false"/>
                  <w:i w:val="false"/>
                  <w:caps w:val="false"/>
                  <w:smallCaps w:val="false"/>
                  <w:sz w:val="20"/>
                </w:rPr>
                <w:t>Part I. Financial Information</w:t>
              </w:r>
            </w:hyperlink>
          </w:p>
        </w:tc>
        <w:tc>
          <w:tcPr>
            <w:tcW w:w="541"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536" w:type="dxa"/>
            <w:tcBorders/>
            <w:shd w:fill="auto" w:val="clear"/>
            <w:vAlign w:val="center"/>
          </w:tcPr>
          <w:p>
            <w:pPr>
              <w:pStyle w:val="TableContents"/>
              <w:spacing w:before="0" w:after="0"/>
              <w:ind w:left="0" w:right="0" w:hanging="0"/>
              <w:rPr/>
            </w:pPr>
            <w:hyperlink w:anchor="Item1Financial">
              <w:r>
                <w:rPr>
                  <w:rStyle w:val="InternetLink"/>
                  <w:rFonts w:ascii="Arial;Helvetica;sans-serif" w:hAnsi="Arial;Helvetica;sans-serif"/>
                  <w:b w:val="false"/>
                  <w:i w:val="false"/>
                  <w:caps w:val="false"/>
                  <w:smallCaps w:val="false"/>
                  <w:sz w:val="20"/>
                </w:rPr>
                <w:t>Item 1. Financial Statements</w:t>
              </w:r>
            </w:hyperlink>
          </w:p>
        </w:tc>
        <w:tc>
          <w:tcPr>
            <w:tcW w:w="5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536" w:type="dxa"/>
            <w:tcBorders/>
            <w:shd w:fill="auto" w:val="clear"/>
            <w:vAlign w:val="center"/>
          </w:tcPr>
          <w:p>
            <w:pPr>
              <w:pStyle w:val="TableContents"/>
              <w:pBdr/>
              <w:spacing w:before="0" w:after="0"/>
              <w:ind w:left="0" w:right="0" w:hanging="0"/>
              <w:rPr/>
            </w:pPr>
            <w:hyperlink w:anchor="BALANCESHEETS">
              <w:r>
                <w:rPr>
                  <w:rStyle w:val="InternetLink"/>
                  <w:rFonts w:ascii="Arial;Helvetica;sans-serif" w:hAnsi="Arial;Helvetica;sans-serif"/>
                  <w:b w:val="false"/>
                  <w:i w:val="false"/>
                  <w:caps w:val="false"/>
                  <w:smallCaps w:val="false"/>
                  <w:sz w:val="20"/>
                </w:rPr>
                <w:t>Condensed Consolidated Balance Sheets (Unaudited)</w:t>
              </w:r>
            </w:hyperlink>
          </w:p>
        </w:tc>
        <w:tc>
          <w:tcPr>
            <w:tcW w:w="5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536" w:type="dxa"/>
            <w:tcBorders/>
            <w:shd w:fill="auto" w:val="clear"/>
            <w:vAlign w:val="center"/>
          </w:tcPr>
          <w:p>
            <w:pPr>
              <w:pStyle w:val="TableContents"/>
              <w:pBdr/>
              <w:spacing w:before="0" w:after="0"/>
              <w:ind w:left="0" w:right="0" w:hanging="0"/>
              <w:rPr/>
            </w:pPr>
            <w:hyperlink w:anchor="COMPREHENSIVEINCOME">
              <w:r>
                <w:rPr>
                  <w:rStyle w:val="InternetLink"/>
                  <w:rFonts w:ascii="Arial;Helvetica;sans-serif" w:hAnsi="Arial;Helvetica;sans-serif"/>
                  <w:b w:val="false"/>
                  <w:i w:val="false"/>
                  <w:caps w:val="false"/>
                  <w:smallCaps w:val="false"/>
                  <w:sz w:val="20"/>
                </w:rPr>
                <w:t>Condensed Consolidated Statements of Operations and Comprehensive Income (Unaudited)</w:t>
              </w:r>
            </w:hyperlink>
          </w:p>
        </w:tc>
        <w:tc>
          <w:tcPr>
            <w:tcW w:w="5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8536" w:type="dxa"/>
            <w:tcBorders/>
            <w:shd w:fill="auto" w:val="clear"/>
            <w:vAlign w:val="center"/>
          </w:tcPr>
          <w:p>
            <w:pPr>
              <w:pStyle w:val="TableContents"/>
              <w:pBdr/>
              <w:spacing w:before="0" w:after="0"/>
              <w:ind w:left="0" w:right="0" w:hanging="0"/>
              <w:rPr/>
            </w:pPr>
            <w:hyperlink w:anchor="EQUITY">
              <w:r>
                <w:rPr>
                  <w:rStyle w:val="InternetLink"/>
                  <w:rFonts w:ascii="Arial;Helvetica;sans-serif" w:hAnsi="Arial;Helvetica;sans-serif"/>
                  <w:b w:val="false"/>
                  <w:i w:val="false"/>
                  <w:caps w:val="false"/>
                  <w:smallCaps w:val="false"/>
                  <w:sz w:val="20"/>
                </w:rPr>
                <w:t>Condensed Consolidated Statements of Stockholders’ Equity (Unaudited)</w:t>
              </w:r>
            </w:hyperlink>
          </w:p>
        </w:tc>
        <w:tc>
          <w:tcPr>
            <w:tcW w:w="5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w:t>
            </w:r>
          </w:p>
        </w:tc>
      </w:tr>
      <w:tr>
        <w:trPr/>
        <w:tc>
          <w:tcPr>
            <w:tcW w:w="8536" w:type="dxa"/>
            <w:tcBorders/>
            <w:shd w:fill="auto" w:val="clear"/>
            <w:vAlign w:val="center"/>
          </w:tcPr>
          <w:p>
            <w:pPr>
              <w:pStyle w:val="TableContents"/>
              <w:pBdr/>
              <w:spacing w:before="0" w:after="0"/>
              <w:ind w:left="0" w:right="0" w:hanging="0"/>
              <w:rPr/>
            </w:pPr>
            <w:hyperlink w:anchor="CASHFLOWS">
              <w:r>
                <w:rPr>
                  <w:rStyle w:val="InternetLink"/>
                  <w:rFonts w:ascii="Arial;Helvetica;sans-serif" w:hAnsi="Arial;Helvetica;sans-serif"/>
                  <w:b w:val="false"/>
                  <w:i w:val="false"/>
                  <w:caps w:val="false"/>
                  <w:smallCaps w:val="false"/>
                  <w:sz w:val="20"/>
                </w:rPr>
                <w:t>Condensed Consolidated Statements of Cash Flows (Unaudited)</w:t>
              </w:r>
            </w:hyperlink>
          </w:p>
        </w:tc>
        <w:tc>
          <w:tcPr>
            <w:tcW w:w="5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w:t>
            </w:r>
          </w:p>
        </w:tc>
      </w:tr>
      <w:tr>
        <w:trPr/>
        <w:tc>
          <w:tcPr>
            <w:tcW w:w="8536" w:type="dxa"/>
            <w:tcBorders/>
            <w:shd w:fill="auto" w:val="clear"/>
            <w:vAlign w:val="center"/>
          </w:tcPr>
          <w:p>
            <w:pPr>
              <w:pStyle w:val="TableContents"/>
              <w:pBdr/>
              <w:spacing w:before="0" w:after="0"/>
              <w:ind w:left="0" w:right="0" w:hanging="0"/>
              <w:rPr/>
            </w:pPr>
            <w:hyperlink w:anchor="NOTESTOUNAUDITEDCONDENSED">
              <w:r>
                <w:rPr>
                  <w:rStyle w:val="InternetLink"/>
                  <w:rFonts w:ascii="Arial;Helvetica;sans-serif" w:hAnsi="Arial;Helvetica;sans-serif"/>
                  <w:b w:val="false"/>
                  <w:i w:val="false"/>
                  <w:caps w:val="false"/>
                  <w:smallCaps w:val="false"/>
                  <w:sz w:val="20"/>
                </w:rPr>
                <w:t>Notes to Condensed Consolidated Financial Statements (Unaudited)</w:t>
              </w:r>
            </w:hyperlink>
          </w:p>
        </w:tc>
        <w:tc>
          <w:tcPr>
            <w:tcW w:w="5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w:t>
            </w:r>
          </w:p>
        </w:tc>
      </w:tr>
      <w:tr>
        <w:trPr/>
        <w:tc>
          <w:tcPr>
            <w:tcW w:w="8536" w:type="dxa"/>
            <w:tcBorders/>
            <w:shd w:fill="auto" w:val="clear"/>
            <w:vAlign w:val="center"/>
          </w:tcPr>
          <w:p>
            <w:pPr>
              <w:pStyle w:val="TableContents"/>
              <w:spacing w:before="0" w:after="0"/>
              <w:ind w:left="0" w:right="0" w:hanging="0"/>
              <w:rPr/>
            </w:pPr>
            <w:hyperlink w:anchor="Item2Managements">
              <w:r>
                <w:rPr>
                  <w:rStyle w:val="InternetLink"/>
                  <w:rFonts w:ascii="Arial;Helvetica;sans-serif" w:hAnsi="Arial;Helvetica;sans-serif"/>
                  <w:b w:val="false"/>
                  <w:i w:val="false"/>
                  <w:caps w:val="false"/>
                  <w:smallCaps w:val="false"/>
                  <w:sz w:val="20"/>
                </w:rPr>
                <w:t>Item 2. Management’s Discussion and Analysis of Financial Condition and Results of Operations</w:t>
              </w:r>
            </w:hyperlink>
          </w:p>
        </w:tc>
        <w:tc>
          <w:tcPr>
            <w:tcW w:w="5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w:t>
            </w:r>
          </w:p>
        </w:tc>
      </w:tr>
      <w:tr>
        <w:trPr/>
        <w:tc>
          <w:tcPr>
            <w:tcW w:w="8536" w:type="dxa"/>
            <w:tcBorders/>
            <w:shd w:fill="auto" w:val="clear"/>
            <w:vAlign w:val="center"/>
          </w:tcPr>
          <w:p>
            <w:pPr>
              <w:pStyle w:val="TableContents"/>
              <w:spacing w:before="0" w:after="0"/>
              <w:ind w:left="0" w:right="0" w:hanging="0"/>
              <w:rPr/>
            </w:pPr>
            <w:hyperlink w:anchor="Item3Quantitative">
              <w:r>
                <w:rPr>
                  <w:rStyle w:val="InternetLink"/>
                  <w:rFonts w:ascii="Arial;Helvetica;sans-serif" w:hAnsi="Arial;Helvetica;sans-serif"/>
                  <w:b w:val="false"/>
                  <w:i w:val="false"/>
                  <w:caps w:val="false"/>
                  <w:smallCaps w:val="false"/>
                  <w:sz w:val="20"/>
                </w:rPr>
                <w:t>Item 3. Quantitative and Qualitative Disclosures About Market Risk</w:t>
              </w:r>
            </w:hyperlink>
          </w:p>
        </w:tc>
        <w:tc>
          <w:tcPr>
            <w:tcW w:w="5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33</w:t>
            </w:r>
          </w:p>
        </w:tc>
      </w:tr>
      <w:tr>
        <w:trPr/>
        <w:tc>
          <w:tcPr>
            <w:tcW w:w="8536" w:type="dxa"/>
            <w:tcBorders/>
            <w:shd w:fill="auto" w:val="clear"/>
            <w:vAlign w:val="center"/>
          </w:tcPr>
          <w:p>
            <w:pPr>
              <w:pStyle w:val="TableContents"/>
              <w:spacing w:before="0" w:after="0"/>
              <w:ind w:left="0" w:right="0" w:hanging="0"/>
              <w:rPr/>
            </w:pPr>
            <w:hyperlink w:anchor="Item4Controls">
              <w:r>
                <w:rPr>
                  <w:rStyle w:val="InternetLink"/>
                  <w:rFonts w:ascii="Arial;Helvetica;sans-serif" w:hAnsi="Arial;Helvetica;sans-serif"/>
                  <w:b w:val="false"/>
                  <w:i w:val="false"/>
                  <w:caps w:val="false"/>
                  <w:smallCaps w:val="false"/>
                  <w:sz w:val="20"/>
                </w:rPr>
                <w:t>Item 4. Controls and Procedures</w:t>
              </w:r>
            </w:hyperlink>
          </w:p>
        </w:tc>
        <w:tc>
          <w:tcPr>
            <w:tcW w:w="5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8536" w:type="dxa"/>
            <w:tcBorders/>
            <w:shd w:fill="auto" w:val="clear"/>
            <w:vAlign w:val="center"/>
          </w:tcPr>
          <w:p>
            <w:pPr>
              <w:pStyle w:val="TableContents"/>
              <w:spacing w:before="0" w:after="0"/>
              <w:ind w:left="0" w:right="0" w:hanging="0"/>
              <w:rPr/>
            </w:pPr>
            <w:hyperlink w:anchor="PARTII">
              <w:r>
                <w:rPr>
                  <w:rStyle w:val="InternetLink"/>
                  <w:rFonts w:ascii="Arial;Helvetica;sans-serif" w:hAnsi="Arial;Helvetica;sans-serif"/>
                  <w:b w:val="false"/>
                  <w:i w:val="false"/>
                  <w:caps w:val="false"/>
                  <w:smallCaps w:val="false"/>
                  <w:sz w:val="20"/>
                </w:rPr>
                <w:t>Part II. Other Information</w:t>
              </w:r>
            </w:hyperlink>
          </w:p>
        </w:tc>
        <w:tc>
          <w:tcPr>
            <w:tcW w:w="5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8536" w:type="dxa"/>
            <w:tcBorders/>
            <w:shd w:fill="auto" w:val="clear"/>
            <w:vAlign w:val="center"/>
          </w:tcPr>
          <w:p>
            <w:pPr>
              <w:pStyle w:val="TableContents"/>
              <w:spacing w:before="0" w:after="0"/>
              <w:ind w:left="0" w:right="0" w:hanging="0"/>
              <w:rPr/>
            </w:pPr>
            <w:hyperlink w:anchor="Item1Legal">
              <w:r>
                <w:rPr>
                  <w:rStyle w:val="InternetLink"/>
                  <w:rFonts w:ascii="Arial;Helvetica;sans-serif" w:hAnsi="Arial;Helvetica;sans-serif"/>
                  <w:b w:val="false"/>
                  <w:i w:val="false"/>
                  <w:caps w:val="false"/>
                  <w:smallCaps w:val="false"/>
                  <w:sz w:val="20"/>
                </w:rPr>
                <w:t>Item 1. Legal Proceedings</w:t>
              </w:r>
            </w:hyperlink>
          </w:p>
        </w:tc>
        <w:tc>
          <w:tcPr>
            <w:tcW w:w="5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8536" w:type="dxa"/>
            <w:tcBorders/>
            <w:shd w:fill="auto" w:val="clear"/>
            <w:vAlign w:val="center"/>
          </w:tcPr>
          <w:p>
            <w:pPr>
              <w:pStyle w:val="TableContents"/>
              <w:spacing w:before="0" w:after="0"/>
              <w:ind w:left="0" w:right="0" w:hanging="0"/>
              <w:rPr/>
            </w:pPr>
            <w:hyperlink w:anchor="Item1A">
              <w:r>
                <w:rPr>
                  <w:rStyle w:val="InternetLink"/>
                  <w:rFonts w:ascii="Arial;Helvetica;sans-serif" w:hAnsi="Arial;Helvetica;sans-serif"/>
                  <w:b w:val="false"/>
                  <w:i w:val="false"/>
                  <w:caps w:val="false"/>
                  <w:smallCaps w:val="false"/>
                  <w:sz w:val="20"/>
                </w:rPr>
                <w:t>Item 1A. Risk Factors</w:t>
              </w:r>
            </w:hyperlink>
          </w:p>
        </w:tc>
        <w:tc>
          <w:tcPr>
            <w:tcW w:w="5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536" w:type="dxa"/>
            <w:tcBorders/>
            <w:shd w:fill="auto" w:val="clear"/>
            <w:vAlign w:val="center"/>
          </w:tcPr>
          <w:p>
            <w:pPr>
              <w:pStyle w:val="TableContents"/>
              <w:spacing w:before="0" w:after="0"/>
              <w:ind w:left="0" w:right="0" w:hanging="0"/>
              <w:rPr/>
            </w:pPr>
            <w:hyperlink w:anchor="Item2Unregistered">
              <w:r>
                <w:rPr>
                  <w:rStyle w:val="InternetLink"/>
                  <w:rFonts w:ascii="Arial;Helvetica;sans-serif" w:hAnsi="Arial;Helvetica;sans-serif"/>
                  <w:b w:val="false"/>
                  <w:i w:val="false"/>
                  <w:caps w:val="false"/>
                  <w:smallCaps w:val="false"/>
                  <w:sz w:val="20"/>
                </w:rPr>
                <w:t>Item 2. Unregistered Sales of Equity Securities and Use of Proceeds</w:t>
              </w:r>
            </w:hyperlink>
          </w:p>
        </w:tc>
        <w:tc>
          <w:tcPr>
            <w:tcW w:w="5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536" w:type="dxa"/>
            <w:tcBorders/>
            <w:shd w:fill="auto" w:val="clear"/>
            <w:vAlign w:val="center"/>
          </w:tcPr>
          <w:p>
            <w:pPr>
              <w:pStyle w:val="TableContents"/>
              <w:spacing w:before="0" w:after="0"/>
              <w:ind w:left="0" w:right="0" w:hanging="0"/>
              <w:rPr/>
            </w:pPr>
            <w:hyperlink w:anchor="Item3Defaults">
              <w:r>
                <w:rPr>
                  <w:rStyle w:val="InternetLink"/>
                  <w:rFonts w:ascii="Arial;Helvetica;sans-serif" w:hAnsi="Arial;Helvetica;sans-serif"/>
                  <w:b w:val="false"/>
                  <w:i w:val="false"/>
                  <w:caps w:val="false"/>
                  <w:smallCaps w:val="false"/>
                  <w:sz w:val="20"/>
                </w:rPr>
                <w:t>Item 3. Defaults upon Senior Securities</w:t>
              </w:r>
            </w:hyperlink>
          </w:p>
        </w:tc>
        <w:tc>
          <w:tcPr>
            <w:tcW w:w="5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536" w:type="dxa"/>
            <w:tcBorders/>
            <w:shd w:fill="auto" w:val="clear"/>
            <w:vAlign w:val="center"/>
          </w:tcPr>
          <w:p>
            <w:pPr>
              <w:pStyle w:val="TableContents"/>
              <w:spacing w:before="0" w:after="0"/>
              <w:ind w:left="0" w:right="0" w:hanging="0"/>
              <w:rPr/>
            </w:pPr>
            <w:hyperlink w:anchor="Item4Mine">
              <w:r>
                <w:rPr>
                  <w:rStyle w:val="InternetLink"/>
                  <w:rFonts w:ascii="Arial;Helvetica;sans-serif" w:hAnsi="Arial;Helvetica;sans-serif"/>
                  <w:b w:val="false"/>
                  <w:i w:val="false"/>
                  <w:caps w:val="false"/>
                  <w:smallCaps w:val="false"/>
                  <w:sz w:val="20"/>
                </w:rPr>
                <w:t>Item 4. Mine Safety Disclosures</w:t>
              </w:r>
            </w:hyperlink>
          </w:p>
        </w:tc>
        <w:tc>
          <w:tcPr>
            <w:tcW w:w="5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536" w:type="dxa"/>
            <w:tcBorders/>
            <w:shd w:fill="auto" w:val="clear"/>
            <w:vAlign w:val="center"/>
          </w:tcPr>
          <w:p>
            <w:pPr>
              <w:pStyle w:val="TableContents"/>
              <w:spacing w:before="0" w:after="0"/>
              <w:ind w:left="0" w:right="0" w:hanging="0"/>
              <w:rPr/>
            </w:pPr>
            <w:hyperlink w:anchor="Item5Other">
              <w:r>
                <w:rPr>
                  <w:rStyle w:val="InternetLink"/>
                  <w:rFonts w:ascii="Arial;Helvetica;sans-serif" w:hAnsi="Arial;Helvetica;sans-serif"/>
                  <w:b w:val="false"/>
                  <w:i w:val="false"/>
                  <w:caps w:val="false"/>
                  <w:smallCaps w:val="false"/>
                  <w:sz w:val="20"/>
                </w:rPr>
                <w:t>Item 5. Other Information</w:t>
              </w:r>
            </w:hyperlink>
          </w:p>
        </w:tc>
        <w:tc>
          <w:tcPr>
            <w:tcW w:w="5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536" w:type="dxa"/>
            <w:tcBorders/>
            <w:shd w:fill="auto" w:val="clear"/>
            <w:vAlign w:val="center"/>
          </w:tcPr>
          <w:p>
            <w:pPr>
              <w:pStyle w:val="TableContents"/>
              <w:spacing w:before="0" w:after="0"/>
              <w:ind w:left="0" w:right="0" w:hanging="0"/>
              <w:rPr/>
            </w:pPr>
            <w:hyperlink w:anchor="Item6Exhibits">
              <w:r>
                <w:rPr>
                  <w:rStyle w:val="InternetLink"/>
                  <w:rFonts w:ascii="Arial;Helvetica;sans-serif" w:hAnsi="Arial;Helvetica;sans-serif"/>
                  <w:b w:val="false"/>
                  <w:i w:val="false"/>
                  <w:caps w:val="false"/>
                  <w:smallCaps w:val="false"/>
                  <w:sz w:val="20"/>
                </w:rPr>
                <w:t>Item 6. Exhibits</w:t>
              </w:r>
            </w:hyperlink>
          </w:p>
        </w:tc>
        <w:tc>
          <w:tcPr>
            <w:tcW w:w="5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36</w:t>
            </w:r>
          </w:p>
        </w:tc>
      </w:tr>
      <w:tr>
        <w:trPr/>
        <w:tc>
          <w:tcPr>
            <w:tcW w:w="8536" w:type="dxa"/>
            <w:tcBorders/>
            <w:shd w:fill="auto" w:val="clear"/>
            <w:vAlign w:val="center"/>
          </w:tcPr>
          <w:p>
            <w:pPr>
              <w:pStyle w:val="TableContents"/>
              <w:spacing w:before="0" w:after="0"/>
              <w:ind w:left="0" w:right="0" w:hanging="0"/>
              <w:rPr/>
            </w:pPr>
            <w:hyperlink w:anchor="SIGNATURES">
              <w:r>
                <w:rPr>
                  <w:rStyle w:val="InternetLink"/>
                  <w:rFonts w:ascii="Arial;Helvetica;sans-serif" w:hAnsi="Arial;Helvetica;sans-serif"/>
                  <w:b w:val="false"/>
                  <w:i w:val="false"/>
                  <w:caps w:val="false"/>
                  <w:smallCaps w:val="false"/>
                  <w:sz w:val="20"/>
                </w:rPr>
                <w:t>Signatures</w:t>
              </w:r>
            </w:hyperlink>
          </w:p>
        </w:tc>
        <w:tc>
          <w:tcPr>
            <w:tcW w:w="5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37</w:t>
            </w:r>
          </w:p>
        </w:tc>
      </w:tr>
    </w:tbl>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bookmarkStart w:id="45" w:name="PARTI"/>
      <w:bookmarkStart w:id="46" w:name="_e26b95c8_a1e3_4f36_88d2_bb3aa019349b"/>
      <w:bookmarkEnd w:id="45"/>
      <w:bookmarkEnd w:id="46"/>
      <w:r>
        <w:rPr>
          <w:rFonts w:ascii="Arial;Helvetica;sans-serif" w:hAnsi="Arial;Helvetica;sans-serif"/>
          <w:b/>
          <w:sz w:val="20"/>
        </w:rPr>
        <w:t>PART I. FINANCIAL INFORMATION</w:t>
      </w:r>
    </w:p>
    <w:p>
      <w:pPr>
        <w:pStyle w:val="TextBody"/>
        <w:spacing w:before="0" w:after="240"/>
        <w:ind w:left="0" w:right="0" w:hanging="0"/>
        <w:rPr>
          <w:rFonts w:ascii="Arial;Helvetica;sans-serif" w:hAnsi="Arial;Helvetica;sans-serif"/>
          <w:b/>
          <w:sz w:val="20"/>
        </w:rPr>
      </w:pPr>
      <w:bookmarkStart w:id="47" w:name="Item1Financial"/>
      <w:bookmarkEnd w:id="47"/>
      <w:r>
        <w:rPr>
          <w:rFonts w:ascii="Arial;Helvetica;sans-serif" w:hAnsi="Arial;Helvetica;sans-serif"/>
          <w:b/>
          <w:sz w:val="20"/>
        </w:rPr>
        <w:t>Item 1. Financial Statements</w:t>
      </w:r>
    </w:p>
    <w:p>
      <w:pPr>
        <w:pStyle w:val="TextBody"/>
        <w:spacing w:before="0" w:after="120"/>
        <w:ind w:left="0" w:right="0" w:hanging="0"/>
        <w:jc w:val="center"/>
        <w:rPr>
          <w:rFonts w:ascii="Arial;Helvetica;sans-serif" w:hAnsi="Arial;Helvetica;sans-serif"/>
          <w:b/>
          <w:sz w:val="20"/>
        </w:rPr>
      </w:pPr>
      <w:r>
        <w:rPr>
          <w:rFonts w:ascii="Arial;Helvetica;sans-serif" w:hAnsi="Arial;Helvetica;sans-serif"/>
          <w:b/>
          <w:sz w:val="20"/>
        </w:rPr>
        <w:t>HARMONY BIOSCIENCES HOLDINGS, INC. AND SUBSIDIARY</w:t>
      </w:r>
    </w:p>
    <w:p>
      <w:pPr>
        <w:pStyle w:val="TextBody"/>
        <w:spacing w:before="0" w:after="0"/>
        <w:ind w:left="0" w:right="0" w:hanging="0"/>
        <w:jc w:val="center"/>
        <w:rPr>
          <w:rFonts w:ascii="Arial;Helvetica;sans-serif" w:hAnsi="Arial;Helvetica;sans-serif"/>
          <w:b/>
          <w:sz w:val="20"/>
        </w:rPr>
      </w:pPr>
      <w:bookmarkStart w:id="48" w:name="BALANCESHEETS"/>
      <w:bookmarkEnd w:id="48"/>
      <w:r>
        <w:rPr>
          <w:rFonts w:ascii="Arial;Helvetica;sans-serif" w:hAnsi="Arial;Helvetica;sans-serif"/>
          <w:b/>
          <w:sz w:val="20"/>
        </w:rPr>
        <w:t>UNAUDITED CONDENSED CONSOLIDATED BALANCE SHEETS</w:t>
      </w:r>
    </w:p>
    <w:p>
      <w:pPr>
        <w:pStyle w:val="TextBody"/>
        <w:spacing w:before="0" w:after="240"/>
        <w:ind w:left="0" w:right="0" w:firstLine="720"/>
        <w:rPr/>
      </w:pPr>
      <w:r>
        <w:rPr/>
        <w:t>​</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49" w:name="Tc_ek0AKR8ekk2SsEMOJjuZ-A_41_5"/>
      <w:bookmarkStart w:id="50" w:name="Tc__kCRvgVMW0Ge1sb8Ljh-Sg_41_2"/>
      <w:bookmarkStart w:id="51" w:name="Tc_gOFmgBoYCEyI4Hgx_YsEqA_41_0"/>
      <w:bookmarkStart w:id="52" w:name="Tc_RpUSyQtm6EmU5SMzv5OX9Q_40_0"/>
      <w:bookmarkStart w:id="53" w:name="Tc_9i9KbylQ1Eq3LgV2o2e-fQ_39_0"/>
      <w:bookmarkStart w:id="54" w:name="Tc_MYS5sP07_02LUcnNJkOfSA_38_0"/>
      <w:bookmarkStart w:id="55" w:name="Tc_psPy6Mx7M0mqUSuHkn0TAQ_37_0"/>
      <w:bookmarkStart w:id="56" w:name="Tc__FJRxdnK4ken57BB0UFapg_36_0"/>
      <w:bookmarkStart w:id="57" w:name="Tc_zus9dbsPuk-9IUHWi6RbXg_35_0"/>
      <w:bookmarkStart w:id="58" w:name="Tc_gk1nN2uFXEC9L5c0ndH3XQ_34_0"/>
      <w:bookmarkStart w:id="59" w:name="Tc_wgXDoHhWgEe8Wl2zeFy_qQ_33_0"/>
      <w:bookmarkStart w:id="60" w:name="Tc_wi0_STXHeEWriyKnA6a76g_32_0"/>
      <w:bookmarkStart w:id="61" w:name="Tc_fSq_WrovOkugVIFEPTkpdg_31_0"/>
      <w:bookmarkStart w:id="62" w:name="Tc_uQP-AgUAGUS--VNgxKDx0Q_30_0"/>
      <w:bookmarkStart w:id="63" w:name="Tc_ow86ObrNQU6-Ci9r-QOaGA_29_0"/>
      <w:bookmarkStart w:id="64" w:name="Tc_EYmB8FQp90yLCPqj75jKBA_28_0"/>
      <w:bookmarkStart w:id="65" w:name="Tc_ntbg0c38bk2Xutsu113CSg_27_0"/>
      <w:bookmarkStart w:id="66" w:name="Tc_h3QCKoqiJUWmcBVj6q_xPA_26_0"/>
      <w:bookmarkStart w:id="67" w:name="Tc__XNVoXOZZk6KppUtZX8z0Q_25_0"/>
      <w:bookmarkStart w:id="68" w:name="Tc_p1T1xWKIrUqCIYmsC-iwJQ_24_0"/>
      <w:bookmarkStart w:id="69" w:name="Tc_KyNQ8GJhUUePaMWzaZ6S0Q_23_5"/>
      <w:bookmarkStart w:id="70" w:name="Tc_HcYW9cHnV0qbqXZlWVPedw_23_2"/>
      <w:bookmarkStart w:id="71" w:name="Tc_drUsQNltEEG5504ZMfWU2Q_23_0"/>
      <w:bookmarkStart w:id="72" w:name="Tc_UQtV2BGZskGUwlMgwor6hA_22_0"/>
      <w:bookmarkStart w:id="73" w:name="Tc_fUhJzHKrEUOTELLUEtTZ4w_21_0"/>
      <w:bookmarkStart w:id="74" w:name="Tc_yHbjL8DE6UCbbjOuyGzu3Q_20_5"/>
      <w:bookmarkStart w:id="75" w:name="Tc_y7Fs7-hO5kOtRdSv7v53uw_20_2"/>
      <w:bookmarkStart w:id="76" w:name="Tc_BaDbHQrKB02WwPWHSaewpg_20_0"/>
      <w:bookmarkStart w:id="77" w:name="Tc_TPc3s5reJEC5ut3BrrIwxA_19_0"/>
      <w:bookmarkStart w:id="78" w:name="Tc_JrAI7yeiykqzx1oZt_oVIg_18_0"/>
      <w:bookmarkStart w:id="79" w:name="Tc_927WOAyqCUabcO8G8pUldg_17_0"/>
      <w:bookmarkStart w:id="80" w:name="Tc_iB8Z7bSh0UqpklbHXMhiIw_16_0"/>
      <w:bookmarkStart w:id="81" w:name="Tc_8EhxRjlkoE-_G3zs0p_nQw_15_0"/>
      <w:bookmarkStart w:id="82" w:name="Tc__6-QcbFWjUy0OpZxEFZQqg_14_0"/>
      <w:bookmarkStart w:id="83" w:name="Tc_ihiptW9-HEyIZmFfEVgIbw_13_0"/>
      <w:bookmarkStart w:id="84" w:name="Tc_KecuBECIUkWOiFvhZRscgQ_12_0"/>
      <w:bookmarkStart w:id="85" w:name="Tc_dxuBYNCr6kSulj01lllE0g_11_0"/>
      <w:bookmarkStart w:id="86" w:name="Tc_RA5lDH7vWk2D6_UeUiSm0g_10_0"/>
      <w:bookmarkStart w:id="87" w:name="Tc_RGwMSQOMsUG-cihVeSV-Lg_9_0"/>
      <w:bookmarkStart w:id="88" w:name="Tc_7eGP2ePLh0-Nt5C8XA4v2A_8_0"/>
      <w:bookmarkStart w:id="89" w:name="Tc_y9h2JVPT-EKagu6Y7xSMig_7_0"/>
      <w:bookmarkStart w:id="90" w:name="Tc_bQPQSub7JkGZEn1I4eGYMQ_6_0"/>
      <w:bookmarkStart w:id="91" w:name="Tc_cqA9-1yBUE6f3G86a-tGuw_5_5"/>
      <w:bookmarkStart w:id="92" w:name="Tc_XN1O7CqYtkSA24VlIbnf4A_5_2"/>
      <w:bookmarkStart w:id="93" w:name="Tc_vgC_dnxBJ0mBebmCerhU6A_5_0"/>
      <w:bookmarkStart w:id="94" w:name="Tc_TxC0KbEX80m-J7AptLu7lw_4_0"/>
      <w:bookmarkStart w:id="95" w:name="Tc_usitIkhWwEiSS8rHr49-oA_3_0"/>
      <w:bookmarkStart w:id="96" w:name="Tc_Hyt3hWAWEk258alWkokwdA_2_5"/>
      <w:bookmarkStart w:id="97" w:name="Tc_tOLMyCTj1Uy2BfPZHL4-Dg_2_2"/>
      <w:bookmarkStart w:id="98" w:name="Tc_iQvUP14CEkGuCogSSkJERw_1_5"/>
      <w:bookmarkStart w:id="99" w:name="Tc_vYkS2EtLO0etMxVXV-e4DA_1_2"/>
      <w:bookmarkStart w:id="100" w:name="_d57e5f09_8526_4772_8923_aa0f89dc0a21"/>
      <w:bookmarkStart w:id="101" w:name="Tc_ek0AKR8ekk2SsEMOJjuZ-A_41_5"/>
      <w:bookmarkStart w:id="102" w:name="Tc__kCRvgVMW0Ge1sb8Ljh-Sg_41_2"/>
      <w:bookmarkStart w:id="103" w:name="Tc_gOFmgBoYCEyI4Hgx_YsEqA_41_0"/>
      <w:bookmarkStart w:id="104" w:name="Tc_RpUSyQtm6EmU5SMzv5OX9Q_40_0"/>
      <w:bookmarkStart w:id="105" w:name="Tc_9i9KbylQ1Eq3LgV2o2e-fQ_39_0"/>
      <w:bookmarkStart w:id="106" w:name="Tc_MYS5sP07_02LUcnNJkOfSA_38_0"/>
      <w:bookmarkStart w:id="107" w:name="Tc_psPy6Mx7M0mqUSuHkn0TAQ_37_0"/>
      <w:bookmarkStart w:id="108" w:name="Tc__FJRxdnK4ken57BB0UFapg_36_0"/>
      <w:bookmarkStart w:id="109" w:name="Tc_zus9dbsPuk-9IUHWi6RbXg_35_0"/>
      <w:bookmarkStart w:id="110" w:name="Tc_gk1nN2uFXEC9L5c0ndH3XQ_34_0"/>
      <w:bookmarkStart w:id="111" w:name="Tc_wgXDoHhWgEe8Wl2zeFy_qQ_33_0"/>
      <w:bookmarkStart w:id="112" w:name="Tc_wi0_STXHeEWriyKnA6a76g_32_0"/>
      <w:bookmarkStart w:id="113" w:name="Tc_fSq_WrovOkugVIFEPTkpdg_31_0"/>
      <w:bookmarkStart w:id="114" w:name="Tc_uQP-AgUAGUS--VNgxKDx0Q_30_0"/>
      <w:bookmarkStart w:id="115" w:name="Tc_ow86ObrNQU6-Ci9r-QOaGA_29_0"/>
      <w:bookmarkStart w:id="116" w:name="Tc_EYmB8FQp90yLCPqj75jKBA_28_0"/>
      <w:bookmarkStart w:id="117" w:name="Tc_ntbg0c38bk2Xutsu113CSg_27_0"/>
      <w:bookmarkStart w:id="118" w:name="Tc_h3QCKoqiJUWmcBVj6q_xPA_26_0"/>
      <w:bookmarkStart w:id="119" w:name="Tc__XNVoXOZZk6KppUtZX8z0Q_25_0"/>
      <w:bookmarkStart w:id="120" w:name="Tc_p1T1xWKIrUqCIYmsC-iwJQ_24_0"/>
      <w:bookmarkStart w:id="121" w:name="Tc_KyNQ8GJhUUePaMWzaZ6S0Q_23_5"/>
      <w:bookmarkStart w:id="122" w:name="Tc_HcYW9cHnV0qbqXZlWVPedw_23_2"/>
      <w:bookmarkStart w:id="123" w:name="Tc_drUsQNltEEG5504ZMfWU2Q_23_0"/>
      <w:bookmarkStart w:id="124" w:name="Tc_UQtV2BGZskGUwlMgwor6hA_22_0"/>
      <w:bookmarkStart w:id="125" w:name="Tc_fUhJzHKrEUOTELLUEtTZ4w_21_0"/>
      <w:bookmarkStart w:id="126" w:name="Tc_yHbjL8DE6UCbbjOuyGzu3Q_20_5"/>
      <w:bookmarkStart w:id="127" w:name="Tc_y7Fs7-hO5kOtRdSv7v53uw_20_2"/>
      <w:bookmarkStart w:id="128" w:name="Tc_BaDbHQrKB02WwPWHSaewpg_20_0"/>
      <w:bookmarkStart w:id="129" w:name="Tc_TPc3s5reJEC5ut3BrrIwxA_19_0"/>
      <w:bookmarkStart w:id="130" w:name="Tc_JrAI7yeiykqzx1oZt_oVIg_18_0"/>
      <w:bookmarkStart w:id="131" w:name="Tc_927WOAyqCUabcO8G8pUldg_17_0"/>
      <w:bookmarkStart w:id="132" w:name="Tc_iB8Z7bSh0UqpklbHXMhiIw_16_0"/>
      <w:bookmarkStart w:id="133" w:name="Tc_8EhxRjlkoE-_G3zs0p_nQw_15_0"/>
      <w:bookmarkStart w:id="134" w:name="Tc__6-QcbFWjUy0OpZxEFZQqg_14_0"/>
      <w:bookmarkStart w:id="135" w:name="Tc_ihiptW9-HEyIZmFfEVgIbw_13_0"/>
      <w:bookmarkStart w:id="136" w:name="Tc_KecuBECIUkWOiFvhZRscgQ_12_0"/>
      <w:bookmarkStart w:id="137" w:name="Tc_dxuBYNCr6kSulj01lllE0g_11_0"/>
      <w:bookmarkStart w:id="138" w:name="Tc_RA5lDH7vWk2D6_UeUiSm0g_10_0"/>
      <w:bookmarkStart w:id="139" w:name="Tc_RGwMSQOMsUG-cihVeSV-Lg_9_0"/>
      <w:bookmarkStart w:id="140" w:name="Tc_7eGP2ePLh0-Nt5C8XA4v2A_8_0"/>
      <w:bookmarkStart w:id="141" w:name="Tc_y9h2JVPT-EKagu6Y7xSMig_7_0"/>
      <w:bookmarkStart w:id="142" w:name="Tc_bQPQSub7JkGZEn1I4eGYMQ_6_0"/>
      <w:bookmarkStart w:id="143" w:name="Tc_cqA9-1yBUE6f3G86a-tGuw_5_5"/>
      <w:bookmarkStart w:id="144" w:name="Tc_XN1O7CqYtkSA24VlIbnf4A_5_2"/>
      <w:bookmarkStart w:id="145" w:name="Tc_vgC_dnxBJ0mBebmCerhU6A_5_0"/>
      <w:bookmarkStart w:id="146" w:name="Tc_TxC0KbEX80m-J7AptLu7lw_4_0"/>
      <w:bookmarkStart w:id="147" w:name="Tc_usitIkhWwEiSS8rHr49-oA_3_0"/>
      <w:bookmarkStart w:id="148" w:name="Tc_Hyt3hWAWEk258alWkokwdA_2_5"/>
      <w:bookmarkStart w:id="149" w:name="Tc_tOLMyCTj1Uy2BfPZHL4-Dg_2_2"/>
      <w:bookmarkStart w:id="150" w:name="Tc_iQvUP14CEkGuCogSSkJERw_1_5"/>
      <w:bookmarkStart w:id="151" w:name="Tc_vYkS2EtLO0etMxVXV-e4DA_1_2"/>
      <w:bookmarkStart w:id="152" w:name="_d57e5f09_8526_4772_8923_aa0f89dc0a21"/>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tbl>
      <w:tblPr>
        <w:tblW w:w="10205" w:type="dxa"/>
        <w:jc w:val="left"/>
        <w:tblInd w:w="0" w:type="dxa"/>
        <w:tblCellMar>
          <w:top w:w="0" w:type="dxa"/>
          <w:left w:w="0" w:type="dxa"/>
          <w:bottom w:w="0" w:type="dxa"/>
          <w:right w:w="0" w:type="dxa"/>
        </w:tblCellMar>
      </w:tblPr>
      <w:tblGrid>
        <w:gridCol w:w="7382"/>
        <w:gridCol w:w="326"/>
        <w:gridCol w:w="196"/>
        <w:gridCol w:w="772"/>
        <w:gridCol w:w="326"/>
        <w:gridCol w:w="237"/>
        <w:gridCol w:w="966"/>
      </w:tblGrid>
      <w:tr>
        <w:trPr/>
        <w:tc>
          <w:tcPr>
            <w:tcW w:w="73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w:t>
            </w:r>
          </w:p>
        </w:tc>
        <w:tc>
          <w:tcPr>
            <w:tcW w:w="966" w:type="dxa"/>
            <w:tcBorders/>
            <w:shd w:fill="auto" w:val="clear"/>
            <w:vAlign w:val="center"/>
          </w:tcPr>
          <w:p>
            <w:pPr>
              <w:pStyle w:val="TableContents"/>
              <w:spacing w:before="0" w:after="0"/>
              <w:ind w:left="0" w:right="0" w:hanging="0"/>
              <w:rPr/>
            </w:pPr>
            <w:r>
              <w:rPr/>
              <w:t>​</w:t>
            </w:r>
          </w:p>
        </w:tc>
      </w:tr>
      <w:tr>
        <w:trPr/>
        <w:tc>
          <w:tcPr>
            <w:tcW w:w="73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68"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shd w:fill="auto" w:val="clear"/>
            <w:vAlign w:val="center"/>
          </w:tcPr>
          <w:p>
            <w:pPr>
              <w:pStyle w:val="TableContents"/>
              <w:spacing w:before="0" w:after="0"/>
              <w:ind w:left="0" w:right="0" w:hanging="0"/>
              <w:rPr/>
            </w:pPr>
            <w:r>
              <w:rPr/>
              <w:t>    </w:t>
            </w:r>
          </w:p>
        </w:tc>
        <w:tc>
          <w:tcPr>
            <w:tcW w:w="1203"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73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6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shd w:fill="auto" w:val="clear"/>
            <w:vAlign w:val="center"/>
          </w:tcPr>
          <w:p>
            <w:pPr>
              <w:pStyle w:val="TableContents"/>
              <w:spacing w:before="0" w:after="0"/>
              <w:ind w:left="0" w:right="0" w:hanging="0"/>
              <w:rPr/>
            </w:pPr>
            <w:r>
              <w:rPr/>
              <w:t>    </w:t>
            </w:r>
          </w:p>
        </w:tc>
        <w:tc>
          <w:tcPr>
            <w:tcW w:w="120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ASSETS</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37" w:type="dxa"/>
            <w:tcBorders/>
            <w:shd w:fill="CCEEFF" w:val="clear"/>
            <w:vAlign w:val="center"/>
          </w:tcPr>
          <w:p>
            <w:pPr>
              <w:pStyle w:val="TableContents"/>
              <w:spacing w:before="0" w:after="0"/>
              <w:ind w:left="0" w:right="0" w:hanging="0"/>
              <w:rPr/>
            </w:pPr>
            <w:r>
              <w:rPr/>
              <w:t>​</w:t>
            </w:r>
          </w:p>
        </w:tc>
        <w:tc>
          <w:tcPr>
            <w:tcW w:w="966" w:type="dxa"/>
            <w:tcBorders/>
            <w:shd w:fill="CCEEFF" w:val="clear"/>
            <w:vAlign w:val="center"/>
          </w:tcPr>
          <w:p>
            <w:pPr>
              <w:pStyle w:val="TableContents"/>
              <w:spacing w:before="0" w:after="0"/>
              <w:ind w:left="0" w:right="0" w:hanging="0"/>
              <w:jc w:val="right"/>
              <w:rPr/>
            </w:pPr>
            <w:r>
              <w:rPr/>
              <w:t>  </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CURRENT ASSETS:</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37" w:type="dxa"/>
            <w:tcBorders/>
            <w:shd w:fill="auto" w:val="clear"/>
            <w:vAlign w:val="center"/>
          </w:tcPr>
          <w:p>
            <w:pPr>
              <w:pStyle w:val="TableContents"/>
              <w:spacing w:before="0" w:after="0"/>
              <w:ind w:left="0" w:right="0" w:hanging="0"/>
              <w:rPr/>
            </w:pPr>
            <w:r>
              <w:rPr/>
              <w:t>​</w:t>
            </w:r>
          </w:p>
        </w:tc>
        <w:tc>
          <w:tcPr>
            <w:tcW w:w="966" w:type="dxa"/>
            <w:tcBorders/>
            <w:shd w:fill="auto" w:val="clear"/>
            <w:vAlign w:val="center"/>
          </w:tcPr>
          <w:p>
            <w:pPr>
              <w:pStyle w:val="TableContents"/>
              <w:spacing w:before="0" w:after="0"/>
              <w:ind w:left="0" w:right="0" w:hanging="0"/>
              <w:jc w:val="right"/>
              <w:rPr/>
            </w:pPr>
            <w:r>
              <w:rPr/>
              <w:t>  </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Cash and cash equivalents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772"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287,962</w:t>
            </w:r>
          </w:p>
        </w:tc>
        <w:tc>
          <w:tcPr>
            <w:tcW w:w="32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966"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243,784</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Investments, short-term</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55,916</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w:t>
            </w:r>
          </w:p>
        </w:tc>
        <w:tc>
          <w:tcPr>
            <w:tcW w:w="966"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79,331</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Trade receivables, net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72"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52,575</w:t>
            </w:r>
          </w:p>
        </w:tc>
        <w:tc>
          <w:tcPr>
            <w:tcW w:w="32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pPr>
            <w:r>
              <w:rPr/>
              <w:t> </w:t>
            </w:r>
          </w:p>
        </w:tc>
        <w:tc>
          <w:tcPr>
            <w:tcW w:w="966"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54,740</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Inventory, net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4,090</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 </w:t>
            </w:r>
          </w:p>
        </w:tc>
        <w:tc>
          <w:tcPr>
            <w:tcW w:w="966"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4,297</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Prepaid expenses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72"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11,399</w:t>
            </w:r>
          </w:p>
        </w:tc>
        <w:tc>
          <w:tcPr>
            <w:tcW w:w="32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pPr>
            <w:r>
              <w:rPr/>
              <w:t> </w:t>
            </w:r>
          </w:p>
        </w:tc>
        <w:tc>
          <w:tcPr>
            <w:tcW w:w="966"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9,347</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Other current assets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6,145</w:t>
            </w:r>
          </w:p>
        </w:tc>
        <w:tc>
          <w:tcPr>
            <w:tcW w:w="326" w:type="dxa"/>
            <w:tcBorders/>
            <w:shd w:fill="auto" w:val="clear"/>
            <w:vAlign w:val="center"/>
          </w:tcPr>
          <w:p>
            <w:pPr>
              <w:pStyle w:val="TableContents"/>
              <w:spacing w:before="0" w:after="0"/>
              <w:ind w:left="0" w:right="0" w:hanging="0"/>
              <w:rPr/>
            </w:pPr>
            <w:r>
              <w:rPr/>
              <w:t>​</w:t>
            </w:r>
          </w:p>
        </w:tc>
        <w:tc>
          <w:tcPr>
            <w:tcW w:w="23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8,786</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Total current assets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418,087</w:t>
            </w:r>
          </w:p>
        </w:tc>
        <w:tc>
          <w:tcPr>
            <w:tcW w:w="326" w:type="dxa"/>
            <w:tcBorders/>
            <w:shd w:fill="CCEEFF" w:val="clear"/>
            <w:vAlign w:val="center"/>
          </w:tcPr>
          <w:p>
            <w:pPr>
              <w:pStyle w:val="TableContents"/>
              <w:spacing w:before="0" w:after="0"/>
              <w:ind w:left="0" w:right="0" w:hanging="0"/>
              <w:rPr/>
            </w:pPr>
            <w:r>
              <w:rPr/>
              <w:t>​</w:t>
            </w:r>
          </w:p>
        </w:tc>
        <w:tc>
          <w:tcPr>
            <w:tcW w:w="23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400,285</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NONCURRENT ASSETS: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 </w:t>
            </w:r>
          </w:p>
        </w:tc>
        <w:tc>
          <w:tcPr>
            <w:tcW w:w="966" w:type="dxa"/>
            <w:tcBorders/>
            <w:shd w:fill="auto" w:val="clear"/>
            <w:vAlign w:val="center"/>
          </w:tcPr>
          <w:p>
            <w:pPr>
              <w:pStyle w:val="TableContents"/>
              <w:spacing w:before="0" w:after="0"/>
              <w:ind w:left="0" w:right="0" w:hanging="0"/>
              <w:jc w:val="right"/>
              <w:rPr/>
            </w:pPr>
            <w:r>
              <w:rPr/>
              <w:t>  </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Property and equipment, net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72"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470</w:t>
            </w:r>
          </w:p>
        </w:tc>
        <w:tc>
          <w:tcPr>
            <w:tcW w:w="32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pPr>
            <w:r>
              <w:rPr/>
              <w:t> </w:t>
            </w:r>
          </w:p>
        </w:tc>
        <w:tc>
          <w:tcPr>
            <w:tcW w:w="966"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573</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Restricted cash</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750</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 </w:t>
            </w:r>
          </w:p>
        </w:tc>
        <w:tc>
          <w:tcPr>
            <w:tcW w:w="966"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750</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Investments, long-term</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48,538</w:t>
            </w:r>
          </w:p>
        </w:tc>
        <w:tc>
          <w:tcPr>
            <w:tcW w:w="32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pPr>
            <w:r>
              <w:rPr/>
              <w:t>​</w:t>
            </w:r>
          </w:p>
        </w:tc>
        <w:tc>
          <w:tcPr>
            <w:tcW w:w="966"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22,568</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Intangible assets, net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154,992</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 </w:t>
            </w:r>
          </w:p>
        </w:tc>
        <w:tc>
          <w:tcPr>
            <w:tcW w:w="966"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160,953</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Deferred tax asset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89,385</w:t>
            </w:r>
          </w:p>
        </w:tc>
        <w:tc>
          <w:tcPr>
            <w:tcW w:w="32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pPr>
            <w:r>
              <w:rPr/>
              <w:t>​</w:t>
            </w:r>
          </w:p>
        </w:tc>
        <w:tc>
          <w:tcPr>
            <w:tcW w:w="966"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85,943</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Other noncurrent assets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2,870</w:t>
            </w:r>
          </w:p>
        </w:tc>
        <w:tc>
          <w:tcPr>
            <w:tcW w:w="326" w:type="dxa"/>
            <w:tcBorders/>
            <w:shd w:fill="auto" w:val="clear"/>
            <w:vAlign w:val="center"/>
          </w:tcPr>
          <w:p>
            <w:pPr>
              <w:pStyle w:val="TableContents"/>
              <w:spacing w:before="0" w:after="0"/>
              <w:ind w:left="0" w:right="0" w:hanging="0"/>
              <w:rPr/>
            </w:pPr>
            <w:r>
              <w:rPr/>
              <w:t>​</w:t>
            </w:r>
          </w:p>
        </w:tc>
        <w:tc>
          <w:tcPr>
            <w:tcW w:w="23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2,798</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Total noncurrent assets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297,005</w:t>
            </w:r>
          </w:p>
        </w:tc>
        <w:tc>
          <w:tcPr>
            <w:tcW w:w="326" w:type="dxa"/>
            <w:tcBorders/>
            <w:shd w:fill="CCEEFF" w:val="clear"/>
            <w:vAlign w:val="center"/>
          </w:tcPr>
          <w:p>
            <w:pPr>
              <w:pStyle w:val="TableContents"/>
              <w:spacing w:before="0" w:after="0"/>
              <w:ind w:left="0" w:right="0" w:hanging="0"/>
              <w:rPr/>
            </w:pPr>
            <w:r>
              <w:rPr/>
              <w:t>​</w:t>
            </w:r>
          </w:p>
        </w:tc>
        <w:tc>
          <w:tcPr>
            <w:tcW w:w="23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273,585</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TOTAL ASSETS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77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715,092</w:t>
            </w:r>
          </w:p>
        </w:tc>
        <w:tc>
          <w:tcPr>
            <w:tcW w:w="326" w:type="dxa"/>
            <w:tcBorders/>
            <w:shd w:fill="auto" w:val="clear"/>
            <w:vAlign w:val="center"/>
          </w:tcPr>
          <w:p>
            <w:pPr>
              <w:pStyle w:val="TableContents"/>
              <w:spacing w:before="0" w:after="0"/>
              <w:ind w:left="0" w:right="0" w:hanging="0"/>
              <w:rPr/>
            </w:pPr>
            <w:r>
              <w:rPr/>
              <w:t>​</w:t>
            </w:r>
          </w:p>
        </w:tc>
        <w:tc>
          <w:tcPr>
            <w:tcW w:w="237"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9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673,870</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7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pPr>
            <w:r>
              <w:rPr/>
              <w:t> </w:t>
            </w:r>
          </w:p>
        </w:tc>
        <w:tc>
          <w:tcPr>
            <w:tcW w:w="966" w:type="dxa"/>
            <w:tcBorders/>
            <w:shd w:fill="CCEEFF" w:val="clear"/>
            <w:vAlign w:val="center"/>
          </w:tcPr>
          <w:p>
            <w:pPr>
              <w:pStyle w:val="TableContents"/>
              <w:spacing w:before="0" w:after="0"/>
              <w:ind w:left="0" w:right="0" w:hanging="0"/>
              <w:jc w:val="right"/>
              <w:rPr/>
            </w:pPr>
            <w:r>
              <w:rPr/>
              <w:t>  </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CURRENT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 </w:t>
            </w:r>
          </w:p>
        </w:tc>
        <w:tc>
          <w:tcPr>
            <w:tcW w:w="966" w:type="dxa"/>
            <w:tcBorders/>
            <w:shd w:fill="auto" w:val="clear"/>
            <w:vAlign w:val="center"/>
          </w:tcPr>
          <w:p>
            <w:pPr>
              <w:pStyle w:val="TableContents"/>
              <w:spacing w:before="0" w:after="0"/>
              <w:ind w:left="0" w:right="0" w:hanging="0"/>
              <w:jc w:val="right"/>
              <w:rPr/>
            </w:pPr>
            <w:r>
              <w:rPr/>
              <w:t>  </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Trade payables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772"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6,414</w:t>
            </w:r>
          </w:p>
        </w:tc>
        <w:tc>
          <w:tcPr>
            <w:tcW w:w="32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966"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3,786</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Accrued compensation</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5,691</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 </w:t>
            </w:r>
          </w:p>
        </w:tc>
        <w:tc>
          <w:tcPr>
            <w:tcW w:w="966"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11,532</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Accrued expenses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72"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56,810</w:t>
            </w:r>
          </w:p>
        </w:tc>
        <w:tc>
          <w:tcPr>
            <w:tcW w:w="32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pPr>
            <w:r>
              <w:rPr/>
              <w:t> </w:t>
            </w:r>
          </w:p>
        </w:tc>
        <w:tc>
          <w:tcPr>
            <w:tcW w:w="966"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59,942</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Current portion of long-term debt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6,500</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w:t>
            </w:r>
          </w:p>
        </w:tc>
        <w:tc>
          <w:tcPr>
            <w:tcW w:w="966"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2,000</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Other current liabilities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9,948</w:t>
            </w:r>
          </w:p>
        </w:tc>
        <w:tc>
          <w:tcPr>
            <w:tcW w:w="326" w:type="dxa"/>
            <w:tcBorders/>
            <w:shd w:fill="CCEEFF" w:val="clear"/>
            <w:vAlign w:val="center"/>
          </w:tcPr>
          <w:p>
            <w:pPr>
              <w:pStyle w:val="TableContents"/>
              <w:spacing w:before="0" w:after="0"/>
              <w:ind w:left="0" w:right="0" w:hanging="0"/>
              <w:rPr/>
            </w:pPr>
            <w:r>
              <w:rPr/>
              <w:t>​</w:t>
            </w:r>
          </w:p>
        </w:tc>
        <w:tc>
          <w:tcPr>
            <w:tcW w:w="23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1,624</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Total current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85,363</w:t>
            </w:r>
          </w:p>
        </w:tc>
        <w:tc>
          <w:tcPr>
            <w:tcW w:w="326" w:type="dxa"/>
            <w:tcBorders/>
            <w:shd w:fill="auto" w:val="clear"/>
            <w:vAlign w:val="center"/>
          </w:tcPr>
          <w:p>
            <w:pPr>
              <w:pStyle w:val="TableContents"/>
              <w:spacing w:before="0" w:after="0"/>
              <w:ind w:left="0" w:right="0" w:hanging="0"/>
              <w:rPr/>
            </w:pPr>
            <w:r>
              <w:rPr/>
              <w:t>​</w:t>
            </w:r>
          </w:p>
        </w:tc>
        <w:tc>
          <w:tcPr>
            <w:tcW w:w="23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78,884</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NONCURRENT LIABILITIES: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7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pPr>
            <w:r>
              <w:rPr/>
              <w:t> </w:t>
            </w:r>
          </w:p>
        </w:tc>
        <w:tc>
          <w:tcPr>
            <w:tcW w:w="966" w:type="dxa"/>
            <w:tcBorders/>
            <w:shd w:fill="CCEEFF" w:val="clear"/>
            <w:vAlign w:val="center"/>
          </w:tcPr>
          <w:p>
            <w:pPr>
              <w:pStyle w:val="TableContents"/>
              <w:spacing w:before="0" w:after="0"/>
              <w:ind w:left="0" w:right="0" w:hanging="0"/>
              <w:jc w:val="right"/>
              <w:rPr/>
            </w:pPr>
            <w:r>
              <w:rPr/>
              <w:t>  </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Long-term debt, net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185,063</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 </w:t>
            </w:r>
          </w:p>
        </w:tc>
        <w:tc>
          <w:tcPr>
            <w:tcW w:w="966"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189,647</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Other noncurrent liabilities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1,625</w:t>
            </w:r>
          </w:p>
        </w:tc>
        <w:tc>
          <w:tcPr>
            <w:tcW w:w="326" w:type="dxa"/>
            <w:tcBorders/>
            <w:shd w:fill="CCEEFF" w:val="clear"/>
            <w:vAlign w:val="center"/>
          </w:tcPr>
          <w:p>
            <w:pPr>
              <w:pStyle w:val="TableContents"/>
              <w:spacing w:before="0" w:after="0"/>
              <w:ind w:left="0" w:right="0" w:hanging="0"/>
              <w:rPr/>
            </w:pPr>
            <w:r>
              <w:rPr/>
              <w:t>​</w:t>
            </w:r>
          </w:p>
        </w:tc>
        <w:tc>
          <w:tcPr>
            <w:tcW w:w="23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2,501</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Total noncurrent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186,688</w:t>
            </w:r>
          </w:p>
        </w:tc>
        <w:tc>
          <w:tcPr>
            <w:tcW w:w="326" w:type="dxa"/>
            <w:tcBorders/>
            <w:shd w:fill="auto" w:val="clear"/>
            <w:vAlign w:val="center"/>
          </w:tcPr>
          <w:p>
            <w:pPr>
              <w:pStyle w:val="TableContents"/>
              <w:spacing w:before="0" w:after="0"/>
              <w:ind w:left="0" w:right="0" w:hanging="0"/>
              <w:rPr/>
            </w:pPr>
            <w:r>
              <w:rPr/>
              <w:t>​</w:t>
            </w:r>
          </w:p>
        </w:tc>
        <w:tc>
          <w:tcPr>
            <w:tcW w:w="23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192,148</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TOTAL LIABILITIES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272,051</w:t>
            </w:r>
          </w:p>
        </w:tc>
        <w:tc>
          <w:tcPr>
            <w:tcW w:w="326" w:type="dxa"/>
            <w:tcBorders/>
            <w:shd w:fill="CCEEFF" w:val="clear"/>
            <w:vAlign w:val="center"/>
          </w:tcPr>
          <w:p>
            <w:pPr>
              <w:pStyle w:val="TableContents"/>
              <w:spacing w:before="0" w:after="0"/>
              <w:ind w:left="0" w:right="0" w:hanging="0"/>
              <w:rPr/>
            </w:pPr>
            <w:r>
              <w:rPr/>
              <w:t>​</w:t>
            </w:r>
          </w:p>
        </w:tc>
        <w:tc>
          <w:tcPr>
            <w:tcW w:w="23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271,032</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COMMITMENTS AND CONTINGENCIES (Note 12)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 </w:t>
            </w:r>
          </w:p>
        </w:tc>
        <w:tc>
          <w:tcPr>
            <w:tcW w:w="966" w:type="dxa"/>
            <w:tcBorders/>
            <w:shd w:fill="auto" w:val="clear"/>
            <w:vAlign w:val="center"/>
          </w:tcPr>
          <w:p>
            <w:pPr>
              <w:pStyle w:val="TableContents"/>
              <w:spacing w:before="0" w:after="0"/>
              <w:ind w:left="0" w:right="0" w:hanging="0"/>
              <w:jc w:val="right"/>
              <w:rPr/>
            </w:pPr>
            <w:r>
              <w:rPr/>
              <w:t>  </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STOCKHOLDERS’ EQUITY:</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7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pPr>
            <w:r>
              <w:rPr/>
              <w:t> </w:t>
            </w:r>
          </w:p>
        </w:tc>
        <w:tc>
          <w:tcPr>
            <w:tcW w:w="966" w:type="dxa"/>
            <w:tcBorders/>
            <w:shd w:fill="CCEEFF" w:val="clear"/>
            <w:vAlign w:val="center"/>
          </w:tcPr>
          <w:p>
            <w:pPr>
              <w:pStyle w:val="TableContents"/>
              <w:spacing w:before="0" w:after="0"/>
              <w:ind w:left="0" w:right="0" w:hanging="0"/>
              <w:jc w:val="right"/>
              <w:rPr/>
            </w:pPr>
            <w:r>
              <w:rPr/>
              <w:t>  </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16"/>
              </w:rPr>
              <w:t>Common stock—$0.00001</w:t>
            </w:r>
            <w:r>
              <w:rPr>
                <w:rFonts w:ascii="Arial;Helvetica;sans-serif" w:hAnsi="Arial;Helvetica;sans-serif"/>
                <w:sz w:val="20"/>
              </w:rPr>
              <w:t xml:space="preserve"> </w:t>
            </w:r>
            <w:r>
              <w:rPr>
                <w:rFonts w:ascii="Arial;Helvetica;sans-serif" w:hAnsi="Arial;Helvetica;sans-serif"/>
                <w:sz w:val="16"/>
              </w:rPr>
              <w:t>par value; 500,000,000</w:t>
            </w:r>
            <w:r>
              <w:rPr>
                <w:rFonts w:ascii="Arial;Helvetica;sans-serif" w:hAnsi="Arial;Helvetica;sans-serif"/>
                <w:sz w:val="20"/>
              </w:rPr>
              <w:t xml:space="preserve"> </w:t>
            </w:r>
            <w:r>
              <w:rPr>
                <w:rFonts w:ascii="Arial;Helvetica;sans-serif" w:hAnsi="Arial;Helvetica;sans-serif"/>
                <w:sz w:val="16"/>
              </w:rPr>
              <w:t>shares authorized at March 31, 2023 and December 31, 2022, respectively; 59,954,618</w:t>
            </w:r>
            <w:r>
              <w:rPr>
                <w:rFonts w:ascii="Arial;Helvetica;sans-serif" w:hAnsi="Arial;Helvetica;sans-serif"/>
                <w:sz w:val="20"/>
              </w:rPr>
              <w:t xml:space="preserve"> </w:t>
            </w:r>
            <w:r>
              <w:rPr>
                <w:rFonts w:ascii="Arial;Helvetica;sans-serif" w:hAnsi="Arial;Helvetica;sans-serif"/>
                <w:sz w:val="16"/>
              </w:rPr>
              <w:t>shares and 59,615,731</w:t>
            </w:r>
            <w:r>
              <w:rPr>
                <w:rFonts w:ascii="Arial;Helvetica;sans-serif" w:hAnsi="Arial;Helvetica;sans-serif"/>
                <w:sz w:val="20"/>
              </w:rPr>
              <w:t xml:space="preserve"> </w:t>
            </w:r>
            <w:r>
              <w:rPr>
                <w:rFonts w:ascii="Arial;Helvetica;sans-serif" w:hAnsi="Arial;Helvetica;sans-serif"/>
                <w:b w:val="false"/>
                <w:i w:val="false"/>
                <w:caps w:val="false"/>
                <w:smallCaps w:val="false"/>
                <w:sz w:val="16"/>
              </w:rPr>
              <w:t>issued</w:t>
            </w:r>
            <w:r>
              <w:rPr>
                <w:rFonts w:ascii="Arial;Helvetica;sans-serif" w:hAnsi="Arial;Helvetica;sans-serif"/>
                <w:sz w:val="20"/>
              </w:rPr>
              <w:t xml:space="preserve"> </w:t>
            </w:r>
            <w:r>
              <w:rPr>
                <w:rFonts w:ascii="Arial;Helvetica;sans-serif" w:hAnsi="Arial;Helvetica;sans-serif"/>
                <w:sz w:val="16"/>
              </w:rPr>
              <w:t xml:space="preserve">and </w:t>
            </w:r>
            <w:r>
              <w:rPr>
                <w:rFonts w:ascii="Arial;Helvetica;sans-serif" w:hAnsi="Arial;Helvetica;sans-serif"/>
                <w:b w:val="false"/>
                <w:i w:val="false"/>
                <w:caps w:val="false"/>
                <w:smallCaps w:val="false"/>
                <w:sz w:val="16"/>
              </w:rPr>
              <w:t>outstanding</w:t>
            </w:r>
            <w:r>
              <w:rPr>
                <w:rFonts w:ascii="Arial;Helvetica;sans-serif" w:hAnsi="Arial;Helvetica;sans-serif"/>
                <w:sz w:val="20"/>
              </w:rPr>
              <w:t xml:space="preserve"> </w:t>
            </w:r>
            <w:r>
              <w:rPr>
                <w:rFonts w:ascii="Arial;Helvetica;sans-serif" w:hAnsi="Arial;Helvetica;sans-serif"/>
                <w:sz w:val="16"/>
              </w:rPr>
              <w:t>at March 31, 2023 and December 31, 2022, respectively</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 </w:t>
            </w:r>
          </w:p>
        </w:tc>
        <w:tc>
          <w:tcPr>
            <w:tcW w:w="966"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Additional paid in capital</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72"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685,716</w:t>
            </w:r>
          </w:p>
        </w:tc>
        <w:tc>
          <w:tcPr>
            <w:tcW w:w="32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pPr>
            <w:r>
              <w:rPr/>
              <w:t> </w:t>
            </w:r>
          </w:p>
        </w:tc>
        <w:tc>
          <w:tcPr>
            <w:tcW w:w="966"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675,118</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Accumulated other comprehensive income (loss)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(31)</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w:t>
            </w:r>
          </w:p>
        </w:tc>
        <w:tc>
          <w:tcPr>
            <w:tcW w:w="966"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(151)</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Accumulated deficit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(242,645)</w:t>
            </w:r>
          </w:p>
        </w:tc>
        <w:tc>
          <w:tcPr>
            <w:tcW w:w="326" w:type="dxa"/>
            <w:tcBorders/>
            <w:shd w:fill="CCEEFF" w:val="clear"/>
            <w:vAlign w:val="center"/>
          </w:tcPr>
          <w:p>
            <w:pPr>
              <w:pStyle w:val="TableContents"/>
              <w:spacing w:before="0" w:after="0"/>
              <w:ind w:left="0" w:right="0" w:hanging="0"/>
              <w:rPr/>
            </w:pPr>
            <w:r>
              <w:rPr/>
              <w:t>​</w:t>
            </w:r>
          </w:p>
        </w:tc>
        <w:tc>
          <w:tcPr>
            <w:tcW w:w="23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(272,130)</w:t>
            </w:r>
          </w:p>
        </w:tc>
      </w:tr>
      <w:tr>
        <w:trPr/>
        <w:tc>
          <w:tcPr>
            <w:tcW w:w="7382"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TOTAL STOCKHOLDERS’ EQUITY</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443,041</w:t>
            </w:r>
          </w:p>
        </w:tc>
        <w:tc>
          <w:tcPr>
            <w:tcW w:w="326" w:type="dxa"/>
            <w:tcBorders/>
            <w:shd w:fill="auto" w:val="clear"/>
            <w:vAlign w:val="center"/>
          </w:tcPr>
          <w:p>
            <w:pPr>
              <w:pStyle w:val="TableContents"/>
              <w:spacing w:before="0" w:after="0"/>
              <w:ind w:left="0" w:right="0" w:hanging="0"/>
              <w:rPr/>
            </w:pPr>
            <w:r>
              <w:rPr/>
              <w:t>​</w:t>
            </w:r>
          </w:p>
        </w:tc>
        <w:tc>
          <w:tcPr>
            <w:tcW w:w="23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402,838</w:t>
            </w:r>
          </w:p>
        </w:tc>
      </w:tr>
      <w:tr>
        <w:trPr/>
        <w:tc>
          <w:tcPr>
            <w:tcW w:w="7382"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TOTAL 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77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715,092</w:t>
            </w:r>
          </w:p>
        </w:tc>
        <w:tc>
          <w:tcPr>
            <w:tcW w:w="326" w:type="dxa"/>
            <w:tcBorders/>
            <w:shd w:fill="CCEEFF" w:val="clear"/>
            <w:vAlign w:val="center"/>
          </w:tcPr>
          <w:p>
            <w:pPr>
              <w:pStyle w:val="TableContents"/>
              <w:spacing w:before="0" w:after="0"/>
              <w:ind w:left="0" w:right="0" w:hanging="0"/>
              <w:rPr/>
            </w:pPr>
            <w:r>
              <w:rPr/>
              <w:t>​</w:t>
            </w:r>
          </w:p>
        </w:tc>
        <w:tc>
          <w:tcPr>
            <w:tcW w:w="237"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96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Arial;Helvetica;sans-serif" w:hAnsi="Arial;Helvetica;sans-serif"/>
                <w:sz w:val="16"/>
              </w:rPr>
            </w:pPr>
            <w:r>
              <w:rPr>
                <w:rFonts w:ascii="Arial;Helvetica;sans-serif" w:hAnsi="Arial;Helvetica;sans-serif"/>
                <w:sz w:val="16"/>
              </w:rPr>
              <w:t>673,870</w:t>
            </w:r>
          </w:p>
        </w:tc>
      </w:tr>
    </w:tbl>
    <w:p>
      <w:pPr>
        <w:pStyle w:val="TextBody"/>
        <w:spacing w:before="0" w:after="0"/>
        <w:ind w:left="0" w:right="0" w:hanging="0"/>
        <w:rPr/>
      </w:pPr>
      <w:r>
        <w:rPr/>
        <w:t>​</w:t>
      </w:r>
    </w:p>
    <w:p>
      <w:pPr>
        <w:pStyle w:val="TextBody"/>
        <w:spacing w:before="0" w:after="240"/>
        <w:ind w:left="0" w:right="0" w:firstLine="720"/>
        <w:jc w:val="center"/>
        <w:rPr>
          <w:rFonts w:ascii="Arial;Helvetica;sans-serif" w:hAnsi="Arial;Helvetica;sans-serif"/>
          <w:sz w:val="20"/>
        </w:rPr>
      </w:pPr>
      <w:r>
        <w:rPr>
          <w:rFonts w:ascii="Arial;Helvetica;sans-serif" w:hAnsi="Arial;Helvetica;sans-serif"/>
          <w:sz w:val="20"/>
        </w:rPr>
        <w:t>The accompanying notes are an integral part of the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jc w:val="center"/>
        <w:rPr>
          <w:rFonts w:ascii="Arial;Helvetica;sans-serif" w:hAnsi="Arial;Helvetica;sans-serif"/>
          <w:b/>
          <w:sz w:val="20"/>
        </w:rPr>
      </w:pPr>
      <w:bookmarkStart w:id="153" w:name="_b56feb80_5366_4726_9864_d7532ca22c22"/>
      <w:bookmarkEnd w:id="153"/>
      <w:r>
        <w:rPr>
          <w:rFonts w:ascii="Arial;Helvetica;sans-serif" w:hAnsi="Arial;Helvetica;sans-serif"/>
          <w:b/>
          <w:sz w:val="20"/>
        </w:rPr>
        <w:t>HARMONY BIOSCIENCES HOLDINGS, INC. AND SUBSIDIARY</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UNAUDITED CONDENSED CONSOLIDATED</w:t>
      </w:r>
    </w:p>
    <w:p>
      <w:pPr>
        <w:pStyle w:val="TextBody"/>
        <w:spacing w:before="0" w:after="0"/>
        <w:ind w:left="0" w:right="0" w:hanging="0"/>
        <w:jc w:val="center"/>
        <w:rPr>
          <w:rFonts w:ascii="Arial;Helvetica;sans-serif" w:hAnsi="Arial;Helvetica;sans-serif"/>
          <w:b/>
          <w:sz w:val="20"/>
        </w:rPr>
      </w:pPr>
      <w:bookmarkStart w:id="154" w:name="COMPREHENSIVEINCOME"/>
      <w:bookmarkEnd w:id="154"/>
      <w:r>
        <w:rPr>
          <w:rFonts w:ascii="Arial;Helvetica;sans-serif" w:hAnsi="Arial;Helvetica;sans-serif"/>
          <w:b/>
          <w:sz w:val="20"/>
        </w:rPr>
        <w:t>STATEMENTS OF OPERATIONS AND COMPREHENSIVE INCOME</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155" w:name="Tc_wnmn7Vvzm0KeTlVvHZYoGA_23_0"/>
      <w:bookmarkStart w:id="156" w:name="Tc_lBBrhfP_UUqoobYhYhdeTw_22_0"/>
      <w:bookmarkStart w:id="157" w:name="Tc_Qp_VEINbckCRVvi4_gfQPQ_21_5"/>
      <w:bookmarkStart w:id="158" w:name="Tc_Q-PxnRE0CE6767e1UkUQTw_21_2"/>
      <w:bookmarkStart w:id="159" w:name="Tc_x7D7n95ZzEyjB40gOnpAQw_21_0"/>
      <w:bookmarkStart w:id="160" w:name="Tc_2u9PTMa1nEmB-XldYrtRGQ_20_5"/>
      <w:bookmarkStart w:id="161" w:name="Tc_t_DWDklpgke29d8ruDpoJw_20_2"/>
      <w:bookmarkStart w:id="162" w:name="Tc_CwV_RMCA1UmkXP_3kH0Dzg_20_0"/>
      <w:bookmarkStart w:id="163" w:name="Tc_nyDEMaa6lEetci10T2ofmg_19_0"/>
      <w:bookmarkStart w:id="164" w:name="Tc_aXLy1Wn6s0Wjev4qSSxP4A_18_5"/>
      <w:bookmarkStart w:id="165" w:name="Tc_p4Nn7R0JwEKpgjHf6liGLg_18_2"/>
      <w:bookmarkStart w:id="166" w:name="Tc_-UBR-2UJM0m0iVQAG4GYzQ_18_0"/>
      <w:bookmarkStart w:id="167" w:name="Tc_Y6m9nKtHsUWGKFkcrsVdkQ_17_6"/>
      <w:bookmarkStart w:id="168" w:name="Tc_UCzkqKX7CEuYZ30ITeRE_A_17_0"/>
      <w:bookmarkStart w:id="169" w:name="Tc__3My9MNfu0iNO97iJ0aNfw_16_5"/>
      <w:bookmarkStart w:id="170" w:name="Tc_tWc57jy-t06CFGUwCpJf5g_16_2"/>
      <w:bookmarkStart w:id="171" w:name="Tc_sAxAYYVNm0e4Aik7sNLidA_16_0"/>
      <w:bookmarkStart w:id="172" w:name="Tc_wFiPyOdTb0eJ_YWF4WV13A_15_0"/>
      <w:bookmarkStart w:id="173" w:name="Tc_P7F_62LuWUyLKvREB8M6qg_14_0"/>
      <w:bookmarkStart w:id="174" w:name="Tc__k2c46fFXUqOrAz5VoKJgA_13_0"/>
      <w:bookmarkStart w:id="175" w:name="Tc_j9MxDM50U0-8tNddwi2i_Q_12_0"/>
      <w:bookmarkStart w:id="176" w:name="Tc_xb2baLOx-E6-sndiOmFZ0A_11_0"/>
      <w:bookmarkStart w:id="177" w:name="Tc_Wg8rGh53I0uVqMGSodMHXw_10_0"/>
      <w:bookmarkStart w:id="178" w:name="Tc_85vVNT1rh06tuvX9NFARMw_9_0"/>
      <w:bookmarkStart w:id="179" w:name="Tc_Pch7syZx5EycTbi9NTf4RA_8_0"/>
      <w:bookmarkStart w:id="180" w:name="Tc_X7JWMX18IEWChSGKA_HJQw_7_0"/>
      <w:bookmarkStart w:id="181" w:name="Tc_a24QbtEjekea84fO6bJ9Ig_6_0"/>
      <w:bookmarkStart w:id="182" w:name="Tc_Yu0Izgxrq0C8ynKk2znxKA_5_0"/>
      <w:bookmarkStart w:id="183" w:name="Tc_miZiyzvFjEmLjS6Y1LEFgA_3_5"/>
      <w:bookmarkStart w:id="184" w:name="Tc_uxxXlHM3IkGLQZrnaQSYeg_3_2"/>
      <w:bookmarkStart w:id="185" w:name="Tc_3yBE8jZtaUKOiMDo9LoI4A_2_5"/>
      <w:bookmarkStart w:id="186" w:name="Tc_LKo0xMXaBE6dVoeGLHZkGg_2_2"/>
      <w:bookmarkStart w:id="187" w:name="Tc_KAi-6txHTUSMxovgdsHIqQ_1_2"/>
      <w:bookmarkStart w:id="188" w:name="_5eb6dfc8_32db_4896_a5f1_a634704a67ec"/>
      <w:bookmarkStart w:id="189" w:name="Tc_wnmn7Vvzm0KeTlVvHZYoGA_23_0"/>
      <w:bookmarkStart w:id="190" w:name="Tc_lBBrhfP_UUqoobYhYhdeTw_22_0"/>
      <w:bookmarkStart w:id="191" w:name="Tc_Qp_VEINbckCRVvi4_gfQPQ_21_5"/>
      <w:bookmarkStart w:id="192" w:name="Tc_Q-PxnRE0CE6767e1UkUQTw_21_2"/>
      <w:bookmarkStart w:id="193" w:name="Tc_x7D7n95ZzEyjB40gOnpAQw_21_0"/>
      <w:bookmarkStart w:id="194" w:name="Tc_2u9PTMa1nEmB-XldYrtRGQ_20_5"/>
      <w:bookmarkStart w:id="195" w:name="Tc_t_DWDklpgke29d8ruDpoJw_20_2"/>
      <w:bookmarkStart w:id="196" w:name="Tc_CwV_RMCA1UmkXP_3kH0Dzg_20_0"/>
      <w:bookmarkStart w:id="197" w:name="Tc_nyDEMaa6lEetci10T2ofmg_19_0"/>
      <w:bookmarkStart w:id="198" w:name="Tc_aXLy1Wn6s0Wjev4qSSxP4A_18_5"/>
      <w:bookmarkStart w:id="199" w:name="Tc_p4Nn7R0JwEKpgjHf6liGLg_18_2"/>
      <w:bookmarkStart w:id="200" w:name="Tc_-UBR-2UJM0m0iVQAG4GYzQ_18_0"/>
      <w:bookmarkStart w:id="201" w:name="Tc_Y6m9nKtHsUWGKFkcrsVdkQ_17_6"/>
      <w:bookmarkStart w:id="202" w:name="Tc_UCzkqKX7CEuYZ30ITeRE_A_17_0"/>
      <w:bookmarkStart w:id="203" w:name="Tc__3My9MNfu0iNO97iJ0aNfw_16_5"/>
      <w:bookmarkStart w:id="204" w:name="Tc_tWc57jy-t06CFGUwCpJf5g_16_2"/>
      <w:bookmarkStart w:id="205" w:name="Tc_sAxAYYVNm0e4Aik7sNLidA_16_0"/>
      <w:bookmarkStart w:id="206" w:name="Tc_wFiPyOdTb0eJ_YWF4WV13A_15_0"/>
      <w:bookmarkStart w:id="207" w:name="Tc_P7F_62LuWUyLKvREB8M6qg_14_0"/>
      <w:bookmarkStart w:id="208" w:name="Tc__k2c46fFXUqOrAz5VoKJgA_13_0"/>
      <w:bookmarkStart w:id="209" w:name="Tc_j9MxDM50U0-8tNddwi2i_Q_12_0"/>
      <w:bookmarkStart w:id="210" w:name="Tc_xb2baLOx-E6-sndiOmFZ0A_11_0"/>
      <w:bookmarkStart w:id="211" w:name="Tc_Wg8rGh53I0uVqMGSodMHXw_10_0"/>
      <w:bookmarkStart w:id="212" w:name="Tc_85vVNT1rh06tuvX9NFARMw_9_0"/>
      <w:bookmarkStart w:id="213" w:name="Tc_Pch7syZx5EycTbi9NTf4RA_8_0"/>
      <w:bookmarkStart w:id="214" w:name="Tc_X7JWMX18IEWChSGKA_HJQw_7_0"/>
      <w:bookmarkStart w:id="215" w:name="Tc_a24QbtEjekea84fO6bJ9Ig_6_0"/>
      <w:bookmarkStart w:id="216" w:name="Tc_Yu0Izgxrq0C8ynKk2znxKA_5_0"/>
      <w:bookmarkStart w:id="217" w:name="Tc_miZiyzvFjEmLjS6Y1LEFgA_3_5"/>
      <w:bookmarkStart w:id="218" w:name="Tc_uxxXlHM3IkGLQZrnaQSYeg_3_2"/>
      <w:bookmarkStart w:id="219" w:name="Tc_3yBE8jZtaUKOiMDo9LoI4A_2_5"/>
      <w:bookmarkStart w:id="220" w:name="Tc_LKo0xMXaBE6dVoeGLHZkGg_2_2"/>
      <w:bookmarkStart w:id="221" w:name="Tc_KAi-6txHTUSMxovgdsHIqQ_1_2"/>
      <w:bookmarkStart w:id="222" w:name="_5eb6dfc8_32db_4896_a5f1_a634704a67ec"/>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tbl>
      <w:tblPr>
        <w:tblW w:w="8832" w:type="dxa"/>
        <w:jc w:val="left"/>
        <w:tblInd w:w="0" w:type="dxa"/>
        <w:tblCellMar>
          <w:top w:w="0" w:type="dxa"/>
          <w:left w:w="0" w:type="dxa"/>
          <w:bottom w:w="0" w:type="dxa"/>
          <w:right w:w="0" w:type="dxa"/>
        </w:tblCellMar>
      </w:tblPr>
      <w:tblGrid>
        <w:gridCol w:w="5581"/>
        <w:gridCol w:w="326"/>
        <w:gridCol w:w="211"/>
        <w:gridCol w:w="1066"/>
        <w:gridCol w:w="326"/>
        <w:gridCol w:w="211"/>
        <w:gridCol w:w="1111"/>
      </w:tblGrid>
      <w:tr>
        <w:trPr/>
        <w:tc>
          <w:tcPr>
            <w:tcW w:w="55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543935" cy="175260"/>
                      <wp:effectExtent l="0" t="0" r="0" b="0"/>
                      <wp:wrapNone/>
                      <wp:docPr id="8" name="Frame8"/>
                      <a:graphic xmlns:a="http://schemas.openxmlformats.org/drawingml/2006/main">
                        <a:graphicData uri="http://schemas.microsoft.com/office/word/2010/wordprocessingShape">
                          <wps:wsp>
                            <wps:cNvSpPr txBox="1"/>
                            <wps:spPr>
                              <a:xfrm>
                                <a:off x="0" y="0"/>
                                <a:ext cx="3543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76910" cy="175260"/>
                      <wp:effectExtent l="0" t="0" r="0" b="0"/>
                      <wp:wrapNone/>
                      <wp:docPr id="11" name="Frame11"/>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05485" cy="175260"/>
                      <wp:effectExtent l="0" t="0" r="0" b="0"/>
                      <wp:wrapNone/>
                      <wp:docPr id="14" name="Frame14"/>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92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55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7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3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5581" w:type="dxa"/>
            <w:tcBorders/>
            <w:shd w:fill="CCEEFF" w:val="clear"/>
            <w:vAlign w:val="center"/>
          </w:tcPr>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product revenues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119,126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11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85,313</w:t>
            </w:r>
          </w:p>
        </w:tc>
      </w:tr>
      <w:tr>
        <w:trPr/>
        <w:tc>
          <w:tcPr>
            <w:tcW w:w="5581" w:type="dxa"/>
            <w:tcBorders/>
            <w:shd w:fill="auto" w:val="clear"/>
            <w:vAlign w:val="center"/>
          </w:tcPr>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 of product sold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20,780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14,716</w:t>
            </w:r>
          </w:p>
        </w:tc>
      </w:tr>
      <w:tr>
        <w:trPr/>
        <w:tc>
          <w:tcPr>
            <w:tcW w:w="558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98,346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70,597</w:t>
            </w:r>
          </w:p>
        </w:tc>
      </w:tr>
      <w:tr>
        <w:trPr/>
        <w:tc>
          <w:tcPr>
            <w:tcW w:w="558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pPr>
            <w:r>
              <w:rPr/>
              <w:t>  </w:t>
            </w:r>
          </w:p>
        </w:tc>
      </w:tr>
      <w:tr>
        <w:trPr/>
        <w:tc>
          <w:tcPr>
            <w:tcW w:w="558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13,289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7,578</w:t>
            </w:r>
          </w:p>
        </w:tc>
      </w:tr>
      <w:tr>
        <w:trPr/>
        <w:tc>
          <w:tcPr>
            <w:tcW w:w="558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Sales and marketing</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22,572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17,583</w:t>
            </w:r>
          </w:p>
        </w:tc>
      </w:tr>
      <w:tr>
        <w:trPr/>
        <w:tc>
          <w:tcPr>
            <w:tcW w:w="558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22,062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17,880</w:t>
            </w:r>
          </w:p>
        </w:tc>
      </w:tr>
      <w:tr>
        <w:trPr/>
        <w:tc>
          <w:tcPr>
            <w:tcW w:w="558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57,923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43,041</w:t>
            </w:r>
          </w:p>
        </w:tc>
      </w:tr>
      <w:tr>
        <w:trPr/>
        <w:tc>
          <w:tcPr>
            <w:tcW w:w="558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Operating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40,423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27,556</w:t>
            </w:r>
          </w:p>
        </w:tc>
      </w:tr>
      <w:tr>
        <w:trPr/>
        <w:tc>
          <w:tcPr>
            <w:tcW w:w="558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Other income (expense),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w:t>
            </w:r>
          </w:p>
        </w:tc>
      </w:tr>
      <w:tr>
        <w:trPr/>
        <w:tc>
          <w:tcPr>
            <w:tcW w:w="558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Interest expense,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(2,645)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(4,169)</w:t>
            </w:r>
          </w:p>
        </w:tc>
      </w:tr>
      <w:tr>
        <w:trPr/>
        <w:tc>
          <w:tcPr>
            <w:tcW w:w="558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Income before income taxes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37,780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23,385</w:t>
            </w:r>
          </w:p>
        </w:tc>
      </w:tr>
      <w:tr>
        <w:trPr/>
        <w:tc>
          <w:tcPr>
            <w:tcW w:w="558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Income tax expense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(8,295)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(1,900)</w:t>
            </w:r>
          </w:p>
        </w:tc>
      </w:tr>
      <w:tr>
        <w:trPr/>
        <w:tc>
          <w:tcPr>
            <w:tcW w:w="558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xml:space="preserve">Net income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29,485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1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21,485</w:t>
            </w:r>
          </w:p>
        </w:tc>
      </w:tr>
      <w:tr>
        <w:trPr/>
        <w:tc>
          <w:tcPr>
            <w:tcW w:w="558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Unrealized gain on investments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58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xml:space="preserve">Comprehensive income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29,605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1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21,485</w:t>
            </w:r>
          </w:p>
        </w:tc>
      </w:tr>
      <w:tr>
        <w:trPr/>
        <w:tc>
          <w:tcPr>
            <w:tcW w:w="558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EARNINGS PER SHARE: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pPr>
            <w:r>
              <w:rPr/>
              <w:t>  </w:t>
            </w:r>
          </w:p>
        </w:tc>
      </w:tr>
      <w:tr>
        <w:trPr/>
        <w:tc>
          <w:tcPr>
            <w:tcW w:w="558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Basic</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0.49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1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0.36</w:t>
            </w:r>
          </w:p>
        </w:tc>
      </w:tr>
      <w:tr>
        <w:trPr/>
        <w:tc>
          <w:tcPr>
            <w:tcW w:w="558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Diluted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0.48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11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0.35</w:t>
            </w:r>
          </w:p>
        </w:tc>
      </w:tr>
      <w:tr>
        <w:trPr/>
        <w:tc>
          <w:tcPr>
            <w:tcW w:w="558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Weighted average number of shares of common stock - basic</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59,732,157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58,908,526</w:t>
            </w:r>
          </w:p>
        </w:tc>
      </w:tr>
      <w:tr>
        <w:trPr/>
        <w:tc>
          <w:tcPr>
            <w:tcW w:w="558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Weighted average number of shares of common stock - diluted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61,221,511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60,586,875</w:t>
            </w:r>
          </w:p>
        </w:tc>
      </w:tr>
      <w:tr>
        <w:trPr/>
        <w:tc>
          <w:tcPr>
            <w:tcW w:w="55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240"/>
        <w:ind w:left="0" w:right="0" w:firstLine="720"/>
        <w:jc w:val="center"/>
        <w:rPr>
          <w:rFonts w:ascii="Arial;Helvetica;sans-serif" w:hAnsi="Arial;Helvetica;sans-serif"/>
          <w:sz w:val="20"/>
        </w:rPr>
      </w:pPr>
      <w:r>
        <w:rPr>
          <w:rFonts w:ascii="Arial;Helvetica;sans-serif" w:hAnsi="Arial;Helvetica;sans-serif"/>
          <w:sz w:val="20"/>
        </w:rPr>
        <w:t>The accompanying notes are an integral part of the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jc w:val="center"/>
        <w:rPr>
          <w:rFonts w:ascii="Arial;Helvetica;sans-serif" w:hAnsi="Arial;Helvetica;sans-serif"/>
          <w:b/>
          <w:sz w:val="20"/>
        </w:rPr>
      </w:pPr>
      <w:bookmarkStart w:id="223" w:name="_Hlk116857848"/>
      <w:bookmarkStart w:id="224" w:name="_b126e1ed_c763_422e_8757_e6dd13a05782"/>
      <w:bookmarkEnd w:id="223"/>
      <w:bookmarkEnd w:id="224"/>
      <w:r>
        <w:rPr>
          <w:rFonts w:ascii="Arial;Helvetica;sans-serif" w:hAnsi="Arial;Helvetica;sans-serif"/>
          <w:b/>
          <w:sz w:val="20"/>
        </w:rPr>
        <w:t>HARMONY BIOSCIENCES HOLDINGS, INC. AND SUBSIDIARY</w:t>
      </w:r>
    </w:p>
    <w:p>
      <w:pPr>
        <w:pStyle w:val="TextBody"/>
        <w:spacing w:before="0" w:after="0"/>
        <w:ind w:left="0" w:right="0" w:hanging="0"/>
        <w:jc w:val="center"/>
        <w:rPr>
          <w:rFonts w:ascii="Arial;Helvetica;sans-serif" w:hAnsi="Arial;Helvetica;sans-serif"/>
          <w:b/>
          <w:sz w:val="20"/>
        </w:rPr>
      </w:pPr>
      <w:bookmarkStart w:id="225" w:name="EQUITY"/>
      <w:bookmarkEnd w:id="225"/>
      <w:r>
        <w:rPr>
          <w:rFonts w:ascii="Arial;Helvetica;sans-serif" w:hAnsi="Arial;Helvetica;sans-serif"/>
          <w:b/>
          <w:sz w:val="20"/>
        </w:rPr>
        <w:t xml:space="preserve">UNAUDITED CONDENSED CONSOLIDATED STATEMENTS OF STOCKHOLDERS’ EQUITY </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Normal"/>
        <w:spacing w:before="0" w:after="0"/>
        <w:rPr>
          <w:sz w:val="4"/>
          <w:szCs w:val="4"/>
        </w:rPr>
      </w:pPr>
      <w:r>
        <w:rPr>
          <w:sz w:val="4"/>
          <w:szCs w:val="4"/>
        </w:rPr>
      </w:r>
      <w:bookmarkStart w:id="226" w:name="Tc_R7lk-mQxEk-9r6UaITJBfQ_10_16"/>
      <w:bookmarkStart w:id="227" w:name="Tc_a-S8wD1dKkumIgO3cPzJyQ_10_13"/>
      <w:bookmarkStart w:id="228" w:name="Tc_gDnWWPRVsUezKaYtUaCf9A_10_10"/>
      <w:bookmarkStart w:id="229" w:name="Tc_kGEO5f89JU2gruVS9wljxw_10_7"/>
      <w:bookmarkStart w:id="230" w:name="Tc_N6Z4E5GAfEiIxt-jIcs6Yw_10_4"/>
      <w:bookmarkStart w:id="231" w:name="Tc_KRDzFBAA_UWO66_Z23Hh-g_10_0"/>
      <w:bookmarkStart w:id="232" w:name="Tc_USzaS_m43k6ZSEVkKkLNug_9_14"/>
      <w:bookmarkStart w:id="233" w:name="Tc_L2O9hcaO-ke3fbZTB91JuQ_9_11"/>
      <w:bookmarkStart w:id="234" w:name="Tc_l7pBR1bB8020RzL22n2cAw_9_5"/>
      <w:bookmarkStart w:id="235" w:name="Tc_W8okqkOud06ooOWyeQ5-xA_9_2"/>
      <w:bookmarkStart w:id="236" w:name="Tc_81YZoR3P4kSvLFB94zhikg_9_0"/>
      <w:bookmarkStart w:id="237" w:name="Tc_qkiwXti49kWDLmZsOWREvA_8_14"/>
      <w:bookmarkStart w:id="238" w:name="Tc_IO6t8WebBEGFuvF6pLztNg_8_11"/>
      <w:bookmarkStart w:id="239" w:name="Tc_yPzrYJCC30-dbgL6TR1cLA_8_5"/>
      <w:bookmarkStart w:id="240" w:name="Tc_5BAf-IRzbEqca-z9hkRwuA_8_0"/>
      <w:bookmarkStart w:id="241" w:name="Tc_Hbi8kEtKjUWerPv1PIU4uw_7_14"/>
      <w:bookmarkStart w:id="242" w:name="Tc_BJcsPeTAO0-csye001k8Kg_7_8"/>
      <w:bookmarkStart w:id="243" w:name="Tc_CFNyv7FQQEajGnTDaxy4cw_7_5"/>
      <w:bookmarkStart w:id="244" w:name="Tc_MiE3QUP4N0OTn2SGpu95-Q_7_2"/>
      <w:bookmarkStart w:id="245" w:name="Tc_QvUDOKh150uhNCU5A0fMBg_7_0"/>
      <w:bookmarkStart w:id="246" w:name="Tc_Nh5CmsTi4kW640MHy8ls2w_6_11"/>
      <w:bookmarkStart w:id="247" w:name="Tc_xaBMjRh9ikWSTfHD0Ghg6A_6_8"/>
      <w:bookmarkStart w:id="248" w:name="Tc_9h6HraDqtkioCWNGzq-D3A_6_5"/>
      <w:bookmarkStart w:id="249" w:name="Tc_9le9bvFGZEKnejazpQR4xA_6_2"/>
      <w:bookmarkStart w:id="250" w:name="Tc_3TXj2p-9DU2RvNsd2FH_bw_6_0"/>
      <w:bookmarkStart w:id="251" w:name="Tc_mr6JcRVQvUCHMMA8lop6Tw_5_16"/>
      <w:bookmarkStart w:id="252" w:name="Tc_WL79VyixuUCJDcTgRs9xqg_5_13"/>
      <w:bookmarkStart w:id="253" w:name="Tc_i6Jo6wk5TEmf6LMTxAmimA_5_10"/>
      <w:bookmarkStart w:id="254" w:name="Tc_o7UXNceccE2TDb2O1TDeZA_5_7"/>
      <w:bookmarkStart w:id="255" w:name="Tc_0oDVwqDmnEawDVWroIx_ug_5_4"/>
      <w:bookmarkStart w:id="256" w:name="Tc_EggJ3PNwdkGexSSKbEaGsg_5_0"/>
      <w:bookmarkStart w:id="257" w:name="Tc_NPy4RuFjLkW4MTijOpi8tw_4_16"/>
      <w:bookmarkStart w:id="258" w:name="Tc_wAHLhPFoPkuoy0ocnIQUlg_4_13"/>
      <w:bookmarkStart w:id="259" w:name="Tc_26AfH5wiV0OlyxtwyHIohg_4_10"/>
      <w:bookmarkStart w:id="260" w:name="Tc__0-mXqY_zk6SBdtT1l7RPA_4_7"/>
      <w:bookmarkStart w:id="261" w:name="Tc_4QUaemCkoEi_ZEg2NL6C5Q_4_4"/>
      <w:bookmarkStart w:id="262" w:name="Tc_7xp6E0WZa0aSXMKH5mMIFQ_4_2"/>
      <w:bookmarkStart w:id="263" w:name="Tc_1IV2iyWr8UCtT958ImQVlA_3_16"/>
      <w:bookmarkStart w:id="264" w:name="Tc_HX9r97BHLEKus0WPjCVRuw_3_13"/>
      <w:bookmarkStart w:id="265" w:name="Tc_DVESRXqB_k-Hs7NQfdUhhA_3_10"/>
      <w:bookmarkStart w:id="266" w:name="Tc_9vtrNjtUZ0eWZc2LKKQjHA_3_7"/>
      <w:bookmarkStart w:id="267" w:name="Tc_s_5K1l_FZk2N4bikGPX36g_3_2"/>
      <w:bookmarkStart w:id="268" w:name="Tc_n4TNxnWk-UixbH57AuiaQQ_2_16"/>
      <w:bookmarkStart w:id="269" w:name="Tc_mQpRAdwDpEq4micZTa92KA_2_10"/>
      <w:bookmarkStart w:id="270" w:name="Tc_dqgJfKRn6UiKXn839FUo1Q_2_7"/>
      <w:bookmarkStart w:id="271" w:name="Tc_0SqWsm-sxUOoCNrMHu6xXA_1_10"/>
      <w:bookmarkStart w:id="272" w:name="_bcad7f70_5337_46e4_bd27_31d859b0dc92"/>
      <w:bookmarkStart w:id="273" w:name="Tc_R7lk-mQxEk-9r6UaITJBfQ_10_16"/>
      <w:bookmarkStart w:id="274" w:name="Tc_a-S8wD1dKkumIgO3cPzJyQ_10_13"/>
      <w:bookmarkStart w:id="275" w:name="Tc_gDnWWPRVsUezKaYtUaCf9A_10_10"/>
      <w:bookmarkStart w:id="276" w:name="Tc_kGEO5f89JU2gruVS9wljxw_10_7"/>
      <w:bookmarkStart w:id="277" w:name="Tc_N6Z4E5GAfEiIxt-jIcs6Yw_10_4"/>
      <w:bookmarkStart w:id="278" w:name="Tc_KRDzFBAA_UWO66_Z23Hh-g_10_0"/>
      <w:bookmarkStart w:id="279" w:name="Tc_USzaS_m43k6ZSEVkKkLNug_9_14"/>
      <w:bookmarkStart w:id="280" w:name="Tc_L2O9hcaO-ke3fbZTB91JuQ_9_11"/>
      <w:bookmarkStart w:id="281" w:name="Tc_l7pBR1bB8020RzL22n2cAw_9_5"/>
      <w:bookmarkStart w:id="282" w:name="Tc_W8okqkOud06ooOWyeQ5-xA_9_2"/>
      <w:bookmarkStart w:id="283" w:name="Tc_81YZoR3P4kSvLFB94zhikg_9_0"/>
      <w:bookmarkStart w:id="284" w:name="Tc_qkiwXti49kWDLmZsOWREvA_8_14"/>
      <w:bookmarkStart w:id="285" w:name="Tc_IO6t8WebBEGFuvF6pLztNg_8_11"/>
      <w:bookmarkStart w:id="286" w:name="Tc_yPzrYJCC30-dbgL6TR1cLA_8_5"/>
      <w:bookmarkStart w:id="287" w:name="Tc_5BAf-IRzbEqca-z9hkRwuA_8_0"/>
      <w:bookmarkStart w:id="288" w:name="Tc_Hbi8kEtKjUWerPv1PIU4uw_7_14"/>
      <w:bookmarkStart w:id="289" w:name="Tc_BJcsPeTAO0-csye001k8Kg_7_8"/>
      <w:bookmarkStart w:id="290" w:name="Tc_CFNyv7FQQEajGnTDaxy4cw_7_5"/>
      <w:bookmarkStart w:id="291" w:name="Tc_MiE3QUP4N0OTn2SGpu95-Q_7_2"/>
      <w:bookmarkStart w:id="292" w:name="Tc_QvUDOKh150uhNCU5A0fMBg_7_0"/>
      <w:bookmarkStart w:id="293" w:name="Tc_Nh5CmsTi4kW640MHy8ls2w_6_11"/>
      <w:bookmarkStart w:id="294" w:name="Tc_xaBMjRh9ikWSTfHD0Ghg6A_6_8"/>
      <w:bookmarkStart w:id="295" w:name="Tc_9h6HraDqtkioCWNGzq-D3A_6_5"/>
      <w:bookmarkStart w:id="296" w:name="Tc_9le9bvFGZEKnejazpQR4xA_6_2"/>
      <w:bookmarkStart w:id="297" w:name="Tc_3TXj2p-9DU2RvNsd2FH_bw_6_0"/>
      <w:bookmarkStart w:id="298" w:name="Tc_mr6JcRVQvUCHMMA8lop6Tw_5_16"/>
      <w:bookmarkStart w:id="299" w:name="Tc_WL79VyixuUCJDcTgRs9xqg_5_13"/>
      <w:bookmarkStart w:id="300" w:name="Tc_i6Jo6wk5TEmf6LMTxAmimA_5_10"/>
      <w:bookmarkStart w:id="301" w:name="Tc_o7UXNceccE2TDb2O1TDeZA_5_7"/>
      <w:bookmarkStart w:id="302" w:name="Tc_0oDVwqDmnEawDVWroIx_ug_5_4"/>
      <w:bookmarkStart w:id="303" w:name="Tc_EggJ3PNwdkGexSSKbEaGsg_5_0"/>
      <w:bookmarkStart w:id="304" w:name="Tc_NPy4RuFjLkW4MTijOpi8tw_4_16"/>
      <w:bookmarkStart w:id="305" w:name="Tc_wAHLhPFoPkuoy0ocnIQUlg_4_13"/>
      <w:bookmarkStart w:id="306" w:name="Tc_26AfH5wiV0OlyxtwyHIohg_4_10"/>
      <w:bookmarkStart w:id="307" w:name="Tc__0-mXqY_zk6SBdtT1l7RPA_4_7"/>
      <w:bookmarkStart w:id="308" w:name="Tc_4QUaemCkoEi_ZEg2NL6C5Q_4_4"/>
      <w:bookmarkStart w:id="309" w:name="Tc_7xp6E0WZa0aSXMKH5mMIFQ_4_2"/>
      <w:bookmarkStart w:id="310" w:name="Tc_1IV2iyWr8UCtT958ImQVlA_3_16"/>
      <w:bookmarkStart w:id="311" w:name="Tc_HX9r97BHLEKus0WPjCVRuw_3_13"/>
      <w:bookmarkStart w:id="312" w:name="Tc_DVESRXqB_k-Hs7NQfdUhhA_3_10"/>
      <w:bookmarkStart w:id="313" w:name="Tc_9vtrNjtUZ0eWZc2LKKQjHA_3_7"/>
      <w:bookmarkStart w:id="314" w:name="Tc_s_5K1l_FZk2N4bikGPX36g_3_2"/>
      <w:bookmarkStart w:id="315" w:name="Tc_n4TNxnWk-UixbH57AuiaQQ_2_16"/>
      <w:bookmarkStart w:id="316" w:name="Tc_mQpRAdwDpEq4micZTa92KA_2_10"/>
      <w:bookmarkStart w:id="317" w:name="Tc_dqgJfKRn6UiKXn839FUo1Q_2_7"/>
      <w:bookmarkStart w:id="318" w:name="Tc_0SqWsm-sxUOoCNrMHu6xXA_1_10"/>
      <w:bookmarkStart w:id="319" w:name="_bcad7f70_5337_46e4_bd27_31d859b0dc9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tbl>
      <w:tblPr>
        <w:tblW w:w="10205" w:type="dxa"/>
        <w:jc w:val="left"/>
        <w:tblInd w:w="0" w:type="dxa"/>
        <w:tblCellMar>
          <w:top w:w="0" w:type="dxa"/>
          <w:left w:w="0" w:type="dxa"/>
          <w:bottom w:w="0" w:type="dxa"/>
          <w:right w:w="0" w:type="dxa"/>
        </w:tblCellMar>
      </w:tblPr>
      <w:tblGrid>
        <w:gridCol w:w="2110"/>
        <w:gridCol w:w="266"/>
        <w:gridCol w:w="1066"/>
        <w:gridCol w:w="266"/>
        <w:gridCol w:w="284"/>
        <w:gridCol w:w="467"/>
        <w:gridCol w:w="266"/>
        <w:gridCol w:w="211"/>
        <w:gridCol w:w="796"/>
        <w:gridCol w:w="266"/>
        <w:gridCol w:w="403"/>
        <w:gridCol w:w="923"/>
        <w:gridCol w:w="266"/>
        <w:gridCol w:w="228"/>
        <w:gridCol w:w="928"/>
        <w:gridCol w:w="266"/>
        <w:gridCol w:w="226"/>
        <w:gridCol w:w="967"/>
      </w:tblGrid>
      <w:tr>
        <w:trPr/>
        <w:tc>
          <w:tcPr>
            <w:tcW w:w="2110"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68910" cy="175260"/>
                      <wp:effectExtent l="0" t="0" r="0" b="0"/>
                      <wp:wrapNone/>
                      <wp:docPr id="15" name="Frame15"/>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76910" cy="175260"/>
                      <wp:effectExtent l="0" t="0" r="0" b="0"/>
                      <wp:wrapNone/>
                      <wp:docPr id="16" name="Frame16"/>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68910" cy="175260"/>
                      <wp:effectExtent l="0" t="0" r="0" b="0"/>
                      <wp:wrapNone/>
                      <wp:docPr id="17" name="Frame17"/>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80340" cy="175260"/>
                      <wp:effectExtent l="0" t="0" r="0" b="0"/>
                      <wp:wrapNone/>
                      <wp:docPr id="18" name="Frame18"/>
                      <a:graphic xmlns:a="http://schemas.openxmlformats.org/drawingml/2006/main">
                        <a:graphicData uri="http://schemas.microsoft.com/office/word/2010/wordprocessingShape">
                          <wps:wsp>
                            <wps:cNvSpPr txBox="1"/>
                            <wps:spPr>
                              <a:xfrm>
                                <a:off x="0" y="0"/>
                                <a:ext cx="1803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96545" cy="175260"/>
                      <wp:effectExtent l="0" t="0" r="0" b="0"/>
                      <wp:wrapNone/>
                      <wp:docPr id="19" name="Frame19"/>
                      <a:graphic xmlns:a="http://schemas.openxmlformats.org/drawingml/2006/main">
                        <a:graphicData uri="http://schemas.microsoft.com/office/word/2010/wordprocessingShape">
                          <wps:wsp>
                            <wps:cNvSpPr txBox="1"/>
                            <wps:spPr>
                              <a:xfrm>
                                <a:off x="0" y="0"/>
                                <a:ext cx="296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68910" cy="175260"/>
                      <wp:effectExtent l="0" t="0" r="0" b="0"/>
                      <wp:wrapNone/>
                      <wp:docPr id="20" name="Frame20"/>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05460" cy="175260"/>
                      <wp:effectExtent l="0" t="0" r="0" b="0"/>
                      <wp:wrapNone/>
                      <wp:docPr id="22" name="Frame22"/>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68910" cy="175260"/>
                      <wp:effectExtent l="0" t="0" r="0" b="0"/>
                      <wp:wrapNone/>
                      <wp:docPr id="23" name="Frame23"/>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55905" cy="175260"/>
                      <wp:effectExtent l="0" t="0" r="0" b="0"/>
                      <wp:wrapNone/>
                      <wp:docPr id="24" name="Frame24"/>
                      <a:graphic xmlns:a="http://schemas.openxmlformats.org/drawingml/2006/main">
                        <a:graphicData uri="http://schemas.microsoft.com/office/word/2010/wordprocessingShape">
                          <wps:wsp>
                            <wps:cNvSpPr txBox="1"/>
                            <wps:spPr>
                              <a:xfrm>
                                <a:off x="0" y="0"/>
                                <a:ext cx="2559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86105" cy="175260"/>
                      <wp:effectExtent l="0" t="0" r="0" b="0"/>
                      <wp:wrapNone/>
                      <wp:docPr id="25" name="Frame25"/>
                      <a:graphic xmlns:a="http://schemas.openxmlformats.org/drawingml/2006/main">
                        <a:graphicData uri="http://schemas.microsoft.com/office/word/2010/wordprocessingShape">
                          <wps:wsp>
                            <wps:cNvSpPr txBox="1"/>
                            <wps:spPr>
                              <a:xfrm>
                                <a:off x="0" y="0"/>
                                <a:ext cx="586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68910" cy="175260"/>
                      <wp:effectExtent l="0" t="0" r="0" b="0"/>
                      <wp:wrapNone/>
                      <wp:docPr id="26" name="Frame26"/>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44780" cy="175260"/>
                      <wp:effectExtent l="0" t="0" r="0" b="0"/>
                      <wp:wrapNone/>
                      <wp:docPr id="27" name="Frame27"/>
                      <a:graphic xmlns:a="http://schemas.openxmlformats.org/drawingml/2006/main">
                        <a:graphicData uri="http://schemas.microsoft.com/office/word/2010/wordprocessingShape">
                          <wps:wsp>
                            <wps:cNvSpPr txBox="1"/>
                            <wps:spPr>
                              <a:xfrm>
                                <a:off x="0" y="0"/>
                                <a:ext cx="144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89280" cy="175260"/>
                      <wp:effectExtent l="0" t="0" r="0" b="0"/>
                      <wp:wrapNone/>
                      <wp:docPr id="28" name="Frame28"/>
                      <a:graphic xmlns:a="http://schemas.openxmlformats.org/drawingml/2006/main">
                        <a:graphicData uri="http://schemas.microsoft.com/office/word/2010/wordprocessingShape">
                          <wps:wsp>
                            <wps:cNvSpPr txBox="1"/>
                            <wps:spPr>
                              <a:xfrm>
                                <a:off x="0" y="0"/>
                                <a:ext cx="589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68910" cy="175260"/>
                      <wp:effectExtent l="0" t="0" r="0" b="0"/>
                      <wp:wrapNone/>
                      <wp:docPr id="29" name="Frame29"/>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3510" cy="175260"/>
                      <wp:effectExtent l="0" t="0" r="0" b="0"/>
                      <wp:wrapNone/>
                      <wp:docPr id="30" name="Frame30"/>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14045" cy="175260"/>
                      <wp:effectExtent l="0" t="0" r="0" b="0"/>
                      <wp:wrapNone/>
                      <wp:docPr id="31" name="Frame31"/>
                      <a:graphic xmlns:a="http://schemas.openxmlformats.org/drawingml/2006/main">
                        <a:graphicData uri="http://schemas.microsoft.com/office/word/2010/wordprocessingShape">
                          <wps:wsp>
                            <wps:cNvSpPr txBox="1"/>
                            <wps:spPr>
                              <a:xfrm>
                                <a:off x="0" y="0"/>
                                <a:ext cx="6140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10"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1066" w:type="dxa"/>
            <w:tcBorders/>
            <w:shd w:fill="auto" w:val="clear"/>
            <w:vAlign w:val="center"/>
          </w:tcPr>
          <w:p>
            <w:pPr>
              <w:pStyle w:val="TableContents"/>
              <w:spacing w:before="0" w:after="0"/>
              <w:ind w:left="0" w:right="0" w:hanging="0"/>
              <w:jc w:val="center"/>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751" w:type="dxa"/>
            <w:gridSpan w:val="2"/>
            <w:tcBorders/>
            <w:shd w:fill="auto" w:val="clear"/>
            <w:vAlign w:val="center"/>
          </w:tcPr>
          <w:p>
            <w:pPr>
              <w:pStyle w:val="TableContents"/>
              <w:spacing w:before="0" w:after="0"/>
              <w:ind w:left="0" w:right="0" w:hanging="0"/>
              <w:jc w:val="center"/>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1007" w:type="dxa"/>
            <w:gridSpan w:val="2"/>
            <w:tcBorders/>
            <w:shd w:fill="auto" w:val="clear"/>
            <w:vAlign w:val="center"/>
          </w:tcPr>
          <w:p>
            <w:pPr>
              <w:pStyle w:val="TableContents"/>
              <w:spacing w:before="0" w:after="0"/>
              <w:ind w:left="0" w:right="0" w:hanging="0"/>
              <w:jc w:val="center"/>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1326"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266" w:type="dxa"/>
            <w:tcBorders/>
            <w:shd w:fill="auto" w:val="clear"/>
            <w:vAlign w:val="center"/>
          </w:tcPr>
          <w:p>
            <w:pPr>
              <w:pStyle w:val="TableContents"/>
              <w:spacing w:before="0" w:after="0"/>
              <w:ind w:left="0" w:right="0" w:hanging="0"/>
              <w:jc w:val="center"/>
              <w:rPr/>
            </w:pPr>
            <w:r>
              <w:rPr/>
              <w:t>​</w:t>
            </w:r>
          </w:p>
        </w:tc>
        <w:tc>
          <w:tcPr>
            <w:tcW w:w="228" w:type="dxa"/>
            <w:tcBorders/>
            <w:shd w:fill="auto" w:val="clear"/>
            <w:vAlign w:val="center"/>
          </w:tcPr>
          <w:p>
            <w:pPr>
              <w:pStyle w:val="TableContents"/>
              <w:spacing w:before="0" w:after="0"/>
              <w:ind w:left="0" w:right="0" w:hanging="0"/>
              <w:rPr/>
            </w:pPr>
            <w:r>
              <w:rPr/>
              <w:t>​</w:t>
            </w:r>
          </w:p>
        </w:tc>
        <w:tc>
          <w:tcPr>
            <w:tcW w:w="928"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1193" w:type="dxa"/>
            <w:gridSpan w:val="2"/>
            <w:tcBorders/>
            <w:shd w:fill="auto" w:val="clear"/>
            <w:vAlign w:val="center"/>
          </w:tcPr>
          <w:p>
            <w:pPr>
              <w:pStyle w:val="TableContents"/>
              <w:spacing w:before="0" w:after="0"/>
              <w:ind w:left="0" w:right="0" w:hanging="0"/>
              <w:jc w:val="center"/>
              <w:rPr/>
            </w:pPr>
            <w:r>
              <w:rPr/>
              <w:t>​</w:t>
            </w:r>
          </w:p>
        </w:tc>
      </w:tr>
      <w:tr>
        <w:trPr/>
        <w:tc>
          <w:tcPr>
            <w:tcW w:w="2110"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1066" w:type="dxa"/>
            <w:tcBorders/>
            <w:shd w:fill="auto" w:val="clear"/>
            <w:vAlign w:val="center"/>
          </w:tcPr>
          <w:p>
            <w:pPr>
              <w:pStyle w:val="TableContents"/>
              <w:spacing w:before="0" w:after="0"/>
              <w:ind w:left="0" w:right="0" w:hanging="0"/>
              <w:jc w:val="center"/>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284" w:type="dxa"/>
            <w:tcBorders/>
            <w:shd w:fill="auto" w:val="clear"/>
            <w:vAlign w:val="center"/>
          </w:tcPr>
          <w:p>
            <w:pPr>
              <w:pStyle w:val="TableContents"/>
              <w:spacing w:before="0" w:after="0"/>
              <w:ind w:left="0" w:right="0" w:hanging="0"/>
              <w:jc w:val="center"/>
              <w:rPr/>
            </w:pPr>
            <w:r>
              <w:rPr/>
              <w:t>​</w:t>
            </w:r>
          </w:p>
        </w:tc>
        <w:tc>
          <w:tcPr>
            <w:tcW w:w="467" w:type="dxa"/>
            <w:tcBorders/>
            <w:shd w:fill="auto" w:val="clear"/>
            <w:vAlign w:val="center"/>
          </w:tcPr>
          <w:p>
            <w:pPr>
              <w:pStyle w:val="TableContents"/>
              <w:spacing w:before="0" w:after="0"/>
              <w:ind w:left="0" w:right="0" w:hanging="0"/>
              <w:jc w:val="center"/>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1007"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266" w:type="dxa"/>
            <w:tcBorders/>
            <w:shd w:fill="auto" w:val="clear"/>
            <w:vAlign w:val="center"/>
          </w:tcPr>
          <w:p>
            <w:pPr>
              <w:pStyle w:val="TableContents"/>
              <w:spacing w:before="0" w:after="0"/>
              <w:ind w:left="0" w:right="0" w:hanging="0"/>
              <w:jc w:val="center"/>
              <w:rPr/>
            </w:pPr>
            <w:r>
              <w:rPr/>
              <w:t>​</w:t>
            </w:r>
          </w:p>
        </w:tc>
        <w:tc>
          <w:tcPr>
            <w:tcW w:w="1326"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other</w:t>
            </w:r>
          </w:p>
        </w:tc>
        <w:tc>
          <w:tcPr>
            <w:tcW w:w="266" w:type="dxa"/>
            <w:tcBorders/>
            <w:shd w:fill="auto" w:val="clear"/>
            <w:vAlign w:val="center"/>
          </w:tcPr>
          <w:p>
            <w:pPr>
              <w:pStyle w:val="TableContents"/>
              <w:spacing w:before="0" w:after="0"/>
              <w:ind w:left="0" w:right="0" w:hanging="0"/>
              <w:jc w:val="center"/>
              <w:rPr/>
            </w:pPr>
            <w:r>
              <w:rPr/>
              <w:t>​</w:t>
            </w:r>
          </w:p>
        </w:tc>
        <w:tc>
          <w:tcPr>
            <w:tcW w:w="228" w:type="dxa"/>
            <w:tcBorders/>
            <w:shd w:fill="auto" w:val="clear"/>
            <w:vAlign w:val="center"/>
          </w:tcPr>
          <w:p>
            <w:pPr>
              <w:pStyle w:val="TableContents"/>
              <w:spacing w:before="0" w:after="0"/>
              <w:ind w:left="0" w:right="0" w:hanging="0"/>
              <w:rPr/>
            </w:pPr>
            <w:r>
              <w:rPr/>
              <w:t>​</w:t>
            </w:r>
          </w:p>
        </w:tc>
        <w:tc>
          <w:tcPr>
            <w:tcW w:w="928"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1193"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2110"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208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Common Stock</w:t>
            </w:r>
          </w:p>
        </w:tc>
        <w:tc>
          <w:tcPr>
            <w:tcW w:w="266" w:type="dxa"/>
            <w:tcBorders/>
            <w:shd w:fill="auto" w:val="clear"/>
            <w:vAlign w:val="center"/>
          </w:tcPr>
          <w:p>
            <w:pPr>
              <w:pStyle w:val="TableContents"/>
              <w:spacing w:before="0" w:after="0"/>
              <w:ind w:left="0" w:right="0" w:hanging="0"/>
              <w:jc w:val="center"/>
              <w:rPr/>
            </w:pPr>
            <w:r>
              <w:rPr/>
              <w:t>​</w:t>
            </w:r>
          </w:p>
        </w:tc>
        <w:tc>
          <w:tcPr>
            <w:tcW w:w="1007"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paid-in</w:t>
            </w:r>
          </w:p>
        </w:tc>
        <w:tc>
          <w:tcPr>
            <w:tcW w:w="266" w:type="dxa"/>
            <w:tcBorders/>
            <w:shd w:fill="auto" w:val="clear"/>
            <w:vAlign w:val="center"/>
          </w:tcPr>
          <w:p>
            <w:pPr>
              <w:pStyle w:val="TableContents"/>
              <w:spacing w:before="0" w:after="0"/>
              <w:ind w:left="0" w:right="0" w:hanging="0"/>
              <w:jc w:val="center"/>
              <w:rPr/>
            </w:pPr>
            <w:r>
              <w:rPr/>
              <w:t>​</w:t>
            </w:r>
          </w:p>
        </w:tc>
        <w:tc>
          <w:tcPr>
            <w:tcW w:w="1326"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comprehensive </w:t>
            </w:r>
          </w:p>
        </w:tc>
        <w:tc>
          <w:tcPr>
            <w:tcW w:w="266" w:type="dxa"/>
            <w:tcBorders/>
            <w:shd w:fill="auto" w:val="clear"/>
            <w:vAlign w:val="center"/>
          </w:tcPr>
          <w:p>
            <w:pPr>
              <w:pStyle w:val="TableContents"/>
              <w:spacing w:before="0" w:after="0"/>
              <w:ind w:left="0" w:right="0" w:hanging="0"/>
              <w:jc w:val="center"/>
              <w:rPr/>
            </w:pPr>
            <w:r>
              <w:rPr/>
              <w:t>​</w:t>
            </w:r>
          </w:p>
        </w:tc>
        <w:tc>
          <w:tcPr>
            <w:tcW w:w="1156"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266" w:type="dxa"/>
            <w:tcBorders/>
            <w:shd w:fill="auto" w:val="clear"/>
            <w:vAlign w:val="center"/>
          </w:tcPr>
          <w:p>
            <w:pPr>
              <w:pStyle w:val="TableContents"/>
              <w:spacing w:before="0" w:after="0"/>
              <w:ind w:left="0" w:right="0" w:hanging="0"/>
              <w:jc w:val="center"/>
              <w:rPr/>
            </w:pPr>
            <w:r>
              <w:rPr/>
              <w:t>​</w:t>
            </w:r>
          </w:p>
        </w:tc>
        <w:tc>
          <w:tcPr>
            <w:tcW w:w="1193"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stockholders’</w:t>
            </w:r>
          </w:p>
        </w:tc>
      </w:tr>
      <w:tr>
        <w:trPr/>
        <w:tc>
          <w:tcPr>
            <w:tcW w:w="2110"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jc w:val="center"/>
              <w:rPr/>
            </w:pPr>
            <w:r>
              <w:rPr/>
              <w:t>   </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266" w:type="dxa"/>
            <w:tcBorders/>
            <w:shd w:fill="auto" w:val="clear"/>
            <w:vAlign w:val="center"/>
          </w:tcPr>
          <w:p>
            <w:pPr>
              <w:pStyle w:val="TableContents"/>
              <w:spacing w:before="0" w:after="0"/>
              <w:ind w:left="0" w:right="0" w:hanging="0"/>
              <w:jc w:val="center"/>
              <w:rPr/>
            </w:pPr>
            <w:r>
              <w:rPr/>
              <w:t>   </w:t>
            </w:r>
          </w:p>
        </w:tc>
        <w:tc>
          <w:tcPr>
            <w:tcW w:w="7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26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capital</w:t>
            </w:r>
          </w:p>
        </w:tc>
        <w:tc>
          <w:tcPr>
            <w:tcW w:w="266" w:type="dxa"/>
            <w:tcBorders/>
            <w:shd w:fill="auto" w:val="clear"/>
            <w:vAlign w:val="center"/>
          </w:tcPr>
          <w:p>
            <w:pPr>
              <w:pStyle w:val="TableContents"/>
              <w:spacing w:before="0" w:after="0"/>
              <w:ind w:left="0" w:right="0" w:hanging="0"/>
              <w:jc w:val="center"/>
              <w:rPr/>
            </w:pPr>
            <w:r>
              <w:rPr/>
              <w:t>   </w:t>
            </w:r>
          </w:p>
        </w:tc>
        <w:tc>
          <w:tcPr>
            <w:tcW w:w="13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income (loss)</w:t>
            </w:r>
          </w:p>
        </w:tc>
        <w:tc>
          <w:tcPr>
            <w:tcW w:w="266" w:type="dxa"/>
            <w:tcBorders/>
            <w:shd w:fill="auto" w:val="clear"/>
            <w:vAlign w:val="center"/>
          </w:tcPr>
          <w:p>
            <w:pPr>
              <w:pStyle w:val="TableContents"/>
              <w:spacing w:before="0" w:after="0"/>
              <w:ind w:left="0" w:right="0" w:hanging="0"/>
              <w:jc w:val="center"/>
              <w:rPr/>
            </w:pPr>
            <w:r>
              <w:rPr/>
              <w:t>   </w:t>
            </w:r>
          </w:p>
        </w:tc>
        <w:tc>
          <w:tcPr>
            <w:tcW w:w="11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deficit</w:t>
            </w:r>
          </w:p>
        </w:tc>
        <w:tc>
          <w:tcPr>
            <w:tcW w:w="266" w:type="dxa"/>
            <w:tcBorders/>
            <w:shd w:fill="auto" w:val="clear"/>
            <w:vAlign w:val="center"/>
          </w:tcPr>
          <w:p>
            <w:pPr>
              <w:pStyle w:val="TableContents"/>
              <w:spacing w:before="0" w:after="0"/>
              <w:ind w:left="0" w:right="0" w:hanging="0"/>
              <w:jc w:val="center"/>
              <w:rPr/>
            </w:pPr>
            <w:r>
              <w:rPr/>
              <w:t>   </w:t>
            </w:r>
          </w:p>
        </w:tc>
        <w:tc>
          <w:tcPr>
            <w:tcW w:w="119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equity</w:t>
            </w:r>
          </w:p>
        </w:tc>
      </w:tr>
      <w:tr>
        <w:trPr/>
        <w:tc>
          <w:tcPr>
            <w:tcW w:w="2110" w:type="dxa"/>
            <w:tcBorders/>
            <w:shd w:fill="CCEEFF"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Balance as of December 31, 2022</w:t>
            </w:r>
          </w:p>
        </w:tc>
        <w:tc>
          <w:tcPr>
            <w:tcW w:w="266"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59,615,731</w:t>
            </w:r>
          </w:p>
        </w:tc>
        <w:tc>
          <w:tcPr>
            <w:tcW w:w="266" w:type="dxa"/>
            <w:tcBorders/>
            <w:shd w:fill="CCEEFF" w:val="clear"/>
            <w:vAlign w:val="center"/>
          </w:tcPr>
          <w:p>
            <w:pPr>
              <w:pStyle w:val="TableContents"/>
              <w:spacing w:before="0" w:after="0"/>
              <w:ind w:left="0" w:right="0" w:hanging="0"/>
              <w:rPr/>
            </w:pPr>
            <w:r>
              <w:rPr/>
              <w:t>​</w:t>
            </w:r>
          </w:p>
        </w:tc>
        <w:tc>
          <w:tcPr>
            <w:tcW w:w="284" w:type="dxa"/>
            <w:tcBorders/>
            <w:shd w:fill="CCEEFF"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w:t>
            </w:r>
          </w:p>
        </w:tc>
        <w:tc>
          <w:tcPr>
            <w:tcW w:w="467" w:type="dxa"/>
            <w:tcBorders/>
            <w:shd w:fill="CCEEFF"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1</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w:t>
            </w:r>
          </w:p>
        </w:tc>
        <w:tc>
          <w:tcPr>
            <w:tcW w:w="796" w:type="dxa"/>
            <w:tcBorders/>
            <w:shd w:fill="CCEEFF"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675,118</w:t>
            </w:r>
          </w:p>
        </w:tc>
        <w:tc>
          <w:tcPr>
            <w:tcW w:w="266" w:type="dxa"/>
            <w:tcBorders/>
            <w:shd w:fill="CCEEFF" w:val="clear"/>
            <w:vAlign w:val="center"/>
          </w:tcPr>
          <w:p>
            <w:pPr>
              <w:pStyle w:val="TableContents"/>
              <w:spacing w:before="0" w:after="0"/>
              <w:ind w:left="0" w:right="0" w:hanging="0"/>
              <w:rPr/>
            </w:pPr>
            <w:r>
              <w:rPr/>
              <w:t>​</w:t>
            </w:r>
          </w:p>
        </w:tc>
        <w:tc>
          <w:tcPr>
            <w:tcW w:w="403" w:type="dxa"/>
            <w:tcBorders/>
            <w:shd w:fill="CCEEFF"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w:t>
            </w:r>
          </w:p>
        </w:tc>
        <w:tc>
          <w:tcPr>
            <w:tcW w:w="923" w:type="dxa"/>
            <w:tcBorders/>
            <w:shd w:fill="CCEEFF"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(151)</w:t>
            </w:r>
          </w:p>
        </w:tc>
        <w:tc>
          <w:tcPr>
            <w:tcW w:w="266" w:type="dxa"/>
            <w:tcBorders/>
            <w:shd w:fill="CCEEFF" w:val="clear"/>
            <w:vAlign w:val="center"/>
          </w:tcPr>
          <w:p>
            <w:pPr>
              <w:pStyle w:val="TableContents"/>
              <w:spacing w:before="0" w:after="0"/>
              <w:ind w:left="0" w:right="0" w:hanging="0"/>
              <w:jc w:val="right"/>
              <w:rPr/>
            </w:pPr>
            <w:r>
              <w:rPr/>
              <w:t>​</w:t>
            </w:r>
          </w:p>
        </w:tc>
        <w:tc>
          <w:tcPr>
            <w:tcW w:w="228" w:type="dxa"/>
            <w:tcBorders/>
            <w:shd w:fill="CCEEFF"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w:t>
            </w:r>
          </w:p>
        </w:tc>
        <w:tc>
          <w:tcPr>
            <w:tcW w:w="928" w:type="dxa"/>
            <w:tcBorders/>
            <w:shd w:fill="CCEEFF"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(272,130)</w:t>
            </w:r>
          </w:p>
        </w:tc>
        <w:tc>
          <w:tcPr>
            <w:tcW w:w="26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w:t>
            </w:r>
          </w:p>
        </w:tc>
        <w:tc>
          <w:tcPr>
            <w:tcW w:w="967" w:type="dxa"/>
            <w:tcBorders/>
            <w:shd w:fill="CCEEFF"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402,838</w:t>
            </w:r>
          </w:p>
        </w:tc>
      </w:tr>
      <w:tr>
        <w:trPr/>
        <w:tc>
          <w:tcPr>
            <w:tcW w:w="2110" w:type="dxa"/>
            <w:tcBorders/>
            <w:shd w:fill="auto"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Net income</w:t>
            </w:r>
          </w:p>
        </w:tc>
        <w:tc>
          <w:tcPr>
            <w:tcW w:w="266"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w:t>
            </w:r>
          </w:p>
        </w:tc>
        <w:tc>
          <w:tcPr>
            <w:tcW w:w="284" w:type="dxa"/>
            <w:tcBorders/>
            <w:shd w:fill="auto" w:val="clear"/>
            <w:vAlign w:val="center"/>
          </w:tcPr>
          <w:p>
            <w:pPr>
              <w:pStyle w:val="TableContents"/>
              <w:spacing w:before="0" w:after="0"/>
              <w:ind w:left="0" w:right="0" w:hanging="0"/>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w:t>
            </w:r>
          </w:p>
        </w:tc>
        <w:tc>
          <w:tcPr>
            <w:tcW w:w="403" w:type="dxa"/>
            <w:tcBorders/>
            <w:shd w:fill="auto" w:val="clear"/>
            <w:vAlign w:val="center"/>
          </w:tcPr>
          <w:p>
            <w:pPr>
              <w:pStyle w:val="TableContents"/>
              <w:spacing w:before="0" w:after="0"/>
              <w:ind w:left="0" w:right="0" w:hanging="0"/>
              <w:rPr/>
            </w:pPr>
            <w:r>
              <w:rPr/>
              <w:t>​</w:t>
            </w:r>
          </w:p>
        </w:tc>
        <w:tc>
          <w:tcPr>
            <w:tcW w:w="923"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jc w:val="right"/>
              <w:rPr/>
            </w:pPr>
            <w:r>
              <w:rPr/>
              <w:t>​</w:t>
            </w:r>
          </w:p>
        </w:tc>
        <w:tc>
          <w:tcPr>
            <w:tcW w:w="228" w:type="dxa"/>
            <w:tcBorders/>
            <w:shd w:fill="auto" w:val="clear"/>
            <w:vAlign w:val="center"/>
          </w:tcPr>
          <w:p>
            <w:pPr>
              <w:pStyle w:val="TableContents"/>
              <w:spacing w:before="0" w:after="0"/>
              <w:ind w:left="0" w:right="0" w:hanging="0"/>
              <w:rPr/>
            </w:pPr>
            <w:r>
              <w:rPr/>
              <w:t> </w:t>
            </w:r>
          </w:p>
        </w:tc>
        <w:tc>
          <w:tcPr>
            <w:tcW w:w="928" w:type="dxa"/>
            <w:tcBorders/>
            <w:shd w:fill="auto"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29,485</w:t>
            </w:r>
          </w:p>
        </w:tc>
        <w:tc>
          <w:tcPr>
            <w:tcW w:w="26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967" w:type="dxa"/>
            <w:tcBorders/>
            <w:shd w:fill="auto"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29,485</w:t>
            </w:r>
          </w:p>
        </w:tc>
      </w:tr>
      <w:tr>
        <w:trPr/>
        <w:tc>
          <w:tcPr>
            <w:tcW w:w="2110" w:type="dxa"/>
            <w:tcBorders/>
            <w:shd w:fill="CCEEFF"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Unrealized loss on investments</w:t>
            </w:r>
          </w:p>
        </w:tc>
        <w:tc>
          <w:tcPr>
            <w:tcW w:w="266"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284" w:type="dxa"/>
            <w:tcBorders/>
            <w:shd w:fill="CCEEFF" w:val="clear"/>
            <w:vAlign w:val="center"/>
          </w:tcPr>
          <w:p>
            <w:pPr>
              <w:pStyle w:val="TableContents"/>
              <w:spacing w:before="0" w:after="0"/>
              <w:ind w:left="0" w:right="0" w:hanging="0"/>
              <w:rPr/>
            </w:pPr>
            <w:r>
              <w:rPr/>
              <w:t>​</w:t>
            </w:r>
          </w:p>
        </w:tc>
        <w:tc>
          <w:tcPr>
            <w:tcW w:w="467"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403" w:type="dxa"/>
            <w:tcBorders/>
            <w:shd w:fill="CCEEFF" w:val="clear"/>
            <w:vAlign w:val="center"/>
          </w:tcPr>
          <w:p>
            <w:pPr>
              <w:pStyle w:val="TableContents"/>
              <w:spacing w:before="0" w:after="0"/>
              <w:ind w:left="0" w:right="0" w:hanging="0"/>
              <w:rPr/>
            </w:pPr>
            <w:r>
              <w:rPr/>
              <w:t>​</w:t>
            </w:r>
          </w:p>
        </w:tc>
        <w:tc>
          <w:tcPr>
            <w:tcW w:w="923" w:type="dxa"/>
            <w:tcBorders/>
            <w:shd w:fill="CCEEFF"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120</w:t>
            </w:r>
          </w:p>
        </w:tc>
        <w:tc>
          <w:tcPr>
            <w:tcW w:w="266" w:type="dxa"/>
            <w:tcBorders/>
            <w:shd w:fill="CCEEFF" w:val="clear"/>
            <w:vAlign w:val="center"/>
          </w:tcPr>
          <w:p>
            <w:pPr>
              <w:pStyle w:val="TableContents"/>
              <w:spacing w:before="0" w:after="0"/>
              <w:ind w:left="0" w:right="0" w:hanging="0"/>
              <w:jc w:val="right"/>
              <w:rPr/>
            </w:pPr>
            <w:r>
              <w:rPr/>
              <w:t>​</w:t>
            </w:r>
          </w:p>
        </w:tc>
        <w:tc>
          <w:tcPr>
            <w:tcW w:w="228" w:type="dxa"/>
            <w:tcBorders/>
            <w:shd w:fill="CCEEFF" w:val="clear"/>
            <w:vAlign w:val="center"/>
          </w:tcPr>
          <w:p>
            <w:pPr>
              <w:pStyle w:val="TableContents"/>
              <w:spacing w:before="0" w:after="0"/>
              <w:ind w:left="0" w:right="0" w:hanging="0"/>
              <w:rPr/>
            </w:pPr>
            <w:r>
              <w:rPr/>
              <w:t>​</w:t>
            </w:r>
          </w:p>
        </w:tc>
        <w:tc>
          <w:tcPr>
            <w:tcW w:w="928"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967" w:type="dxa"/>
            <w:tcBorders/>
            <w:shd w:fill="CCEEFF"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120</w:t>
            </w:r>
          </w:p>
        </w:tc>
      </w:tr>
      <w:tr>
        <w:trPr/>
        <w:tc>
          <w:tcPr>
            <w:tcW w:w="2110" w:type="dxa"/>
            <w:tcBorders/>
            <w:shd w:fill="auto"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Exercise of options and restricted stock units</w:t>
            </w:r>
          </w:p>
        </w:tc>
        <w:tc>
          <w:tcPr>
            <w:tcW w:w="266"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338,887</w:t>
            </w:r>
          </w:p>
        </w:tc>
        <w:tc>
          <w:tcPr>
            <w:tcW w:w="266" w:type="dxa"/>
            <w:tcBorders/>
            <w:shd w:fill="auto" w:val="clear"/>
            <w:vAlign w:val="center"/>
          </w:tcPr>
          <w:p>
            <w:pPr>
              <w:pStyle w:val="TableContents"/>
              <w:spacing w:before="0" w:after="0"/>
              <w:ind w:left="0" w:right="0" w:hanging="0"/>
              <w:rPr/>
            </w:pPr>
            <w:r>
              <w:rPr/>
              <w:t>​</w:t>
            </w:r>
          </w:p>
        </w:tc>
        <w:tc>
          <w:tcPr>
            <w:tcW w:w="284" w:type="dxa"/>
            <w:tcBorders/>
            <w:shd w:fill="auto" w:val="clear"/>
            <w:vAlign w:val="center"/>
          </w:tcPr>
          <w:p>
            <w:pPr>
              <w:pStyle w:val="TableContents"/>
              <w:spacing w:before="0" w:after="0"/>
              <w:ind w:left="0" w:right="0" w:hanging="0"/>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3,395</w:t>
            </w:r>
          </w:p>
        </w:tc>
        <w:tc>
          <w:tcPr>
            <w:tcW w:w="266" w:type="dxa"/>
            <w:tcBorders/>
            <w:shd w:fill="auto" w:val="clear"/>
            <w:vAlign w:val="center"/>
          </w:tcPr>
          <w:p>
            <w:pPr>
              <w:pStyle w:val="TableContents"/>
              <w:spacing w:before="0" w:after="0"/>
              <w:ind w:left="0" w:right="0" w:hanging="0"/>
              <w:rPr/>
            </w:pPr>
            <w:r>
              <w:rPr/>
              <w:t>​</w:t>
            </w:r>
          </w:p>
        </w:tc>
        <w:tc>
          <w:tcPr>
            <w:tcW w:w="403" w:type="dxa"/>
            <w:tcBorders/>
            <w:shd w:fill="auto" w:val="clear"/>
            <w:vAlign w:val="center"/>
          </w:tcPr>
          <w:p>
            <w:pPr>
              <w:pStyle w:val="TableContents"/>
              <w:spacing w:before="0" w:after="0"/>
              <w:ind w:left="0" w:right="0" w:hanging="0"/>
              <w:rPr/>
            </w:pPr>
            <w:r>
              <w:rPr/>
              <w:t>​</w:t>
            </w:r>
          </w:p>
        </w:tc>
        <w:tc>
          <w:tcPr>
            <w:tcW w:w="923"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jc w:val="right"/>
              <w:rPr/>
            </w:pPr>
            <w:r>
              <w:rPr/>
              <w:t>​</w:t>
            </w:r>
          </w:p>
        </w:tc>
        <w:tc>
          <w:tcPr>
            <w:tcW w:w="228" w:type="dxa"/>
            <w:tcBorders/>
            <w:shd w:fill="auto" w:val="clear"/>
            <w:vAlign w:val="center"/>
          </w:tcPr>
          <w:p>
            <w:pPr>
              <w:pStyle w:val="TableContents"/>
              <w:spacing w:before="0" w:after="0"/>
              <w:ind w:left="0" w:right="0" w:hanging="0"/>
              <w:rPr/>
            </w:pPr>
            <w:r>
              <w:rPr/>
              <w:t> </w:t>
            </w:r>
          </w:p>
        </w:tc>
        <w:tc>
          <w:tcPr>
            <w:tcW w:w="928"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967" w:type="dxa"/>
            <w:tcBorders/>
            <w:shd w:fill="auto"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3,395</w:t>
            </w:r>
          </w:p>
        </w:tc>
      </w:tr>
      <w:tr>
        <w:trPr/>
        <w:tc>
          <w:tcPr>
            <w:tcW w:w="2110" w:type="dxa"/>
            <w:tcBorders/>
            <w:shd w:fill="CCEEFF"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Stock-based compensation</w:t>
            </w:r>
          </w:p>
        </w:tc>
        <w:tc>
          <w:tcPr>
            <w:tcW w:w="266" w:type="dxa"/>
            <w:tcBorders/>
            <w:shd w:fill="CCEEFF" w:val="clear"/>
            <w:vAlign w:val="center"/>
          </w:tcPr>
          <w:p>
            <w:pPr>
              <w:pStyle w:val="TableContents"/>
              <w:spacing w:before="0" w:after="0"/>
              <w:ind w:left="0" w:right="0" w:hanging="0"/>
              <w:rPr/>
            </w:pPr>
            <w:r>
              <w:rPr/>
              <w:t> </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28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6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7,203</w:t>
            </w:r>
          </w:p>
        </w:tc>
        <w:tc>
          <w:tcPr>
            <w:tcW w:w="266" w:type="dxa"/>
            <w:tcBorders/>
            <w:shd w:fill="CCEEFF" w:val="clear"/>
            <w:vAlign w:val="center"/>
          </w:tcPr>
          <w:p>
            <w:pPr>
              <w:pStyle w:val="TableContents"/>
              <w:spacing w:before="0" w:after="0"/>
              <w:ind w:left="0" w:right="0" w:hanging="0"/>
              <w:rPr/>
            </w:pPr>
            <w:r>
              <w:rPr/>
              <w:t>​</w:t>
            </w:r>
          </w:p>
        </w:tc>
        <w:tc>
          <w:tcPr>
            <w:tcW w:w="40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jc w:val="right"/>
              <w:rPr/>
            </w:pPr>
            <w:r>
              <w:rPr/>
              <w:t>​</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2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7,203</w:t>
            </w:r>
          </w:p>
        </w:tc>
      </w:tr>
      <w:tr>
        <w:trPr/>
        <w:tc>
          <w:tcPr>
            <w:tcW w:w="2110" w:type="dxa"/>
            <w:tcBorders/>
            <w:shd w:fill="auto"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Balance as of March 31, 2023</w:t>
            </w:r>
          </w:p>
        </w:tc>
        <w:tc>
          <w:tcPr>
            <w:tcW w:w="266" w:type="dxa"/>
            <w:tcBorders/>
            <w:shd w:fill="auto" w:val="clear"/>
            <w:vAlign w:val="center"/>
          </w:tcPr>
          <w:p>
            <w:pPr>
              <w:pStyle w:val="TableContents"/>
              <w:spacing w:before="0" w:after="0"/>
              <w:ind w:left="0" w:right="0" w:hanging="0"/>
              <w:rPr/>
            </w:pPr>
            <w:r>
              <w:rPr/>
              <w:t> </w:t>
            </w:r>
          </w:p>
        </w:tc>
        <w:tc>
          <w:tcPr>
            <w:tcW w:w="10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59,954,618</w:t>
            </w:r>
          </w:p>
        </w:tc>
        <w:tc>
          <w:tcPr>
            <w:tcW w:w="266" w:type="dxa"/>
            <w:tcBorders/>
            <w:shd w:fill="auto" w:val="clear"/>
            <w:vAlign w:val="center"/>
          </w:tcPr>
          <w:p>
            <w:pPr>
              <w:pStyle w:val="TableContents"/>
              <w:spacing w:before="0" w:after="0"/>
              <w:ind w:left="0" w:right="0" w:hanging="0"/>
              <w:rPr/>
            </w:pPr>
            <w:r>
              <w:rPr/>
              <w:t>​</w:t>
            </w:r>
          </w:p>
        </w:tc>
        <w:tc>
          <w:tcPr>
            <w:tcW w:w="284"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w:t>
            </w:r>
          </w:p>
        </w:tc>
        <w:tc>
          <w:tcPr>
            <w:tcW w:w="46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1</w:t>
            </w:r>
          </w:p>
        </w:tc>
        <w:tc>
          <w:tcPr>
            <w:tcW w:w="26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685,716</w:t>
            </w:r>
          </w:p>
        </w:tc>
        <w:tc>
          <w:tcPr>
            <w:tcW w:w="266" w:type="dxa"/>
            <w:tcBorders/>
            <w:shd w:fill="auto" w:val="clear"/>
            <w:vAlign w:val="center"/>
          </w:tcPr>
          <w:p>
            <w:pPr>
              <w:pStyle w:val="TableContents"/>
              <w:spacing w:before="0" w:after="0"/>
              <w:ind w:left="0" w:right="0" w:hanging="0"/>
              <w:rPr/>
            </w:pPr>
            <w:r>
              <w:rPr/>
              <w:t>​</w:t>
            </w:r>
          </w:p>
        </w:tc>
        <w:tc>
          <w:tcPr>
            <w:tcW w:w="403"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w:t>
            </w:r>
          </w:p>
        </w:tc>
        <w:tc>
          <w:tcPr>
            <w:tcW w:w="92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(31)</w:t>
            </w:r>
          </w:p>
        </w:tc>
        <w:tc>
          <w:tcPr>
            <w:tcW w:w="266" w:type="dxa"/>
            <w:tcBorders/>
            <w:shd w:fill="auto" w:val="clear"/>
            <w:vAlign w:val="center"/>
          </w:tcPr>
          <w:p>
            <w:pPr>
              <w:pStyle w:val="TableContents"/>
              <w:spacing w:before="0" w:after="0"/>
              <w:ind w:left="0" w:right="0" w:hanging="0"/>
              <w:jc w:val="right"/>
              <w:rPr/>
            </w:pPr>
            <w:r>
              <w:rPr/>
              <w:t>​</w:t>
            </w:r>
          </w:p>
        </w:tc>
        <w:tc>
          <w:tcPr>
            <w:tcW w:w="228"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w:t>
            </w:r>
          </w:p>
        </w:tc>
        <w:tc>
          <w:tcPr>
            <w:tcW w:w="92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(242,645)</w:t>
            </w:r>
          </w:p>
        </w:tc>
        <w:tc>
          <w:tcPr>
            <w:tcW w:w="266" w:type="dxa"/>
            <w:tcBorders/>
            <w:shd w:fill="auto" w:val="clear"/>
            <w:vAlign w:val="center"/>
          </w:tcPr>
          <w:p>
            <w:pPr>
              <w:pStyle w:val="TableContents"/>
              <w:spacing w:before="0" w:after="0"/>
              <w:ind w:left="0" w:right="0" w:hanging="0"/>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w:t>
            </w:r>
          </w:p>
        </w:tc>
        <w:tc>
          <w:tcPr>
            <w:tcW w:w="967"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Arial;Helvetica;sans-serif" w:hAnsi="Arial;Helvetica;sans-serif"/>
                <w:sz w:val="19"/>
              </w:rPr>
            </w:pPr>
            <w:r>
              <w:rPr>
                <w:rFonts w:ascii="Arial;Helvetica;sans-serif" w:hAnsi="Arial;Helvetica;sans-serif"/>
                <w:sz w:val="19"/>
              </w:rPr>
              <w:t>443,041</w:t>
            </w:r>
          </w:p>
        </w:tc>
      </w:tr>
    </w:tbl>
    <w:p>
      <w:pPr>
        <w:pStyle w:val="TextBody"/>
        <w:spacing w:before="0" w:after="0"/>
        <w:ind w:left="0" w:right="0" w:hanging="0"/>
        <w:rPr/>
      </w:pPr>
      <w:r>
        <w:rPr/>
        <w:t>​</w:t>
      </w:r>
    </w:p>
    <w:p>
      <w:pPr>
        <w:pStyle w:val="Normal"/>
        <w:spacing w:before="0" w:after="0"/>
        <w:rPr>
          <w:sz w:val="4"/>
          <w:szCs w:val="4"/>
        </w:rPr>
      </w:pPr>
      <w:r>
        <w:rPr>
          <w:sz w:val="4"/>
          <w:szCs w:val="4"/>
        </w:rPr>
      </w:r>
      <w:bookmarkStart w:id="320" w:name="Tc_WgfuwErVw0y5GXxk_6Sf0w_8_13"/>
      <w:bookmarkStart w:id="321" w:name="Tc_rFc9MRkrskemptYkk3izvw_8_10"/>
      <w:bookmarkStart w:id="322" w:name="Tc_Losi_SCGLESwQw2qe3L2XQ_8_7"/>
      <w:bookmarkStart w:id="323" w:name="Tc_jyDGV5K-UU6x1qEiF3Yg-Q_8_4"/>
      <w:bookmarkStart w:id="324" w:name="Tc_vQFyEY1_KEici5b-l3mLmw_8_0"/>
      <w:bookmarkStart w:id="325" w:name="Tc_F6UFsAC5nkOcQHB7uajZow_7_11"/>
      <w:bookmarkStart w:id="326" w:name="Tc_tFojyIbFsUaO54qvWWqJXQ_7_5"/>
      <w:bookmarkStart w:id="327" w:name="Tc_4V045Ghn80e0TT27zPuwcA_7_2"/>
      <w:bookmarkStart w:id="328" w:name="Tc_8O2IbyWF50eFG5lFFDxpoA_7_0"/>
      <w:bookmarkStart w:id="329" w:name="Tc_iRjUI0pcGUe_KORWph4QpQ_6_11"/>
      <w:bookmarkStart w:id="330" w:name="Tc_O1nv8WTWqUW9cpi2oKhewQ_6_5"/>
      <w:bookmarkStart w:id="331" w:name="Tc_nEvQ4w7k50uPW_QgdulzDQ_6_0"/>
      <w:bookmarkStart w:id="332" w:name="Tc_66zx4AsbrEy8zJ0QrMSfiQ_5_8"/>
      <w:bookmarkStart w:id="333" w:name="Tc_3xFourJYF0Wot7GpuoNd-Q_5_5"/>
      <w:bookmarkStart w:id="334" w:name="Tc_zIdZCqANFE-4bRYmd5_cpQ_5_2"/>
      <w:bookmarkStart w:id="335" w:name="Tc_leyP_sTTAU600ZfvsWk5OQ_5_0"/>
      <w:bookmarkStart w:id="336" w:name="Tc_F9hgQAp-H0WzZc1goJfQfA_4_13"/>
      <w:bookmarkStart w:id="337" w:name="Tc_B5li0EJifkiyL60AJgo_YQ_4_10"/>
      <w:bookmarkStart w:id="338" w:name="Tc_lVXqjOHwlkqQsUzgYnBNSQ_4_7"/>
      <w:bookmarkStart w:id="339" w:name="Tc_Ta8ADkD30UCPBjpZpLV5mw_4_4"/>
      <w:bookmarkStart w:id="340" w:name="Tc_qFvso3IsX06nDtIQv9Oymg_4_0"/>
      <w:bookmarkStart w:id="341" w:name="Tc_MzJlgeu590S_vxvJvODtiA_3_13"/>
      <w:bookmarkStart w:id="342" w:name="Tc_btJFlBnbM0qss3CXSth9cw_3_10"/>
      <w:bookmarkStart w:id="343" w:name="Tc_WTr-IUrpXkyBLuurdZXNcQ_3_7"/>
      <w:bookmarkStart w:id="344" w:name="Tc_4ZxiO0aLDE69iUjYz7OtrA_3_4"/>
      <w:bookmarkStart w:id="345" w:name="Tc_neK0vAtT6k621hDMxHT4SA_3_2"/>
      <w:bookmarkStart w:id="346" w:name="Tc_7EvDuDHjPUqDyES3THy-gQ_2_13"/>
      <w:bookmarkStart w:id="347" w:name="Tc_s7T_MeNeRki7Fxi6L-ozxQ_2_10"/>
      <w:bookmarkStart w:id="348" w:name="Tc_EejD00i3UUGeQt-b2rI4xg_2_7"/>
      <w:bookmarkStart w:id="349" w:name="Tc_CPgwNXM0YE-tux5UL6CJcQ_2_2"/>
      <w:bookmarkStart w:id="350" w:name="Tc_qmS_0gigPkSe-Cn50zA3-g_1_13"/>
      <w:bookmarkStart w:id="351" w:name="Tc_HZaPnhm-P0iMAGcxYX9AKQ_1_7"/>
      <w:bookmarkStart w:id="352" w:name="_889563e0_2513_475e_a492_13afd6dd8983"/>
      <w:bookmarkStart w:id="353" w:name="Tc_WgfuwErVw0y5GXxk_6Sf0w_8_13"/>
      <w:bookmarkStart w:id="354" w:name="Tc_rFc9MRkrskemptYkk3izvw_8_10"/>
      <w:bookmarkStart w:id="355" w:name="Tc_Losi_SCGLESwQw2qe3L2XQ_8_7"/>
      <w:bookmarkStart w:id="356" w:name="Tc_jyDGV5K-UU6x1qEiF3Yg-Q_8_4"/>
      <w:bookmarkStart w:id="357" w:name="Tc_vQFyEY1_KEici5b-l3mLmw_8_0"/>
      <w:bookmarkStart w:id="358" w:name="Tc_F6UFsAC5nkOcQHB7uajZow_7_11"/>
      <w:bookmarkStart w:id="359" w:name="Tc_tFojyIbFsUaO54qvWWqJXQ_7_5"/>
      <w:bookmarkStart w:id="360" w:name="Tc_4V045Ghn80e0TT27zPuwcA_7_2"/>
      <w:bookmarkStart w:id="361" w:name="Tc_8O2IbyWF50eFG5lFFDxpoA_7_0"/>
      <w:bookmarkStart w:id="362" w:name="Tc_iRjUI0pcGUe_KORWph4QpQ_6_11"/>
      <w:bookmarkStart w:id="363" w:name="Tc_O1nv8WTWqUW9cpi2oKhewQ_6_5"/>
      <w:bookmarkStart w:id="364" w:name="Tc_nEvQ4w7k50uPW_QgdulzDQ_6_0"/>
      <w:bookmarkStart w:id="365" w:name="Tc_66zx4AsbrEy8zJ0QrMSfiQ_5_8"/>
      <w:bookmarkStart w:id="366" w:name="Tc_3xFourJYF0Wot7GpuoNd-Q_5_5"/>
      <w:bookmarkStart w:id="367" w:name="Tc_zIdZCqANFE-4bRYmd5_cpQ_5_2"/>
      <w:bookmarkStart w:id="368" w:name="Tc_leyP_sTTAU600ZfvsWk5OQ_5_0"/>
      <w:bookmarkStart w:id="369" w:name="Tc_F9hgQAp-H0WzZc1goJfQfA_4_13"/>
      <w:bookmarkStart w:id="370" w:name="Tc_B5li0EJifkiyL60AJgo_YQ_4_10"/>
      <w:bookmarkStart w:id="371" w:name="Tc_lVXqjOHwlkqQsUzgYnBNSQ_4_7"/>
      <w:bookmarkStart w:id="372" w:name="Tc_Ta8ADkD30UCPBjpZpLV5mw_4_4"/>
      <w:bookmarkStart w:id="373" w:name="Tc_qFvso3IsX06nDtIQv9Oymg_4_0"/>
      <w:bookmarkStart w:id="374" w:name="Tc_MzJlgeu590S_vxvJvODtiA_3_13"/>
      <w:bookmarkStart w:id="375" w:name="Tc_btJFlBnbM0qss3CXSth9cw_3_10"/>
      <w:bookmarkStart w:id="376" w:name="Tc_WTr-IUrpXkyBLuurdZXNcQ_3_7"/>
      <w:bookmarkStart w:id="377" w:name="Tc_4ZxiO0aLDE69iUjYz7OtrA_3_4"/>
      <w:bookmarkStart w:id="378" w:name="Tc_neK0vAtT6k621hDMxHT4SA_3_2"/>
      <w:bookmarkStart w:id="379" w:name="Tc_7EvDuDHjPUqDyES3THy-gQ_2_13"/>
      <w:bookmarkStart w:id="380" w:name="Tc_s7T_MeNeRki7Fxi6L-ozxQ_2_10"/>
      <w:bookmarkStart w:id="381" w:name="Tc_EejD00i3UUGeQt-b2rI4xg_2_7"/>
      <w:bookmarkStart w:id="382" w:name="Tc_CPgwNXM0YE-tux5UL6CJcQ_2_2"/>
      <w:bookmarkStart w:id="383" w:name="Tc_qmS_0gigPkSe-Cn50zA3-g_1_13"/>
      <w:bookmarkStart w:id="384" w:name="Tc_HZaPnhm-P0iMAGcxYX9AKQ_1_7"/>
      <w:bookmarkStart w:id="385" w:name="_889563e0_2513_475e_a492_13afd6dd8983"/>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tbl>
      <w:tblPr>
        <w:tblW w:w="9916" w:type="dxa"/>
        <w:jc w:val="left"/>
        <w:tblInd w:w="0" w:type="dxa"/>
        <w:tblCellMar>
          <w:top w:w="0" w:type="dxa"/>
          <w:left w:w="0" w:type="dxa"/>
          <w:bottom w:w="0" w:type="dxa"/>
          <w:right w:w="0" w:type="dxa"/>
        </w:tblCellMar>
      </w:tblPr>
      <w:tblGrid>
        <w:gridCol w:w="3076"/>
        <w:gridCol w:w="326"/>
        <w:gridCol w:w="1066"/>
        <w:gridCol w:w="326"/>
        <w:gridCol w:w="284"/>
        <w:gridCol w:w="467"/>
        <w:gridCol w:w="326"/>
        <w:gridCol w:w="211"/>
        <w:gridCol w:w="796"/>
        <w:gridCol w:w="326"/>
        <w:gridCol w:w="228"/>
        <w:gridCol w:w="928"/>
        <w:gridCol w:w="326"/>
        <w:gridCol w:w="233"/>
        <w:gridCol w:w="997"/>
      </w:tblGrid>
      <w:tr>
        <w:trPr/>
        <w:tc>
          <w:tcPr>
            <w:tcW w:w="30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4" w:type="dxa"/>
            <w:tcBorders/>
            <w:shd w:fill="auto" w:val="clear"/>
            <w:vAlign w:val="center"/>
          </w:tcPr>
          <w:p>
            <w:pPr>
              <w:pStyle w:val="TableContents"/>
              <w:spacing w:before="0" w:after="0"/>
              <w:ind w:left="0" w:right="0" w:hanging="0"/>
              <w:rPr/>
            </w:pPr>
            <w:r>
              <w:rPr/>
              <w:t>​</w:t>
            </w:r>
          </w:p>
        </w:tc>
        <w:tc>
          <w:tcPr>
            <w:tcW w:w="46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92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997" w:type="dxa"/>
            <w:tcBorders/>
            <w:shd w:fill="auto" w:val="clear"/>
            <w:vAlign w:val="center"/>
          </w:tcPr>
          <w:p>
            <w:pPr>
              <w:pStyle w:val="TableContents"/>
              <w:spacing w:before="0" w:after="0"/>
              <w:ind w:left="0" w:right="0" w:hanging="0"/>
              <w:rPr/>
            </w:pPr>
            <w:r>
              <w:rPr/>
              <w:t>​</w:t>
            </w:r>
          </w:p>
        </w:tc>
      </w:tr>
      <w:tr>
        <w:trPr/>
        <w:tc>
          <w:tcPr>
            <w:tcW w:w="30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84" w:type="dxa"/>
            <w:tcBorders/>
            <w:shd w:fill="auto" w:val="clear"/>
            <w:vAlign w:val="center"/>
          </w:tcPr>
          <w:p>
            <w:pPr>
              <w:pStyle w:val="TableContents"/>
              <w:spacing w:before="0" w:after="0"/>
              <w:ind w:left="0" w:right="0" w:hanging="0"/>
              <w:rPr/>
            </w:pPr>
            <w:r>
              <w:rPr/>
              <w:t>​</w:t>
            </w:r>
          </w:p>
        </w:tc>
        <w:tc>
          <w:tcPr>
            <w:tcW w:w="46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07"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326" w:type="dxa"/>
            <w:tcBorders/>
            <w:shd w:fill="auto" w:val="clear"/>
            <w:vAlign w:val="center"/>
          </w:tcPr>
          <w:p>
            <w:pPr>
              <w:pStyle w:val="TableContents"/>
              <w:spacing w:before="0" w:after="0"/>
              <w:ind w:left="0" w:right="0" w:hanging="0"/>
              <w:jc w:val="center"/>
              <w:rPr/>
            </w:pPr>
            <w:r>
              <w:rPr/>
              <w:t>​</w:t>
            </w:r>
          </w:p>
        </w:tc>
        <w:tc>
          <w:tcPr>
            <w:tcW w:w="1156"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30"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30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4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Common Stock</w:t>
            </w:r>
          </w:p>
        </w:tc>
        <w:tc>
          <w:tcPr>
            <w:tcW w:w="326" w:type="dxa"/>
            <w:tcBorders/>
            <w:shd w:fill="auto" w:val="clear"/>
            <w:vAlign w:val="center"/>
          </w:tcPr>
          <w:p>
            <w:pPr>
              <w:pStyle w:val="TableContents"/>
              <w:spacing w:before="0" w:after="0"/>
              <w:ind w:left="0" w:right="0" w:hanging="0"/>
              <w:jc w:val="center"/>
              <w:rPr/>
            </w:pPr>
            <w:r>
              <w:rPr/>
              <w:t>​</w:t>
            </w:r>
          </w:p>
        </w:tc>
        <w:tc>
          <w:tcPr>
            <w:tcW w:w="1007"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paid-in</w:t>
            </w:r>
          </w:p>
        </w:tc>
        <w:tc>
          <w:tcPr>
            <w:tcW w:w="326" w:type="dxa"/>
            <w:tcBorders/>
            <w:shd w:fill="auto" w:val="clear"/>
            <w:vAlign w:val="center"/>
          </w:tcPr>
          <w:p>
            <w:pPr>
              <w:pStyle w:val="TableContents"/>
              <w:spacing w:before="0" w:after="0"/>
              <w:ind w:left="0" w:right="0" w:hanging="0"/>
              <w:jc w:val="center"/>
              <w:rPr/>
            </w:pPr>
            <w:r>
              <w:rPr/>
              <w:t>​</w:t>
            </w:r>
          </w:p>
        </w:tc>
        <w:tc>
          <w:tcPr>
            <w:tcW w:w="1156"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26" w:type="dxa"/>
            <w:tcBorders/>
            <w:shd w:fill="auto" w:val="clear"/>
            <w:vAlign w:val="center"/>
          </w:tcPr>
          <w:p>
            <w:pPr>
              <w:pStyle w:val="TableContents"/>
              <w:spacing w:before="0" w:after="0"/>
              <w:ind w:left="0" w:right="0" w:hanging="0"/>
              <w:jc w:val="center"/>
              <w:rPr/>
            </w:pPr>
            <w:r>
              <w:rPr/>
              <w:t>​</w:t>
            </w:r>
          </w:p>
        </w:tc>
        <w:tc>
          <w:tcPr>
            <w:tcW w:w="1230"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stockholders’</w:t>
            </w:r>
          </w:p>
        </w:tc>
      </w:tr>
      <w:tr>
        <w:trPr/>
        <w:tc>
          <w:tcPr>
            <w:tcW w:w="30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326" w:type="dxa"/>
            <w:tcBorders/>
            <w:shd w:fill="auto" w:val="clear"/>
            <w:vAlign w:val="center"/>
          </w:tcPr>
          <w:p>
            <w:pPr>
              <w:pStyle w:val="TableContents"/>
              <w:spacing w:before="0" w:after="0"/>
              <w:ind w:left="0" w:right="0" w:hanging="0"/>
              <w:jc w:val="center"/>
              <w:rPr/>
            </w:pPr>
            <w:r>
              <w:rPr/>
              <w:t>    </w:t>
            </w:r>
          </w:p>
        </w:tc>
        <w:tc>
          <w:tcPr>
            <w:tcW w:w="7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capital</w:t>
            </w:r>
          </w:p>
        </w:tc>
        <w:tc>
          <w:tcPr>
            <w:tcW w:w="326" w:type="dxa"/>
            <w:tcBorders/>
            <w:shd w:fill="auto" w:val="clear"/>
            <w:vAlign w:val="center"/>
          </w:tcPr>
          <w:p>
            <w:pPr>
              <w:pStyle w:val="TableContents"/>
              <w:spacing w:before="0" w:after="0"/>
              <w:ind w:left="0" w:right="0" w:hanging="0"/>
              <w:jc w:val="center"/>
              <w:rPr/>
            </w:pPr>
            <w:r>
              <w:rPr/>
              <w:t>    </w:t>
            </w:r>
          </w:p>
        </w:tc>
        <w:tc>
          <w:tcPr>
            <w:tcW w:w="11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deficit</w:t>
            </w:r>
          </w:p>
        </w:tc>
        <w:tc>
          <w:tcPr>
            <w:tcW w:w="326" w:type="dxa"/>
            <w:tcBorders/>
            <w:shd w:fill="auto" w:val="clear"/>
            <w:vAlign w:val="center"/>
          </w:tcPr>
          <w:p>
            <w:pPr>
              <w:pStyle w:val="TableContents"/>
              <w:spacing w:before="0" w:after="0"/>
              <w:ind w:left="0" w:right="0" w:hanging="0"/>
              <w:jc w:val="center"/>
              <w:rPr/>
            </w:pPr>
            <w:r>
              <w:rPr/>
              <w:t>    </w:t>
            </w:r>
          </w:p>
        </w:tc>
        <w:tc>
          <w:tcPr>
            <w:tcW w:w="12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equity</w:t>
            </w:r>
          </w:p>
        </w:tc>
      </w:tr>
      <w:tr>
        <w:trPr/>
        <w:tc>
          <w:tcPr>
            <w:tcW w:w="3076" w:type="dxa"/>
            <w:tcBorders/>
            <w:shd w:fill="CCEEFF"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Balance as of December 31, 2021</w:t>
            </w:r>
          </w:p>
        </w:tc>
        <w:tc>
          <w:tcPr>
            <w:tcW w:w="326"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58,825,769</w:t>
            </w:r>
          </w:p>
        </w:tc>
        <w:tc>
          <w:tcPr>
            <w:tcW w:w="326" w:type="dxa"/>
            <w:tcBorders/>
            <w:shd w:fill="CCEEFF" w:val="clear"/>
            <w:vAlign w:val="center"/>
          </w:tcPr>
          <w:p>
            <w:pPr>
              <w:pStyle w:val="TableContents"/>
              <w:spacing w:before="0" w:after="0"/>
              <w:ind w:left="0" w:right="0" w:hanging="0"/>
              <w:rPr/>
            </w:pPr>
            <w:r>
              <w:rPr/>
              <w:t>​</w:t>
            </w:r>
          </w:p>
        </w:tc>
        <w:tc>
          <w:tcPr>
            <w:tcW w:w="284" w:type="dxa"/>
            <w:tcBorders/>
            <w:shd w:fill="CCEEFF"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w:t>
            </w:r>
          </w:p>
        </w:tc>
        <w:tc>
          <w:tcPr>
            <w:tcW w:w="467" w:type="dxa"/>
            <w:tcBorders/>
            <w:shd w:fill="CCEEFF"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w:t>
            </w:r>
          </w:p>
        </w:tc>
        <w:tc>
          <w:tcPr>
            <w:tcW w:w="796" w:type="dxa"/>
            <w:tcBorders/>
            <w:shd w:fill="CCEEFF"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640,104</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w:t>
            </w:r>
          </w:p>
        </w:tc>
        <w:tc>
          <w:tcPr>
            <w:tcW w:w="928" w:type="dxa"/>
            <w:tcBorders/>
            <w:shd w:fill="CCEEFF"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(453,598)</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w:t>
            </w:r>
          </w:p>
        </w:tc>
        <w:tc>
          <w:tcPr>
            <w:tcW w:w="997" w:type="dxa"/>
            <w:tcBorders/>
            <w:shd w:fill="CCEEFF"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186,507</w:t>
            </w:r>
          </w:p>
        </w:tc>
      </w:tr>
      <w:tr>
        <w:trPr/>
        <w:tc>
          <w:tcPr>
            <w:tcW w:w="3076" w:type="dxa"/>
            <w:tcBorders/>
            <w:shd w:fill="auto"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Net income</w:t>
            </w:r>
          </w:p>
        </w:tc>
        <w:tc>
          <w:tcPr>
            <w:tcW w:w="326"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84" w:type="dxa"/>
            <w:tcBorders/>
            <w:shd w:fill="auto" w:val="clear"/>
            <w:vAlign w:val="center"/>
          </w:tcPr>
          <w:p>
            <w:pPr>
              <w:pStyle w:val="TableContents"/>
              <w:spacing w:before="0" w:after="0"/>
              <w:ind w:left="0" w:right="0" w:hanging="0"/>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 </w:t>
            </w:r>
          </w:p>
        </w:tc>
        <w:tc>
          <w:tcPr>
            <w:tcW w:w="928" w:type="dxa"/>
            <w:tcBorders/>
            <w:shd w:fill="auto"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21,485</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 </w:t>
            </w:r>
          </w:p>
        </w:tc>
        <w:tc>
          <w:tcPr>
            <w:tcW w:w="997" w:type="dxa"/>
            <w:tcBorders/>
            <w:shd w:fill="auto"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21,485</w:t>
            </w:r>
          </w:p>
        </w:tc>
      </w:tr>
      <w:tr>
        <w:trPr/>
        <w:tc>
          <w:tcPr>
            <w:tcW w:w="3076" w:type="dxa"/>
            <w:tcBorders/>
            <w:shd w:fill="CCEEFF"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Exercise of stock options</w:t>
            </w:r>
          </w:p>
        </w:tc>
        <w:tc>
          <w:tcPr>
            <w:tcW w:w="326"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204,379</w:t>
            </w:r>
          </w:p>
        </w:tc>
        <w:tc>
          <w:tcPr>
            <w:tcW w:w="326" w:type="dxa"/>
            <w:tcBorders/>
            <w:shd w:fill="CCEEFF" w:val="clear"/>
            <w:vAlign w:val="center"/>
          </w:tcPr>
          <w:p>
            <w:pPr>
              <w:pStyle w:val="TableContents"/>
              <w:spacing w:before="0" w:after="0"/>
              <w:ind w:left="0" w:right="0" w:hanging="0"/>
              <w:rPr/>
            </w:pPr>
            <w:r>
              <w:rPr/>
              <w:t>​</w:t>
            </w:r>
          </w:p>
        </w:tc>
        <w:tc>
          <w:tcPr>
            <w:tcW w:w="284" w:type="dxa"/>
            <w:tcBorders/>
            <w:shd w:fill="CCEEFF" w:val="clear"/>
            <w:vAlign w:val="center"/>
          </w:tcPr>
          <w:p>
            <w:pPr>
              <w:pStyle w:val="TableContents"/>
              <w:spacing w:before="0" w:after="0"/>
              <w:ind w:left="0" w:right="0" w:hanging="0"/>
              <w:rPr/>
            </w:pPr>
            <w:r>
              <w:rPr/>
              <w:t> </w:t>
            </w:r>
          </w:p>
        </w:tc>
        <w:tc>
          <w:tcPr>
            <w:tcW w:w="46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1,883</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 </w:t>
            </w:r>
          </w:p>
        </w:tc>
        <w:tc>
          <w:tcPr>
            <w:tcW w:w="92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 </w:t>
            </w:r>
          </w:p>
        </w:tc>
        <w:tc>
          <w:tcPr>
            <w:tcW w:w="997" w:type="dxa"/>
            <w:tcBorders/>
            <w:shd w:fill="CCEEFF" w:val="cle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1,883</w:t>
            </w:r>
          </w:p>
        </w:tc>
      </w:tr>
      <w:tr>
        <w:trPr/>
        <w:tc>
          <w:tcPr>
            <w:tcW w:w="3076" w:type="dxa"/>
            <w:tcBorders/>
            <w:shd w:fill="auto"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Stock-based compensation</w:t>
            </w:r>
          </w:p>
        </w:tc>
        <w:tc>
          <w:tcPr>
            <w:tcW w:w="326" w:type="dxa"/>
            <w:tcBorders/>
            <w:shd w:fill="auto" w:val="clear"/>
            <w:vAlign w:val="center"/>
          </w:tcPr>
          <w:p>
            <w:pPr>
              <w:pStyle w:val="TableContents"/>
              <w:spacing w:before="0" w:after="0"/>
              <w:ind w:left="0" w:right="0" w:hanging="0"/>
              <w:rPr/>
            </w:pPr>
            <w:r>
              <w:rPr/>
              <w:t> </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8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6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4,628</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2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4,628</w:t>
            </w:r>
          </w:p>
        </w:tc>
      </w:tr>
      <w:tr>
        <w:trPr/>
        <w:tc>
          <w:tcPr>
            <w:tcW w:w="3076" w:type="dxa"/>
            <w:tcBorders/>
            <w:shd w:fill="CCEEFF"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Balance as of March 31, 2022</w:t>
            </w:r>
          </w:p>
        </w:tc>
        <w:tc>
          <w:tcPr>
            <w:tcW w:w="326" w:type="dxa"/>
            <w:tcBorders/>
            <w:shd w:fill="CCEEFF" w:val="clear"/>
            <w:vAlign w:val="center"/>
          </w:tcPr>
          <w:p>
            <w:pPr>
              <w:pStyle w:val="TableContents"/>
              <w:spacing w:before="0" w:after="0"/>
              <w:ind w:left="0" w:right="0" w:hanging="0"/>
              <w:rPr/>
            </w:pPr>
            <w:r>
              <w:rPr/>
              <w:t> </w:t>
            </w:r>
          </w:p>
        </w:tc>
        <w:tc>
          <w:tcPr>
            <w:tcW w:w="10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59,030,148</w:t>
            </w:r>
          </w:p>
        </w:tc>
        <w:tc>
          <w:tcPr>
            <w:tcW w:w="326" w:type="dxa"/>
            <w:tcBorders/>
            <w:shd w:fill="CCEEFF" w:val="clear"/>
            <w:vAlign w:val="center"/>
          </w:tcPr>
          <w:p>
            <w:pPr>
              <w:pStyle w:val="TableContents"/>
              <w:spacing w:before="0" w:after="0"/>
              <w:ind w:left="0" w:right="0" w:hanging="0"/>
              <w:rPr/>
            </w:pPr>
            <w:r>
              <w:rPr/>
              <w:t>​</w:t>
            </w:r>
          </w:p>
        </w:tc>
        <w:tc>
          <w:tcPr>
            <w:tcW w:w="284"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w:t>
            </w:r>
          </w:p>
        </w:tc>
        <w:tc>
          <w:tcPr>
            <w:tcW w:w="46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646,615</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w:t>
            </w:r>
          </w:p>
        </w:tc>
        <w:tc>
          <w:tcPr>
            <w:tcW w:w="92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9"/>
              </w:rPr>
            </w:pPr>
            <w:r>
              <w:rPr>
                <w:rFonts w:ascii="Arial;Helvetica;sans-serif" w:hAnsi="Arial;Helvetica;sans-serif"/>
                <w:sz w:val="19"/>
              </w:rPr>
              <w:t>(432,113)</w:t>
            </w:r>
          </w:p>
        </w:tc>
        <w:tc>
          <w:tcPr>
            <w:tcW w:w="326" w:type="dxa"/>
            <w:tcBorders/>
            <w:shd w:fill="CCEEFF" w:val="clear"/>
            <w:vAlign w:val="center"/>
          </w:tcPr>
          <w:p>
            <w:pPr>
              <w:pStyle w:val="TableContents"/>
              <w:spacing w:before="0" w:after="0"/>
              <w:ind w:left="0" w:right="0" w:hanging="0"/>
              <w:rPr/>
            </w:pPr>
            <w:r>
              <w:rPr/>
              <w:t>​</w:t>
            </w:r>
          </w:p>
        </w:tc>
        <w:tc>
          <w:tcPr>
            <w:tcW w:w="233"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w:t>
            </w:r>
          </w:p>
        </w:tc>
        <w:tc>
          <w:tcPr>
            <w:tcW w:w="997"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Arial;Helvetica;sans-serif" w:hAnsi="Arial;Helvetica;sans-serif"/>
                <w:sz w:val="19"/>
              </w:rPr>
            </w:pPr>
            <w:r>
              <w:rPr>
                <w:rFonts w:ascii="Arial;Helvetica;sans-serif" w:hAnsi="Arial;Helvetica;sans-serif"/>
                <w:sz w:val="19"/>
              </w:rPr>
              <w:t>214,503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240" w:after="0"/>
        <w:ind w:left="0" w:right="0" w:firstLine="720"/>
        <w:jc w:val="center"/>
        <w:rPr>
          <w:rFonts w:ascii="Arial;Helvetica;sans-serif" w:hAnsi="Arial;Helvetica;sans-serif"/>
          <w:sz w:val="20"/>
        </w:rPr>
      </w:pPr>
      <w:r>
        <w:rPr>
          <w:rFonts w:ascii="Arial;Helvetica;sans-serif" w:hAnsi="Arial;Helvetica;sans-serif"/>
          <w:sz w:val="20"/>
        </w:rPr>
        <w:t>The accompanying notes are an integral part of the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jc w:val="center"/>
        <w:rPr>
          <w:rFonts w:ascii="Arial;Helvetica;sans-serif" w:hAnsi="Arial;Helvetica;sans-serif"/>
          <w:b/>
          <w:sz w:val="20"/>
        </w:rPr>
      </w:pPr>
      <w:bookmarkStart w:id="386" w:name="_b57926fd_7998_4c8f_9d67_b53b684ebae1"/>
      <w:bookmarkEnd w:id="386"/>
      <w:r>
        <w:rPr>
          <w:rFonts w:ascii="Arial;Helvetica;sans-serif" w:hAnsi="Arial;Helvetica;sans-serif"/>
          <w:b/>
          <w:sz w:val="20"/>
        </w:rPr>
        <w:t>HARMONY BIOSCIENCES HOLDINGS, INC. AND SUBSIDIARY</w:t>
      </w:r>
    </w:p>
    <w:p>
      <w:pPr>
        <w:pStyle w:val="TextBody"/>
        <w:spacing w:before="0" w:after="0"/>
        <w:ind w:left="0" w:right="0" w:hanging="0"/>
        <w:jc w:val="center"/>
        <w:rPr>
          <w:rFonts w:ascii="Arial;Helvetica;sans-serif" w:hAnsi="Arial;Helvetica;sans-serif"/>
          <w:b/>
          <w:sz w:val="20"/>
        </w:rPr>
      </w:pPr>
      <w:bookmarkStart w:id="387" w:name="CASHFLOWS"/>
      <w:bookmarkEnd w:id="387"/>
      <w:r>
        <w:rPr>
          <w:rFonts w:ascii="Arial;Helvetica;sans-serif" w:hAnsi="Arial;Helvetica;sans-serif"/>
          <w:b/>
          <w:sz w:val="20"/>
        </w:rPr>
        <w:t>UNAUDITED CONDENSED CONSOLIDATED STATEMENTS OF CASH FLOWS</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388" w:name="Tc_oh28xcRdZUCNp_EOpPw7Tg_36_5"/>
      <w:bookmarkStart w:id="389" w:name="Tc_tPkfDMRJvE-Ra7rwjcXRSQ_36_2"/>
      <w:bookmarkStart w:id="390" w:name="Tc_FiDrrNEsu0CXN1FnUWFjKw_36_0"/>
      <w:bookmarkStart w:id="391" w:name="Tc_QAeC38fnEkeL6Z-3U-ZfTA_35_0"/>
      <w:bookmarkStart w:id="392" w:name="Tc__Yrw_RHRqkSTEZZsvY2s9w_34_5"/>
      <w:bookmarkStart w:id="393" w:name="Tc_nhtt-TiRrkqzDvUuORaDRg_34_2"/>
      <w:bookmarkStart w:id="394" w:name="Tc_ziRtPZwvT0KDmU4tOYQLpw_34_0"/>
      <w:bookmarkStart w:id="395" w:name="Tc_FMyko-CVhEmoopVzXV8O5w_33_0"/>
      <w:bookmarkStart w:id="396" w:name="Tc_9D2TsUSkeU-Nf6Gz7R9-vg_32_0"/>
      <w:bookmarkStart w:id="397" w:name="Tc_2kPMlnhVmEyXCV9OCgLZIg_31_0"/>
      <w:bookmarkStart w:id="398" w:name="Tc_Z7UX-8di1kOb4k8ulLwSAw_30_0"/>
      <w:bookmarkStart w:id="399" w:name="Tc_BAlY5yYpoU2b8zID1OheBw_29_0"/>
      <w:bookmarkStart w:id="400" w:name="Tc_coIyFKuMQUKe3jvX3h0i7w_28_0"/>
      <w:bookmarkStart w:id="401" w:name="Tc_ux1A4vnE60-E5r9PtQLMGA_27_0"/>
      <w:bookmarkStart w:id="402" w:name="Tc_f_itDVbvaUW7lVjUHRZGkQ_26_3"/>
      <w:bookmarkStart w:id="403" w:name="Tc_-WvDqhkoOUy9Qx8C9h-htg_26_0"/>
      <w:bookmarkStart w:id="404" w:name="Tc_lGkEVfL9MUi7B0-X_C0qYA_25_3"/>
      <w:bookmarkStart w:id="405" w:name="Tc_NXbM3rujTUqb1MzpMGfw-Q_25_0"/>
      <w:bookmarkStart w:id="406" w:name="Tc_S47_4H4mjkWiDXbqkQ0wuA_24_6"/>
      <w:bookmarkStart w:id="407" w:name="Tc_KPlFRtA3CkihhO0UegkSyA_24_0"/>
      <w:bookmarkStart w:id="408" w:name="Tc_hMV3A17RWE24VyuwiNnOuw_23_6"/>
      <w:bookmarkStart w:id="409" w:name="Tc_2iaSsIquTk6Sutz0DYo-uA_23_0"/>
      <w:bookmarkStart w:id="410" w:name="Tc_7zb2RxzVfE25flyGfcSrYw_22_0"/>
      <w:bookmarkStart w:id="411" w:name="Tc_FljXwkjaEUuYLQRw7aXbjg_21_0"/>
      <w:bookmarkStart w:id="412" w:name="Tc_l11lzmo3VEepGDAfqW93MQ_20_3"/>
      <w:bookmarkStart w:id="413" w:name="Tc_rK-XcPpoO0iG5t6YWDBRYQ_20_0"/>
      <w:bookmarkStart w:id="414" w:name="Tc_z_lwnFUho0m2IexyIgit_Q_19_0"/>
      <w:bookmarkStart w:id="415" w:name="Tc_4LJ1tM5l2kSzuX_k34Z2ug_18_0"/>
      <w:bookmarkStart w:id="416" w:name="Tc_j_y7tXZA8EeDym7UT4ksFw_17_0"/>
      <w:bookmarkStart w:id="417" w:name="Tc_qqYlVJWrCkyLD51uAH1liQ_16_0"/>
      <w:bookmarkStart w:id="418" w:name="Tc_yBqoyfka50GLQZ-KWINECw_15_0"/>
      <w:bookmarkStart w:id="419" w:name="Tc_8WbuNOVMhUS0he_1_yBKqQ_14_0"/>
      <w:bookmarkStart w:id="420" w:name="Tc_V0zY-fXXtEG95_JzfM2cNA_13_0"/>
      <w:bookmarkStart w:id="421" w:name="Tc_-c1xlp2x00-ceviB0e_tRg_12_6"/>
      <w:bookmarkStart w:id="422" w:name="Tc_kDan1lhsakKQ9d-0iRgbXw_12_0"/>
      <w:bookmarkStart w:id="423" w:name="Tc_9KnQnpZLokSgLgHHKWflgg_11_6"/>
      <w:bookmarkStart w:id="424" w:name="Tc_lRhC7nbGS0iOxVCfigcQQw_11_0"/>
      <w:bookmarkStart w:id="425" w:name="Tc_pRarJltK_0i8d-XUo8FJ0A_10_0"/>
      <w:bookmarkStart w:id="426" w:name="Tc_QkOrOw0qVE6p5BS58_rstA_9_0"/>
      <w:bookmarkStart w:id="427" w:name="Tc_PmdfnmGajEC0a4Z2hl_JmA_8_0"/>
      <w:bookmarkStart w:id="428" w:name="Tc_MHOHWhicTEqPV-vPeO4P2g_7_0"/>
      <w:bookmarkStart w:id="429" w:name="Tc_k3YQyp9FpkiZMEU6ZY2Tig_6_0"/>
      <w:bookmarkStart w:id="430" w:name="Tc_Mev31z17SUuiMqgMLaed6g_5_0"/>
      <w:bookmarkStart w:id="431" w:name="Tc_oghGRNs8ikmvYu_F-GF2qg_4_5"/>
      <w:bookmarkStart w:id="432" w:name="Tc_sZr3UXfdrk2NefXFLm4U9g_4_2"/>
      <w:bookmarkStart w:id="433" w:name="Tc_Q1Zj3bWZ00OFYv2wfUM6vg_4_0"/>
      <w:bookmarkStart w:id="434" w:name="Tc_ZnL5-eiojk-OH-4BZ9knZQ_3_0"/>
      <w:bookmarkStart w:id="435" w:name="Tc__LAwuOTQEEyCCOzbhiQi4w_2_5"/>
      <w:bookmarkStart w:id="436" w:name="Tc_kBTBlxpeUk6gEVXqB1tTGQ_2_2"/>
      <w:bookmarkStart w:id="437" w:name="Tc_a1erYPOUuEaaocAz3vLqTQ_1_2"/>
      <w:bookmarkStart w:id="438" w:name="_0a41a578_a980_43a4_8ab1_e5780dc331ad"/>
      <w:bookmarkStart w:id="439" w:name="Tc_oh28xcRdZUCNp_EOpPw7Tg_36_5"/>
      <w:bookmarkStart w:id="440" w:name="Tc_tPkfDMRJvE-Ra7rwjcXRSQ_36_2"/>
      <w:bookmarkStart w:id="441" w:name="Tc_FiDrrNEsu0CXN1FnUWFjKw_36_0"/>
      <w:bookmarkStart w:id="442" w:name="Tc_QAeC38fnEkeL6Z-3U-ZfTA_35_0"/>
      <w:bookmarkStart w:id="443" w:name="Tc__Yrw_RHRqkSTEZZsvY2s9w_34_5"/>
      <w:bookmarkStart w:id="444" w:name="Tc_nhtt-TiRrkqzDvUuORaDRg_34_2"/>
      <w:bookmarkStart w:id="445" w:name="Tc_ziRtPZwvT0KDmU4tOYQLpw_34_0"/>
      <w:bookmarkStart w:id="446" w:name="Tc_FMyko-CVhEmoopVzXV8O5w_33_0"/>
      <w:bookmarkStart w:id="447" w:name="Tc_9D2TsUSkeU-Nf6Gz7R9-vg_32_0"/>
      <w:bookmarkStart w:id="448" w:name="Tc_2kPMlnhVmEyXCV9OCgLZIg_31_0"/>
      <w:bookmarkStart w:id="449" w:name="Tc_Z7UX-8di1kOb4k8ulLwSAw_30_0"/>
      <w:bookmarkStart w:id="450" w:name="Tc_BAlY5yYpoU2b8zID1OheBw_29_0"/>
      <w:bookmarkStart w:id="451" w:name="Tc_coIyFKuMQUKe3jvX3h0i7w_28_0"/>
      <w:bookmarkStart w:id="452" w:name="Tc_ux1A4vnE60-E5r9PtQLMGA_27_0"/>
      <w:bookmarkStart w:id="453" w:name="Tc_f_itDVbvaUW7lVjUHRZGkQ_26_3"/>
      <w:bookmarkStart w:id="454" w:name="Tc_-WvDqhkoOUy9Qx8C9h-htg_26_0"/>
      <w:bookmarkStart w:id="455" w:name="Tc_lGkEVfL9MUi7B0-X_C0qYA_25_3"/>
      <w:bookmarkStart w:id="456" w:name="Tc_NXbM3rujTUqb1MzpMGfw-Q_25_0"/>
      <w:bookmarkStart w:id="457" w:name="Tc_S47_4H4mjkWiDXbqkQ0wuA_24_6"/>
      <w:bookmarkStart w:id="458" w:name="Tc_KPlFRtA3CkihhO0UegkSyA_24_0"/>
      <w:bookmarkStart w:id="459" w:name="Tc_hMV3A17RWE24VyuwiNnOuw_23_6"/>
      <w:bookmarkStart w:id="460" w:name="Tc_2iaSsIquTk6Sutz0DYo-uA_23_0"/>
      <w:bookmarkStart w:id="461" w:name="Tc_7zb2RxzVfE25flyGfcSrYw_22_0"/>
      <w:bookmarkStart w:id="462" w:name="Tc_FljXwkjaEUuYLQRw7aXbjg_21_0"/>
      <w:bookmarkStart w:id="463" w:name="Tc_l11lzmo3VEepGDAfqW93MQ_20_3"/>
      <w:bookmarkStart w:id="464" w:name="Tc_rK-XcPpoO0iG5t6YWDBRYQ_20_0"/>
      <w:bookmarkStart w:id="465" w:name="Tc_z_lwnFUho0m2IexyIgit_Q_19_0"/>
      <w:bookmarkStart w:id="466" w:name="Tc_4LJ1tM5l2kSzuX_k34Z2ug_18_0"/>
      <w:bookmarkStart w:id="467" w:name="Tc_j_y7tXZA8EeDym7UT4ksFw_17_0"/>
      <w:bookmarkStart w:id="468" w:name="Tc_qqYlVJWrCkyLD51uAH1liQ_16_0"/>
      <w:bookmarkStart w:id="469" w:name="Tc_yBqoyfka50GLQZ-KWINECw_15_0"/>
      <w:bookmarkStart w:id="470" w:name="Tc_8WbuNOVMhUS0he_1_yBKqQ_14_0"/>
      <w:bookmarkStart w:id="471" w:name="Tc_V0zY-fXXtEG95_JzfM2cNA_13_0"/>
      <w:bookmarkStart w:id="472" w:name="Tc_-c1xlp2x00-ceviB0e_tRg_12_6"/>
      <w:bookmarkStart w:id="473" w:name="Tc_kDan1lhsakKQ9d-0iRgbXw_12_0"/>
      <w:bookmarkStart w:id="474" w:name="Tc_9KnQnpZLokSgLgHHKWflgg_11_6"/>
      <w:bookmarkStart w:id="475" w:name="Tc_lRhC7nbGS0iOxVCfigcQQw_11_0"/>
      <w:bookmarkStart w:id="476" w:name="Tc_pRarJltK_0i8d-XUo8FJ0A_10_0"/>
      <w:bookmarkStart w:id="477" w:name="Tc_QkOrOw0qVE6p5BS58_rstA_9_0"/>
      <w:bookmarkStart w:id="478" w:name="Tc_PmdfnmGajEC0a4Z2hl_JmA_8_0"/>
      <w:bookmarkStart w:id="479" w:name="Tc_MHOHWhicTEqPV-vPeO4P2g_7_0"/>
      <w:bookmarkStart w:id="480" w:name="Tc_k3YQyp9FpkiZMEU6ZY2Tig_6_0"/>
      <w:bookmarkStart w:id="481" w:name="Tc_Mev31z17SUuiMqgMLaed6g_5_0"/>
      <w:bookmarkStart w:id="482" w:name="Tc_oghGRNs8ikmvYu_F-GF2qg_4_5"/>
      <w:bookmarkStart w:id="483" w:name="Tc_sZr3UXfdrk2NefXFLm4U9g_4_2"/>
      <w:bookmarkStart w:id="484" w:name="Tc_Q1Zj3bWZ00OFYv2wfUM6vg_4_0"/>
      <w:bookmarkStart w:id="485" w:name="Tc_ZnL5-eiojk-OH-4BZ9knZQ_3_0"/>
      <w:bookmarkStart w:id="486" w:name="Tc__LAwuOTQEEyCCOzbhiQi4w_2_5"/>
      <w:bookmarkStart w:id="487" w:name="Tc_kBTBlxpeUk6gEVXqB1tTGQ_2_2"/>
      <w:bookmarkStart w:id="488" w:name="Tc_a1erYPOUuEaaocAz3vLqTQ_1_2"/>
      <w:bookmarkStart w:id="489" w:name="_0a41a578_a980_43a4_8ab1_e5780dc331ad"/>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tbl>
      <w:tblPr>
        <w:tblW w:w="9790" w:type="dxa"/>
        <w:jc w:val="left"/>
        <w:tblInd w:w="0" w:type="dxa"/>
        <w:tblCellMar>
          <w:top w:w="0" w:type="dxa"/>
          <w:left w:w="0" w:type="dxa"/>
          <w:bottom w:w="0" w:type="dxa"/>
          <w:right w:w="0" w:type="dxa"/>
        </w:tblCellMar>
      </w:tblPr>
      <w:tblGrid>
        <w:gridCol w:w="6826"/>
        <w:gridCol w:w="326"/>
        <w:gridCol w:w="234"/>
        <w:gridCol w:w="863"/>
        <w:gridCol w:w="390"/>
        <w:gridCol w:w="234"/>
        <w:gridCol w:w="917"/>
      </w:tblGrid>
      <w:tr>
        <w:trPr/>
        <w:tc>
          <w:tcPr>
            <w:tcW w:w="6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334510" cy="175260"/>
                      <wp:effectExtent l="0" t="0" r="0" b="0"/>
                      <wp:wrapNone/>
                      <wp:docPr id="32" name="Frame32"/>
                      <a:graphic xmlns:a="http://schemas.openxmlformats.org/drawingml/2006/main">
                        <a:graphicData uri="http://schemas.microsoft.com/office/word/2010/wordprocessingShape">
                          <wps:wsp>
                            <wps:cNvSpPr txBox="1"/>
                            <wps:spPr>
                              <a:xfrm>
                                <a:off x="0" y="0"/>
                                <a:ext cx="433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8590" cy="175260"/>
                      <wp:effectExtent l="0" t="0" r="0" b="0"/>
                      <wp:wrapNone/>
                      <wp:docPr id="34" name="Frame34"/>
                      <a:graphic xmlns:a="http://schemas.openxmlformats.org/drawingml/2006/main">
                        <a:graphicData uri="http://schemas.microsoft.com/office/word/2010/wordprocessingShape">
                          <wps:wsp>
                            <wps:cNvSpPr txBox="1"/>
                            <wps:spPr>
                              <a:xfrm>
                                <a:off x="0" y="0"/>
                                <a:ext cx="148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48005" cy="175260"/>
                      <wp:effectExtent l="0" t="0" r="0" b="0"/>
                      <wp:wrapNone/>
                      <wp:docPr id="35" name="Frame35"/>
                      <a:graphic xmlns:a="http://schemas.openxmlformats.org/drawingml/2006/main">
                        <a:graphicData uri="http://schemas.microsoft.com/office/word/2010/wordprocessingShape">
                          <wps:wsp>
                            <wps:cNvSpPr txBox="1"/>
                            <wps:spPr>
                              <a:xfrm>
                                <a:off x="0" y="0"/>
                                <a:ext cx="548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47650" cy="175260"/>
                      <wp:effectExtent l="0" t="0" r="0" b="0"/>
                      <wp:wrapNone/>
                      <wp:docPr id="36" name="Frame36"/>
                      <a:graphic xmlns:a="http://schemas.openxmlformats.org/drawingml/2006/main">
                        <a:graphicData uri="http://schemas.microsoft.com/office/word/2010/wordprocessingShape">
                          <wps:wsp>
                            <wps:cNvSpPr txBox="1"/>
                            <wps:spPr>
                              <a:xfrm>
                                <a:off x="0" y="0"/>
                                <a:ext cx="247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8590" cy="175260"/>
                      <wp:effectExtent l="0" t="0" r="0" b="0"/>
                      <wp:wrapNone/>
                      <wp:docPr id="37" name="Frame37"/>
                      <a:graphic xmlns:a="http://schemas.openxmlformats.org/drawingml/2006/main">
                        <a:graphicData uri="http://schemas.microsoft.com/office/word/2010/wordprocessingShape">
                          <wps:wsp>
                            <wps:cNvSpPr txBox="1"/>
                            <wps:spPr>
                              <a:xfrm>
                                <a:off x="0" y="0"/>
                                <a:ext cx="148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82295" cy="175260"/>
                      <wp:effectExtent l="0" t="0" r="0" b="0"/>
                      <wp:wrapNone/>
                      <wp:docPr id="38" name="Frame38"/>
                      <a:graphic xmlns:a="http://schemas.openxmlformats.org/drawingml/2006/main">
                        <a:graphicData uri="http://schemas.microsoft.com/office/word/2010/wordprocessingShape">
                          <wps:wsp>
                            <wps:cNvSpPr txBox="1"/>
                            <wps:spPr>
                              <a:xfrm>
                                <a:off x="0" y="0"/>
                                <a:ext cx="5822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63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6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90" w:type="dxa"/>
            <w:tcBorders/>
            <w:shd w:fill="auto" w:val="clear"/>
            <w:vAlign w:val="center"/>
          </w:tcPr>
          <w:p>
            <w:pPr>
              <w:pStyle w:val="TableContents"/>
              <w:spacing w:before="0" w:after="0"/>
              <w:ind w:left="0" w:right="0" w:hanging="0"/>
              <w:jc w:val="center"/>
              <w:rPr/>
            </w:pPr>
            <w:r>
              <w:rPr/>
              <w:t>    </w:t>
            </w:r>
          </w:p>
        </w:tc>
        <w:tc>
          <w:tcPr>
            <w:tcW w:w="11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682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CASH FLOWS FROM OPERATING ACTIVITIES</w:t>
            </w:r>
          </w:p>
        </w:tc>
        <w:tc>
          <w:tcPr>
            <w:tcW w:w="326" w:type="dxa"/>
            <w:tcBorders/>
            <w:shd w:fill="CCEEFF" w:val="clear"/>
            <w:vAlign w:val="center"/>
          </w:tcPr>
          <w:p>
            <w:pPr>
              <w:pStyle w:val="TableContents"/>
              <w:spacing w:before="0" w:after="0"/>
              <w:ind w:left="0" w:right="0" w:hanging="0"/>
              <w:rPr/>
            </w:pPr>
            <w:r>
              <w:rPr/>
              <w:t> </w:t>
            </w:r>
          </w:p>
        </w:tc>
        <w:tc>
          <w:tcPr>
            <w:tcW w:w="234"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pPr>
            <w:r>
              <w:rPr/>
              <w:t>  </w:t>
            </w:r>
          </w:p>
        </w:tc>
        <w:tc>
          <w:tcPr>
            <w:tcW w:w="390" w:type="dxa"/>
            <w:tcBorders/>
            <w:shd w:fill="CCEEFF" w:val="clear"/>
            <w:vAlign w:val="center"/>
          </w:tcPr>
          <w:p>
            <w:pPr>
              <w:pStyle w:val="TableContents"/>
              <w:spacing w:before="0" w:after="0"/>
              <w:ind w:left="0" w:right="0" w:hanging="0"/>
              <w:rPr/>
            </w:pPr>
            <w:r>
              <w:rPr/>
              <w:t> </w:t>
            </w:r>
          </w:p>
        </w:tc>
        <w:tc>
          <w:tcPr>
            <w:tcW w:w="234" w:type="dxa"/>
            <w:tcBorders/>
            <w:shd w:fill="CCEEFF" w:val="clear"/>
            <w:vAlign w:val="center"/>
          </w:tcPr>
          <w:p>
            <w:pPr>
              <w:pStyle w:val="TableContents"/>
              <w:spacing w:before="0" w:after="0"/>
              <w:ind w:left="0" w:right="0" w:hanging="0"/>
              <w:rPr/>
            </w:pPr>
            <w:r>
              <w:rPr/>
              <w:t>​</w:t>
            </w:r>
          </w:p>
        </w:tc>
        <w:tc>
          <w:tcPr>
            <w:tcW w:w="917" w:type="dxa"/>
            <w:tcBorders/>
            <w:shd w:fill="CCEEFF" w:val="clear"/>
            <w:vAlign w:val="center"/>
          </w:tcPr>
          <w:p>
            <w:pPr>
              <w:pStyle w:val="TableContents"/>
              <w:spacing w:before="0" w:after="0"/>
              <w:ind w:left="0" w:right="0" w:hanging="0"/>
              <w:jc w:val="right"/>
              <w:rPr/>
            </w:pPr>
            <w:r>
              <w:rPr/>
              <w:t>  </w:t>
            </w:r>
          </w:p>
        </w:tc>
      </w:tr>
      <w:tr>
        <w:trPr/>
        <w:tc>
          <w:tcPr>
            <w:tcW w:w="682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Net income</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863"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29,485</w:t>
            </w:r>
          </w:p>
        </w:tc>
        <w:tc>
          <w:tcPr>
            <w:tcW w:w="390"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917"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21,485</w:t>
            </w:r>
          </w:p>
        </w:tc>
      </w:tr>
      <w:tr>
        <w:trPr/>
        <w:tc>
          <w:tcPr>
            <w:tcW w:w="6826" w:type="dxa"/>
            <w:tcBorders/>
            <w:shd w:fill="CCEEFF" w:val="clear"/>
            <w:vAlign w:val="center"/>
          </w:tcPr>
          <w:p>
            <w:pPr>
              <w:pStyle w:val="TableContents"/>
              <w:spacing w:before="0" w:after="0"/>
              <w:ind w:left="0" w:right="0" w:hanging="0"/>
              <w:rPr>
                <w:rFonts w:ascii="Arial;Helvetica;sans-serif" w:hAnsi="Arial;Helvetica;sans-serif"/>
                <w:i/>
                <w:sz w:val="16"/>
              </w:rPr>
            </w:pPr>
            <w:r>
              <w:rPr>
                <w:rFonts w:ascii="Arial;Helvetica;sans-serif" w:hAnsi="Arial;Helvetica;sans-serif"/>
                <w:i/>
                <w:sz w:val="16"/>
              </w:rPr>
              <w:t>Adjustments to reconcile net income to net cash used in operating activities:</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pPr>
            <w:r>
              <w:rPr/>
              <w:t>​</w:t>
            </w:r>
          </w:p>
        </w:tc>
        <w:tc>
          <w:tcPr>
            <w:tcW w:w="390"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917" w:type="dxa"/>
            <w:tcBorders/>
            <w:shd w:fill="CCEEFF" w:val="clear"/>
            <w:vAlign w:val="center"/>
          </w:tcPr>
          <w:p>
            <w:pPr>
              <w:pStyle w:val="TableContents"/>
              <w:spacing w:before="0" w:after="0"/>
              <w:ind w:left="0" w:right="0" w:hanging="0"/>
              <w:jc w:val="right"/>
              <w:rPr/>
            </w:pPr>
            <w:r>
              <w:rPr/>
              <w:t>  </w:t>
            </w:r>
          </w:p>
        </w:tc>
      </w:tr>
      <w:tr>
        <w:trPr/>
        <w:tc>
          <w:tcPr>
            <w:tcW w:w="682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Depreciation</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103</w:t>
            </w:r>
          </w:p>
        </w:tc>
        <w:tc>
          <w:tcPr>
            <w:tcW w:w="390"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917"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117</w:t>
            </w:r>
          </w:p>
        </w:tc>
      </w:tr>
      <w:tr>
        <w:trPr/>
        <w:tc>
          <w:tcPr>
            <w:tcW w:w="682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Intangible amortization</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5,961</w:t>
            </w:r>
          </w:p>
        </w:tc>
        <w:tc>
          <w:tcPr>
            <w:tcW w:w="390"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917"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5,082</w:t>
            </w:r>
          </w:p>
        </w:tc>
      </w:tr>
      <w:tr>
        <w:trPr/>
        <w:tc>
          <w:tcPr>
            <w:tcW w:w="682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Stock-based and employee stock purchase compensation expense</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7,203</w:t>
            </w:r>
          </w:p>
        </w:tc>
        <w:tc>
          <w:tcPr>
            <w:tcW w:w="390"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917"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4,628</w:t>
            </w:r>
          </w:p>
        </w:tc>
      </w:tr>
      <w:tr>
        <w:trPr/>
        <w:tc>
          <w:tcPr>
            <w:tcW w:w="682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Stock appreciation rights market adjustment</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(642)</w:t>
            </w:r>
          </w:p>
        </w:tc>
        <w:tc>
          <w:tcPr>
            <w:tcW w:w="390"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917"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268</w:t>
            </w:r>
          </w:p>
        </w:tc>
      </w:tr>
      <w:tr>
        <w:trPr/>
        <w:tc>
          <w:tcPr>
            <w:tcW w:w="682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Debt issuance costs amortization</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416</w:t>
            </w:r>
          </w:p>
        </w:tc>
        <w:tc>
          <w:tcPr>
            <w:tcW w:w="390"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917"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412</w:t>
            </w:r>
          </w:p>
        </w:tc>
      </w:tr>
      <w:tr>
        <w:trPr/>
        <w:tc>
          <w:tcPr>
            <w:tcW w:w="682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Deferred taxes</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(3,442)</w:t>
            </w:r>
          </w:p>
        </w:tc>
        <w:tc>
          <w:tcPr>
            <w:tcW w:w="390"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w:t>
            </w:r>
          </w:p>
        </w:tc>
        <w:tc>
          <w:tcPr>
            <w:tcW w:w="917" w:type="dxa"/>
            <w:tcBorders/>
            <w:shd w:fill="CCEEFF" w:val="clear"/>
            <w:vAlign w:val="center"/>
          </w:tcPr>
          <w:p>
            <w:pPr>
              <w:pStyle w:val="TableContents"/>
              <w:spacing w:before="0" w:after="0"/>
              <w:ind w:left="0" w:right="0" w:hanging="0"/>
              <w:jc w:val="right"/>
              <w:rPr/>
            </w:pPr>
            <w:r>
              <w:rPr/>
              <w:t>—</w:t>
            </w:r>
          </w:p>
        </w:tc>
      </w:tr>
      <w:tr>
        <w:trPr/>
        <w:tc>
          <w:tcPr>
            <w:tcW w:w="682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Amortization of premiums and accretion of discounts on Investment securities</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(636)</w:t>
            </w:r>
          </w:p>
        </w:tc>
        <w:tc>
          <w:tcPr>
            <w:tcW w:w="390"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w:t>
            </w:r>
          </w:p>
        </w:tc>
        <w:tc>
          <w:tcPr>
            <w:tcW w:w="917" w:type="dxa"/>
            <w:tcBorders/>
            <w:shd w:fill="auto" w:val="clear"/>
            <w:vAlign w:val="center"/>
          </w:tcPr>
          <w:p>
            <w:pPr>
              <w:pStyle w:val="TableContents"/>
              <w:spacing w:before="0" w:after="0"/>
              <w:ind w:left="0" w:right="0" w:hanging="0"/>
              <w:jc w:val="right"/>
              <w:rPr/>
            </w:pPr>
            <w:r>
              <w:rPr/>
              <w:t>—</w:t>
            </w:r>
          </w:p>
        </w:tc>
      </w:tr>
      <w:tr>
        <w:trPr/>
        <w:tc>
          <w:tcPr>
            <w:tcW w:w="682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Other non-cash expenses</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369</w:t>
            </w:r>
          </w:p>
        </w:tc>
        <w:tc>
          <w:tcPr>
            <w:tcW w:w="390"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w:t>
            </w:r>
          </w:p>
        </w:tc>
        <w:tc>
          <w:tcPr>
            <w:tcW w:w="917"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385</w:t>
            </w:r>
          </w:p>
        </w:tc>
      </w:tr>
      <w:tr>
        <w:trPr/>
        <w:tc>
          <w:tcPr>
            <w:tcW w:w="682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Change in operating assets and liabilities:</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pPr>
            <w:r>
              <w:rPr/>
              <w:t>​</w:t>
            </w:r>
          </w:p>
        </w:tc>
        <w:tc>
          <w:tcPr>
            <w:tcW w:w="390"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917" w:type="dxa"/>
            <w:tcBorders/>
            <w:shd w:fill="auto" w:val="clear"/>
            <w:vAlign w:val="center"/>
          </w:tcPr>
          <w:p>
            <w:pPr>
              <w:pStyle w:val="TableContents"/>
              <w:spacing w:before="0" w:after="0"/>
              <w:ind w:left="0" w:right="0" w:hanging="0"/>
              <w:jc w:val="right"/>
              <w:rPr/>
            </w:pPr>
            <w:r>
              <w:rPr/>
              <w:t>  </w:t>
            </w:r>
          </w:p>
        </w:tc>
      </w:tr>
      <w:tr>
        <w:trPr/>
        <w:tc>
          <w:tcPr>
            <w:tcW w:w="682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Trade receivables</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2,165</w:t>
            </w:r>
          </w:p>
        </w:tc>
        <w:tc>
          <w:tcPr>
            <w:tcW w:w="390"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917"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(3,290)</w:t>
            </w:r>
          </w:p>
        </w:tc>
      </w:tr>
      <w:tr>
        <w:trPr/>
        <w:tc>
          <w:tcPr>
            <w:tcW w:w="682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Inventory</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207</w:t>
            </w:r>
          </w:p>
        </w:tc>
        <w:tc>
          <w:tcPr>
            <w:tcW w:w="390"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917"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(165)</w:t>
            </w:r>
          </w:p>
        </w:tc>
      </w:tr>
      <w:tr>
        <w:trPr/>
        <w:tc>
          <w:tcPr>
            <w:tcW w:w="682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Prepaid expenses and other assets</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592</w:t>
            </w:r>
          </w:p>
        </w:tc>
        <w:tc>
          <w:tcPr>
            <w:tcW w:w="390"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917"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(2,235)</w:t>
            </w:r>
          </w:p>
        </w:tc>
      </w:tr>
      <w:tr>
        <w:trPr/>
        <w:tc>
          <w:tcPr>
            <w:tcW w:w="682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Trade payables</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2,628</w:t>
            </w:r>
          </w:p>
        </w:tc>
        <w:tc>
          <w:tcPr>
            <w:tcW w:w="390"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917"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5,903</w:t>
            </w:r>
          </w:p>
        </w:tc>
      </w:tr>
      <w:tr>
        <w:trPr/>
        <w:tc>
          <w:tcPr>
            <w:tcW w:w="682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Accrued expenses and other current liabilities</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(1,850)</w:t>
            </w:r>
          </w:p>
        </w:tc>
        <w:tc>
          <w:tcPr>
            <w:tcW w:w="390"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917"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(3,586)</w:t>
            </w:r>
          </w:p>
        </w:tc>
      </w:tr>
      <w:tr>
        <w:trPr/>
        <w:tc>
          <w:tcPr>
            <w:tcW w:w="682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Other non-current liabilities</w:t>
            </w:r>
          </w:p>
        </w:tc>
        <w:tc>
          <w:tcPr>
            <w:tcW w:w="326" w:type="dxa"/>
            <w:tcBorders/>
            <w:shd w:fill="auto" w:val="clear"/>
            <w:vAlign w:val="center"/>
          </w:tcPr>
          <w:p>
            <w:pPr>
              <w:pStyle w:val="TableContents"/>
              <w:spacing w:before="0" w:after="0"/>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6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90" w:type="dxa"/>
            <w:tcBorders/>
            <w:shd w:fill="auto" w:val="clear"/>
            <w:vAlign w:val="center"/>
          </w:tcPr>
          <w:p>
            <w:pPr>
              <w:pStyle w:val="TableContents"/>
              <w:spacing w:before="0" w:after="0"/>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1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(152)</w:t>
            </w:r>
          </w:p>
        </w:tc>
      </w:tr>
      <w:tr>
        <w:trPr/>
        <w:tc>
          <w:tcPr>
            <w:tcW w:w="682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Net cash provided by operating activities</w:t>
            </w:r>
          </w:p>
        </w:tc>
        <w:tc>
          <w:tcPr>
            <w:tcW w:w="326" w:type="dxa"/>
            <w:tcBorders/>
            <w:shd w:fill="CCEEFF" w:val="clear"/>
            <w:vAlign w:val="center"/>
          </w:tcPr>
          <w:p>
            <w:pPr>
              <w:pStyle w:val="TableContents"/>
              <w:spacing w:before="0" w:after="0"/>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42,559</w:t>
            </w:r>
          </w:p>
        </w:tc>
        <w:tc>
          <w:tcPr>
            <w:tcW w:w="390" w:type="dxa"/>
            <w:tcBorders/>
            <w:shd w:fill="CCEEFF" w:val="clear"/>
            <w:vAlign w:val="center"/>
          </w:tcPr>
          <w:p>
            <w:pPr>
              <w:pStyle w:val="TableContents"/>
              <w:spacing w:before="0" w:after="0"/>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1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28,852</w:t>
            </w:r>
          </w:p>
        </w:tc>
      </w:tr>
      <w:tr>
        <w:trPr/>
        <w:tc>
          <w:tcPr>
            <w:tcW w:w="682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CASH FLOWS FROM INVESTING ACTIVITIES:</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pPr>
            <w:r>
              <w:rPr/>
              <w:t>  </w:t>
            </w:r>
          </w:p>
        </w:tc>
        <w:tc>
          <w:tcPr>
            <w:tcW w:w="390"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917" w:type="dxa"/>
            <w:tcBorders/>
            <w:shd w:fill="auto" w:val="clear"/>
            <w:vAlign w:val="center"/>
          </w:tcPr>
          <w:p>
            <w:pPr>
              <w:pStyle w:val="TableContents"/>
              <w:spacing w:before="0" w:after="0"/>
              <w:ind w:left="0" w:right="0" w:hanging="0"/>
              <w:jc w:val="right"/>
              <w:rPr/>
            </w:pPr>
            <w:r>
              <w:rPr/>
              <w:t>  </w:t>
            </w:r>
          </w:p>
        </w:tc>
      </w:tr>
      <w:tr>
        <w:trPr/>
        <w:tc>
          <w:tcPr>
            <w:tcW w:w="682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Purchase of investment securities</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(47,776)</w:t>
            </w:r>
          </w:p>
        </w:tc>
        <w:tc>
          <w:tcPr>
            <w:tcW w:w="390"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w:t>
            </w:r>
          </w:p>
        </w:tc>
        <w:tc>
          <w:tcPr>
            <w:tcW w:w="917" w:type="dxa"/>
            <w:tcBorders/>
            <w:shd w:fill="CCEEFF" w:val="clear"/>
            <w:vAlign w:val="center"/>
          </w:tcPr>
          <w:p>
            <w:pPr>
              <w:pStyle w:val="TableContents"/>
              <w:spacing w:before="0" w:after="0"/>
              <w:ind w:left="0" w:right="0" w:hanging="0"/>
              <w:jc w:val="right"/>
              <w:rPr/>
            </w:pPr>
            <w:r>
              <w:rPr/>
              <w:t>—</w:t>
            </w:r>
          </w:p>
        </w:tc>
      </w:tr>
      <w:tr>
        <w:trPr/>
        <w:tc>
          <w:tcPr>
            <w:tcW w:w="682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Proceeds from maturities and sales of investment securities</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45,986</w:t>
            </w:r>
          </w:p>
        </w:tc>
        <w:tc>
          <w:tcPr>
            <w:tcW w:w="390"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w:t>
            </w:r>
          </w:p>
        </w:tc>
        <w:tc>
          <w:tcPr>
            <w:tcW w:w="917" w:type="dxa"/>
            <w:tcBorders/>
            <w:shd w:fill="auto" w:val="clear"/>
            <w:vAlign w:val="center"/>
          </w:tcPr>
          <w:p>
            <w:pPr>
              <w:pStyle w:val="TableContents"/>
              <w:spacing w:before="0" w:after="0"/>
              <w:ind w:left="0" w:right="0" w:hanging="0"/>
              <w:jc w:val="right"/>
              <w:rPr/>
            </w:pPr>
            <w:r>
              <w:rPr/>
              <w:t>—</w:t>
            </w:r>
          </w:p>
        </w:tc>
      </w:tr>
      <w:tr>
        <w:trPr/>
        <w:tc>
          <w:tcPr>
            <w:tcW w:w="682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Purchase of property and equipment</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pPr>
            <w:r>
              <w:rPr/>
              <w:t>—</w:t>
            </w:r>
          </w:p>
        </w:tc>
        <w:tc>
          <w:tcPr>
            <w:tcW w:w="390"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917"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(45)</w:t>
            </w:r>
          </w:p>
        </w:tc>
      </w:tr>
      <w:tr>
        <w:trPr/>
        <w:tc>
          <w:tcPr>
            <w:tcW w:w="682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Milestone payments</w:t>
            </w:r>
          </w:p>
        </w:tc>
        <w:tc>
          <w:tcPr>
            <w:tcW w:w="326" w:type="dxa"/>
            <w:tcBorders/>
            <w:shd w:fill="auto" w:val="clear"/>
            <w:vAlign w:val="center"/>
          </w:tcPr>
          <w:p>
            <w:pPr>
              <w:pStyle w:val="TableContents"/>
              <w:spacing w:before="0" w:after="0"/>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6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90" w:type="dxa"/>
            <w:tcBorders/>
            <w:shd w:fill="auto" w:val="clear"/>
            <w:vAlign w:val="center"/>
          </w:tcPr>
          <w:p>
            <w:pPr>
              <w:pStyle w:val="TableContents"/>
              <w:spacing w:before="0" w:after="0"/>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1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(40,000)</w:t>
            </w:r>
          </w:p>
        </w:tc>
      </w:tr>
      <w:tr>
        <w:trPr/>
        <w:tc>
          <w:tcPr>
            <w:tcW w:w="682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Net cash used in investing activities</w:t>
            </w:r>
          </w:p>
        </w:tc>
        <w:tc>
          <w:tcPr>
            <w:tcW w:w="326" w:type="dxa"/>
            <w:tcBorders/>
            <w:shd w:fill="CCEEFF" w:val="clear"/>
            <w:vAlign w:val="center"/>
          </w:tcPr>
          <w:p>
            <w:pPr>
              <w:pStyle w:val="TableContents"/>
              <w:spacing w:before="0" w:after="0"/>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(1,790)</w:t>
            </w:r>
          </w:p>
        </w:tc>
        <w:tc>
          <w:tcPr>
            <w:tcW w:w="390" w:type="dxa"/>
            <w:tcBorders/>
            <w:shd w:fill="CCEEFF" w:val="clear"/>
            <w:vAlign w:val="center"/>
          </w:tcPr>
          <w:p>
            <w:pPr>
              <w:pStyle w:val="TableContents"/>
              <w:spacing w:before="0" w:after="0"/>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1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(40,045)</w:t>
            </w:r>
          </w:p>
        </w:tc>
      </w:tr>
      <w:tr>
        <w:trPr/>
        <w:tc>
          <w:tcPr>
            <w:tcW w:w="682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CASH FLOWS FROM FINANCING ACTIVITIES:</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pPr>
            <w:r>
              <w:rPr/>
              <w:t>  </w:t>
            </w:r>
          </w:p>
        </w:tc>
        <w:tc>
          <w:tcPr>
            <w:tcW w:w="390"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917" w:type="dxa"/>
            <w:tcBorders/>
            <w:shd w:fill="auto" w:val="clear"/>
            <w:vAlign w:val="center"/>
          </w:tcPr>
          <w:p>
            <w:pPr>
              <w:pStyle w:val="TableContents"/>
              <w:spacing w:before="0" w:after="0"/>
              <w:ind w:left="0" w:right="0" w:hanging="0"/>
              <w:jc w:val="right"/>
              <w:rPr/>
            </w:pPr>
            <w:r>
              <w:rPr/>
              <w:t>  </w:t>
            </w:r>
          </w:p>
        </w:tc>
      </w:tr>
      <w:tr>
        <w:trPr/>
        <w:tc>
          <w:tcPr>
            <w:tcW w:w="682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Principal repayment of long term debt</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(500)</w:t>
            </w:r>
          </w:p>
        </w:tc>
        <w:tc>
          <w:tcPr>
            <w:tcW w:w="390"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w:t>
            </w:r>
          </w:p>
        </w:tc>
        <w:tc>
          <w:tcPr>
            <w:tcW w:w="917"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(500)</w:t>
            </w:r>
          </w:p>
        </w:tc>
      </w:tr>
      <w:tr>
        <w:trPr/>
        <w:tc>
          <w:tcPr>
            <w:tcW w:w="682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Proceeds from exercised options</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3,909</w:t>
            </w:r>
          </w:p>
        </w:tc>
        <w:tc>
          <w:tcPr>
            <w:tcW w:w="390"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917"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1,883</w:t>
            </w:r>
          </w:p>
        </w:tc>
      </w:tr>
      <w:tr>
        <w:trPr/>
        <w:tc>
          <w:tcPr>
            <w:tcW w:w="682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Net cash provided by financing activities</w:t>
            </w:r>
          </w:p>
        </w:tc>
        <w:tc>
          <w:tcPr>
            <w:tcW w:w="326" w:type="dxa"/>
            <w:tcBorders/>
            <w:shd w:fill="CCEEFF" w:val="clear"/>
            <w:vAlign w:val="center"/>
          </w:tcPr>
          <w:p>
            <w:pPr>
              <w:pStyle w:val="TableContents"/>
              <w:spacing w:before="0" w:after="0"/>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3,409</w:t>
            </w:r>
          </w:p>
        </w:tc>
        <w:tc>
          <w:tcPr>
            <w:tcW w:w="390" w:type="dxa"/>
            <w:tcBorders/>
            <w:shd w:fill="CCEEFF" w:val="clear"/>
            <w:vAlign w:val="center"/>
          </w:tcPr>
          <w:p>
            <w:pPr>
              <w:pStyle w:val="TableContents"/>
              <w:spacing w:before="0" w:after="0"/>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1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1,383</w:t>
            </w:r>
          </w:p>
        </w:tc>
      </w:tr>
      <w:tr>
        <w:trPr/>
        <w:tc>
          <w:tcPr>
            <w:tcW w:w="682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NET INCREASE (DECREASE) IN CASH, CASH EQUIVALENTS, AND RESTRICTED CASH</w:t>
            </w:r>
          </w:p>
        </w:tc>
        <w:tc>
          <w:tcPr>
            <w:tcW w:w="326" w:type="dxa"/>
            <w:tcBorders/>
            <w:shd w:fill="auto" w:val="clear"/>
            <w:vAlign w:val="center"/>
          </w:tcPr>
          <w:p>
            <w:pPr>
              <w:pStyle w:val="TableContents"/>
              <w:spacing w:before="0" w:after="0"/>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44,178</w:t>
            </w:r>
          </w:p>
        </w:tc>
        <w:tc>
          <w:tcPr>
            <w:tcW w:w="390" w:type="dxa"/>
            <w:tcBorders/>
            <w:shd w:fill="auto" w:val="clear"/>
            <w:vAlign w:val="center"/>
          </w:tcPr>
          <w:p>
            <w:pPr>
              <w:pStyle w:val="TableContents"/>
              <w:spacing w:before="0" w:after="0"/>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1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(9,810)</w:t>
            </w:r>
          </w:p>
        </w:tc>
      </w:tr>
      <w:tr>
        <w:trPr/>
        <w:tc>
          <w:tcPr>
            <w:tcW w:w="682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CASH, CASH EQUIVALENTS, AND RESTRICTED CASH—Beginning of period</w:t>
            </w:r>
          </w:p>
        </w:tc>
        <w:tc>
          <w:tcPr>
            <w:tcW w:w="326" w:type="dxa"/>
            <w:tcBorders/>
            <w:shd w:fill="CCEEFF" w:val="clear"/>
            <w:vAlign w:val="center"/>
          </w:tcPr>
          <w:p>
            <w:pPr>
              <w:pStyle w:val="TableContents"/>
              <w:spacing w:before="0" w:after="0"/>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244,534</w:t>
            </w:r>
          </w:p>
        </w:tc>
        <w:tc>
          <w:tcPr>
            <w:tcW w:w="390" w:type="dxa"/>
            <w:tcBorders/>
            <w:shd w:fill="CCEEFF" w:val="clear"/>
            <w:vAlign w:val="center"/>
          </w:tcPr>
          <w:p>
            <w:pPr>
              <w:pStyle w:val="TableContents"/>
              <w:spacing w:before="0" w:after="0"/>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1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235,059</w:t>
            </w:r>
          </w:p>
        </w:tc>
      </w:tr>
      <w:tr>
        <w:trPr/>
        <w:tc>
          <w:tcPr>
            <w:tcW w:w="682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CASH, CASH EQUIVALENTS, AND RESTRICTED CASH—End of period</w:t>
            </w:r>
          </w:p>
        </w:tc>
        <w:tc>
          <w:tcPr>
            <w:tcW w:w="326" w:type="dxa"/>
            <w:tcBorders/>
            <w:shd w:fill="auto" w:val="clear"/>
            <w:vAlign w:val="center"/>
          </w:tcPr>
          <w:p>
            <w:pPr>
              <w:pStyle w:val="TableContents"/>
              <w:spacing w:before="0" w:after="0"/>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8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288,712</w:t>
            </w:r>
          </w:p>
        </w:tc>
        <w:tc>
          <w:tcPr>
            <w:tcW w:w="390" w:type="dxa"/>
            <w:tcBorders/>
            <w:shd w:fill="auto" w:val="clear"/>
            <w:vAlign w:val="center"/>
          </w:tcPr>
          <w:p>
            <w:pPr>
              <w:pStyle w:val="TableContents"/>
              <w:spacing w:before="0" w:after="0"/>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91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225,249</w:t>
            </w:r>
          </w:p>
        </w:tc>
      </w:tr>
      <w:tr>
        <w:trPr/>
        <w:tc>
          <w:tcPr>
            <w:tcW w:w="682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Supplemental Disclosure of Cash Flow Information:</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pPr>
            <w:r>
              <w:rPr/>
              <w:t>  </w:t>
            </w:r>
          </w:p>
        </w:tc>
        <w:tc>
          <w:tcPr>
            <w:tcW w:w="390"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917" w:type="dxa"/>
            <w:tcBorders/>
            <w:shd w:fill="CCEEFF" w:val="clear"/>
            <w:vAlign w:val="center"/>
          </w:tcPr>
          <w:p>
            <w:pPr>
              <w:pStyle w:val="TableContents"/>
              <w:spacing w:before="0" w:after="0"/>
              <w:ind w:left="0" w:right="0" w:hanging="0"/>
              <w:jc w:val="right"/>
              <w:rPr/>
            </w:pPr>
            <w:r>
              <w:rPr/>
              <w:t>  </w:t>
            </w:r>
          </w:p>
        </w:tc>
      </w:tr>
      <w:tr>
        <w:trPr/>
        <w:tc>
          <w:tcPr>
            <w:tcW w:w="682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Cash paid during the year for interest</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863"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5,017</w:t>
            </w:r>
          </w:p>
        </w:tc>
        <w:tc>
          <w:tcPr>
            <w:tcW w:w="390"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917" w:type="dxa"/>
            <w:tcBorders/>
            <w:shd w:fill="auto" w:val="clear"/>
            <w:vAlign w:val="center"/>
          </w:tcPr>
          <w:p>
            <w:pPr>
              <w:pStyle w:val="TableContents"/>
              <w:spacing w:before="0" w:after="0"/>
              <w:ind w:left="0" w:right="60" w:hanging="0"/>
              <w:jc w:val="right"/>
              <w:rPr>
                <w:rFonts w:ascii="Arial;Helvetica;sans-serif" w:hAnsi="Arial;Helvetica;sans-serif"/>
                <w:sz w:val="16"/>
              </w:rPr>
            </w:pPr>
            <w:r>
              <w:rPr>
                <w:rFonts w:ascii="Arial;Helvetica;sans-serif" w:hAnsi="Arial;Helvetica;sans-serif"/>
                <w:sz w:val="16"/>
              </w:rPr>
              <w:t>3,829</w:t>
            </w:r>
          </w:p>
        </w:tc>
      </w:tr>
    </w:tbl>
    <w:p>
      <w:pPr>
        <w:pStyle w:val="TextBody"/>
        <w:spacing w:before="0" w:after="0"/>
        <w:ind w:left="0" w:right="0" w:hanging="0"/>
        <w:rPr/>
      </w:pPr>
      <w:r>
        <w:rPr/>
        <w:t>​</w:t>
      </w:r>
    </w:p>
    <w:p>
      <w:pPr>
        <w:pStyle w:val="TextBody"/>
        <w:spacing w:before="0" w:after="0"/>
        <w:ind w:left="0" w:right="0" w:firstLine="720"/>
        <w:jc w:val="center"/>
        <w:rPr>
          <w:rFonts w:ascii="Arial;Helvetica;sans-serif" w:hAnsi="Arial;Helvetica;sans-serif"/>
          <w:sz w:val="20"/>
        </w:rPr>
      </w:pPr>
      <w:r>
        <w:rPr>
          <w:rFonts w:ascii="Arial;Helvetica;sans-serif" w:hAnsi="Arial;Helvetica;sans-serif"/>
          <w:sz w:val="20"/>
        </w:rPr>
        <w:t>The accompanying notes are an integral part of the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20"/>
        </w:rPr>
      </w:pPr>
      <w:bookmarkStart w:id="490" w:name="_696d5cf2_003d_4d95_82f8_8fb72c49779e"/>
      <w:bookmarkEnd w:id="490"/>
      <w:r>
        <w:rPr>
          <w:rFonts w:ascii="Arial;Helvetica;sans-serif" w:hAnsi="Arial;Helvetica;sans-serif"/>
          <w:b/>
          <w:sz w:val="20"/>
        </w:rPr>
        <w:t>HARMONY BIOSCIENCES HOLDINGS, INC. AND SUBSIDIARY</w:t>
      </w:r>
    </w:p>
    <w:p>
      <w:pPr>
        <w:pStyle w:val="TextBody"/>
        <w:spacing w:before="0" w:after="0"/>
        <w:ind w:left="0" w:right="0" w:hanging="0"/>
        <w:jc w:val="center"/>
        <w:rPr>
          <w:rFonts w:ascii="Arial;Helvetica;sans-serif" w:hAnsi="Arial;Helvetica;sans-serif"/>
          <w:b/>
          <w:sz w:val="20"/>
        </w:rPr>
      </w:pPr>
      <w:bookmarkStart w:id="491" w:name="NOTESTOUNAUDITEDCONDENSED"/>
      <w:bookmarkEnd w:id="491"/>
      <w:r>
        <w:rPr>
          <w:rFonts w:ascii="Arial;Helvetica;sans-serif" w:hAnsi="Arial;Helvetica;sans-serif"/>
          <w:b/>
          <w:sz w:val="20"/>
        </w:rPr>
        <w:t>NOTES TO UNAUDITED CONDENSED CONSOLIDATED FINANCIAL STATEMENTS</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1. ORGANIZATION AND DESCRIPTION OF BUSINESS</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Company</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Harmony Biosciences Holdings, Inc., and its consolidated subsidiary (the “Company”) was founded in July 2017 as Harmony Biosciences II, LLC, a Delaware limited liability company. The Company converted to a Delaware corporation named Harmony Biosciences II, Inc. in September 2017 and, in February 2020, the Company changed its name to Harmony Biosciences Holdings, Inc. The Company’s operations are conducted in its wholly owned subsidiary, Harmony Biosciences, LLC (“Harmony”), which was formed in May 2017. The Company is a commercial-stage pharmaceutical company focused on developing and commercializing innovative therapies for patients living with rare neurological diseases as well as patients living with other neurological diseases who have unmet medical needs. The Company is headquartered in Plymouth Meeting, Pennsylvania.</w:t>
      </w:r>
    </w:p>
    <w:p>
      <w:pPr>
        <w:pStyle w:val="TextBody"/>
        <w:spacing w:before="0" w:after="240"/>
        <w:ind w:left="0" w:right="0" w:hanging="0"/>
        <w:rPr>
          <w:rFonts w:ascii="Arial;Helvetica;sans-serif" w:hAnsi="Arial;Helvetica;sans-serif"/>
          <w:b/>
          <w:sz w:val="20"/>
        </w:rPr>
      </w:pPr>
      <w:r>
        <w:rPr>
          <w:rFonts w:ascii="Arial;Helvetica;sans-serif" w:hAnsi="Arial;Helvetica;sans-serif"/>
          <w:b/>
          <w:i/>
          <w:sz w:val="20"/>
        </w:rPr>
        <w:t xml:space="preserve">2. </w:t>
      </w:r>
      <w:r>
        <w:rPr>
          <w:rFonts w:ascii="Arial;Helvetica;sans-serif" w:hAnsi="Arial;Helvetica;sans-serif"/>
          <w:b/>
          <w:sz w:val="20"/>
        </w:rPr>
        <w:t>LIQUIDITY AND CAPITAL RESOURCES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The unaudited condensed consolidated financial statements have been prepared as though the Company will continue as a going concern, which contemplates the realization of assets and satisfaction of liabilities in the normal course of business. The Company had an accumulated deficit of $242,645 and $272,130, as of March 31, 2023 and December 31, 2022, respectively. As of March 31, 2023, the Company had cash, cash equivalents and investments of $392,416.</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The Company believes that its existing cash, cash equivalents and investments on hand as of March 31, 2023, as well as additional cash generated from operating and financing activities will meet its operational liquidity needs and fund its planned investing activities for the next twelve months from the date of issuance of these unaudited condensed consolidated financial statements.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3. SUMMARY OF SIGNIFICANT ACCOUNTING POLICIES</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Basis of Presentation</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unaudited condensed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 The unaudited condensed consolidated balance sheet as of March 31, 2023, the unaudited condensed consolidated statements of cash flows for the three months ended March 31, 2023, and 2022, and the unaudited condensed consolidated statements of operations and comprehensive income and the unaudited condensed consolidated statements of shareholders’ equity for the three months ended March 31, 2023 and 2022, are unaudited. The balance sheet as of March 31, 2023, was derived from audited financial statements as of and for the year ended December 31, 2022. The unaudited interim condensed consolidated financial statements have been prepared on the same basis as the audited annual financial statements as of and for the year ended December 31, 2022, and, in the opinion of management, reflect all adjustments, which include only normal recurring adjustments, necessary for the fair presentation of the Company’s financial position as of March 31, 2023, and the results of its operations and its cash flows for the three months ended March 31, 2023 and 2022. The unaudited condensed consolidated results of operations are not necessarily indicative of the results that may occur for the full fiscal year. Certain information and disclosures normally included in the financial statements prepared in accordance with GAAP have been condensed or omitted under the SEC’s rules and regulations. These unaudited condensed consolidated financial statements should be read in conjunction with the audited financial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bookmarkStart w:id="492" w:name="Tc_GID6TE4bt06iFfFBchnTpQ_6_5"/>
      <w:bookmarkStart w:id="493" w:name="Tc_6hdyiUXmyEK45wT38wbtyg_6_2"/>
      <w:bookmarkStart w:id="494" w:name="Tc_fBVtCNL2m0WYE_u3dOWMIg_6_0"/>
      <w:bookmarkStart w:id="495" w:name="Tc_3Xd_kqVCFE2ear6_JBpuvQ_5_0"/>
      <w:bookmarkStart w:id="496" w:name="Tc_3MBO4ke8wEedS7NJX7EtoA_4_5"/>
      <w:bookmarkStart w:id="497" w:name="Tc_KiYU2IIqyEqTd0WeUpZMyw_4_2"/>
      <w:bookmarkStart w:id="498" w:name="Tc_yLfdE1yaEkmRf2C8o-lQjw_4_0"/>
      <w:bookmarkStart w:id="499" w:name="Tc_4urgw-xlLEiFawDqWw99ig_3_5"/>
      <w:bookmarkStart w:id="500" w:name="Tc_SRNGdpPCw0ytcSwGAf4DFQ_3_2"/>
      <w:bookmarkStart w:id="501" w:name="Tc_JXZqMyS3TEGiwWR0Cp_KKg_2_5"/>
      <w:bookmarkStart w:id="502" w:name="Tc_wh_tdquly0uiNHm7R9-TSg_2_2"/>
      <w:bookmarkStart w:id="503" w:name="Tc_vmTx1DqfxkC_dHcxz3vlUw_1_2"/>
      <w:bookmarkEnd w:id="492"/>
      <w:bookmarkEnd w:id="493"/>
      <w:bookmarkEnd w:id="494"/>
      <w:bookmarkEnd w:id="495"/>
      <w:bookmarkEnd w:id="496"/>
      <w:bookmarkEnd w:id="497"/>
      <w:bookmarkEnd w:id="498"/>
      <w:bookmarkEnd w:id="499"/>
      <w:bookmarkEnd w:id="500"/>
      <w:bookmarkEnd w:id="501"/>
      <w:bookmarkEnd w:id="502"/>
      <w:bookmarkEnd w:id="503"/>
      <w:r>
        <w:rPr>
          <w:rFonts w:ascii="Arial;Helvetica;sans-serif" w:hAnsi="Arial;Helvetica;sans-serif"/>
          <w:sz w:val="20"/>
        </w:rPr>
        <w:t xml:space="preserve">statements and accompanying notes thereto contained in the Company’s Annual Report on Form 10-K for the year ended December 31, 2022. </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Use of Estimates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preparation of financial statements in conformity with GAAP requires management to make estimates and assumptions that affect the reported amounts and disclosures in the unaudited condensed consolidated financial statements, including the notes thereto, and elsewhere in this report. Actual results may differ significantly from estimates, which include rebates due pursuant to commercial and government contracts, accrued research and development expenses, stock-based compensation expense and income taxes. </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Cash, Cash Equivalents and Restricted Cash</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sz w:val="20"/>
        </w:rPr>
        <w:t>Cash and cash equivalents and restricted cash consist of cash and, if applicable, highly liquid investments with an original maturity of three months or less when purchased, including investments in Money Market Funds and debt securities that approximate fair value. The following table provides a reconciliation of cash, cash equivalents, and restricted cash reported within the balance sheet that equal the amount reflected in the statements of cash flows.</w:t>
      </w:r>
    </w:p>
    <w:p>
      <w:pPr>
        <w:pStyle w:val="TextBody"/>
        <w:spacing w:before="0" w:after="240"/>
        <w:ind w:left="0" w:right="0" w:firstLine="720"/>
        <w:rPr/>
      </w:pPr>
      <w:r>
        <w:rPr/>
        <w:t>​</w:t>
      </w:r>
    </w:p>
    <w:tbl>
      <w:tblPr>
        <w:tblW w:w="10205" w:type="dxa"/>
        <w:jc w:val="left"/>
        <w:tblInd w:w="0" w:type="dxa"/>
        <w:tblCellMar>
          <w:top w:w="0" w:type="dxa"/>
          <w:left w:w="0" w:type="dxa"/>
          <w:bottom w:w="0" w:type="dxa"/>
          <w:right w:w="0" w:type="dxa"/>
        </w:tblCellMar>
      </w:tblPr>
      <w:tblGrid>
        <w:gridCol w:w="7293"/>
        <w:gridCol w:w="326"/>
        <w:gridCol w:w="211"/>
        <w:gridCol w:w="796"/>
        <w:gridCol w:w="326"/>
        <w:gridCol w:w="233"/>
        <w:gridCol w:w="1020"/>
      </w:tblGrid>
      <w:tr>
        <w:trPr/>
        <w:tc>
          <w:tcPr>
            <w:tcW w:w="72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631055" cy="175260"/>
                      <wp:effectExtent l="0" t="0" r="0" b="0"/>
                      <wp:wrapNone/>
                      <wp:docPr id="39" name="Frame39"/>
                      <a:graphic xmlns:a="http://schemas.openxmlformats.org/drawingml/2006/main">
                        <a:graphicData uri="http://schemas.microsoft.com/office/word/2010/wordprocessingShape">
                          <wps:wsp>
                            <wps:cNvSpPr txBox="1"/>
                            <wps:spPr>
                              <a:xfrm>
                                <a:off x="0" y="0"/>
                                <a:ext cx="46310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05460" cy="175260"/>
                      <wp:effectExtent l="0" t="0" r="0" b="0"/>
                      <wp:wrapNone/>
                      <wp:docPr id="42" name="Frame42"/>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47955" cy="175260"/>
                      <wp:effectExtent l="0" t="0" r="0" b="0"/>
                      <wp:wrapNone/>
                      <wp:docPr id="44" name="Frame44"/>
                      <a:graphic xmlns:a="http://schemas.openxmlformats.org/drawingml/2006/main">
                        <a:graphicData uri="http://schemas.microsoft.com/office/word/2010/wordprocessingShape">
                          <wps:wsp>
                            <wps:cNvSpPr txBox="1"/>
                            <wps:spPr>
                              <a:xfrm>
                                <a:off x="0" y="0"/>
                                <a:ext cx="147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7700" cy="175260"/>
                      <wp:effectExtent l="0" t="0" r="0" b="0"/>
                      <wp:wrapNone/>
                      <wp:docPr id="45" name="Frame45"/>
                      <a:graphic xmlns:a="http://schemas.openxmlformats.org/drawingml/2006/main">
                        <a:graphicData uri="http://schemas.microsoft.com/office/word/2010/wordprocessingShape">
                          <wps:wsp>
                            <wps:cNvSpPr txBox="1"/>
                            <wps:spPr>
                              <a:xfrm>
                                <a:off x="0" y="0"/>
                                <a:ext cx="647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2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58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As of</w:t>
            </w:r>
          </w:p>
        </w:tc>
      </w:tr>
      <w:tr>
        <w:trPr/>
        <w:tc>
          <w:tcPr>
            <w:tcW w:w="72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shd w:fill="auto" w:val="clear"/>
            <w:vAlign w:val="center"/>
          </w:tcPr>
          <w:p>
            <w:pPr>
              <w:pStyle w:val="TableContents"/>
              <w:spacing w:before="0" w:after="0"/>
              <w:ind w:left="0" w:right="0" w:hanging="0"/>
              <w:rPr/>
            </w:pPr>
            <w:r>
              <w:rPr/>
              <w:t>    </w:t>
            </w:r>
          </w:p>
        </w:tc>
        <w:tc>
          <w:tcPr>
            <w:tcW w:w="1253"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72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shd w:fill="auto" w:val="clear"/>
            <w:vAlign w:val="center"/>
          </w:tcPr>
          <w:p>
            <w:pPr>
              <w:pStyle w:val="TableContents"/>
              <w:spacing w:before="0" w:after="0"/>
              <w:ind w:left="0" w:right="0" w:hanging="0"/>
              <w:rPr/>
            </w:pPr>
            <w:r>
              <w:rPr/>
              <w:t>​</w:t>
            </w:r>
          </w:p>
        </w:tc>
        <w:tc>
          <w:tcPr>
            <w:tcW w:w="125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7293"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Cash and cash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287,962</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20"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243,784</w:t>
            </w:r>
          </w:p>
        </w:tc>
      </w:tr>
      <w:tr>
        <w:trPr/>
        <w:tc>
          <w:tcPr>
            <w:tcW w:w="7293"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Restricted cash</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750</w:t>
            </w:r>
          </w:p>
        </w:tc>
        <w:tc>
          <w:tcPr>
            <w:tcW w:w="326" w:type="dxa"/>
            <w:tcBorders/>
            <w:shd w:fill="auto" w:val="clear"/>
            <w:vAlign w:val="center"/>
          </w:tcPr>
          <w:p>
            <w:pPr>
              <w:pStyle w:val="TableContents"/>
              <w:spacing w:before="0" w:after="0"/>
              <w:ind w:left="0" w:right="0" w:hanging="0"/>
              <w:rPr/>
            </w:pPr>
            <w:r>
              <w:rPr/>
              <w:t>​</w:t>
            </w:r>
          </w:p>
        </w:tc>
        <w:tc>
          <w:tcPr>
            <w:tcW w:w="23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2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750</w:t>
            </w:r>
          </w:p>
        </w:tc>
      </w:tr>
      <w:tr>
        <w:trPr/>
        <w:tc>
          <w:tcPr>
            <w:tcW w:w="7293"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cash, cash equivalents, and restricted cash shown in the statements of cash flows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288,712</w:t>
            </w:r>
          </w:p>
        </w:tc>
        <w:tc>
          <w:tcPr>
            <w:tcW w:w="326" w:type="dxa"/>
            <w:tcBorders/>
            <w:shd w:fill="CCEEFF" w:val="clear"/>
            <w:vAlign w:val="center"/>
          </w:tcPr>
          <w:p>
            <w:pPr>
              <w:pStyle w:val="TableContents"/>
              <w:spacing w:before="0" w:after="0"/>
              <w:ind w:left="0" w:right="0" w:hanging="0"/>
              <w:rPr/>
            </w:pPr>
            <w:r>
              <w:rPr/>
              <w:t>​</w:t>
            </w:r>
          </w:p>
        </w:tc>
        <w:tc>
          <w:tcPr>
            <w:tcW w:w="233"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20"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Arial;Helvetica;sans-serif" w:hAnsi="Arial;Helvetica;sans-serif"/>
                <w:sz w:val="20"/>
              </w:rPr>
            </w:pPr>
            <w:r>
              <w:rPr>
                <w:rFonts w:ascii="Arial;Helvetica;sans-serif" w:hAnsi="Arial;Helvetica;sans-serif"/>
                <w:sz w:val="20"/>
              </w:rPr>
              <w:t>244,534</w:t>
            </w:r>
          </w:p>
        </w:tc>
      </w:tr>
    </w:tbl>
    <w:p>
      <w:pPr>
        <w:pStyle w:val="TextBody"/>
        <w:spacing w:before="0" w:after="0"/>
        <w:ind w:left="0" w:right="0" w:hanging="0"/>
        <w:rPr/>
      </w:pPr>
      <w:r>
        <w:rPr/>
        <w:t>​</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Restricted cash includes amounts required to be held as a security deposit in the form of letters of credit for the Company’s credit card program and the fleet program.</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Investments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Company’s investments consist of debt securities that are classified as available-for-sale. Short-term and long-term investments are carried at fair value and unrealized gains and losses are recorded as a component of accumulated comprehensive income in stockholders’ equity. The amortization of premiums and accretion of discounts adjust the carrying value of investments and are recorded in interest expense, net, on the unaudited condensed consolidated statements of operations and comprehensive income. Interest income and realized gains and losses, if any, are also recorded in interest expense, net, on the unaudited condensed consolidated statement of operations and comprehensive income. Realized gains and losses that result from the sale of investments are determined on a specific identification basis. </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At each reporting period, the Company reviews any unrealized losses position to determine if the decline in the fair value of the underlying investments is a result of credit losses or other factors. If the assessment indicates that a credit loss exists, any impairment is recognized as an allowance for credit losses in our consolidated statement of operations. </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Concentrations of Risk</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Substantially all of the Company’s cash and money market funds are held in two financial institutions. Due to their size, the Company believes these financial institutions represent minimal credit risk. Deposits may exceed the amount of insurance provided on such deposits by the Federal Deposit Insurance Corporation for U.S. institutions. The Company has not experienced any losses on its deposits of cash and cash equivalents. The Company believes that it is not exposed to significant credit risk due to the financial position of the depository institutions in which those deposits are held.</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The Company is also subject to credit risk from its trade receivables related to its product sales. The Company extends credit to specialty pharmaceutical distribution companies within the United States. Customer creditworthiness is monitored and collateral is not required. Historically, the Company has not experienced credit losses on its accounts receivable. The Company monitors its exposure within accounts receivable and would record a reserve against uncollectible accounts receivable if necessary As of March 31, 2023, three customers accounted for 100% of gross accounts receivable; Accredo Health Group, Inc. (“Accredo”), which accounted for 41% of gross accounts receivable; Caremark LLC (“CVS Caremark”), which accounted for 30% of gross accounts receivable; and PANTHERx Specialty Pharmacy LLC (“Pantherx”), which accounted for 29% of gross accounts receivable. As of December 31, 2022, three customers accounted for 100% of gross accounts receivable; CVS Caremark, which accounted for 41% of gross accounts receivable, Accredo, which accounted for 35% of gross accounts receivable; and Pantherx, which accounted for 24% of gross accounts receivable.</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For the three months ended March 31, 2023, three customers accounted for 100% of gross product revenues; CVS Caremark accounted for 35% of gross product revenues; Pantherx accounted for 33% of gross product revenues; and Accredo accounted for 32% of gross product revenues. For the three months ended March 31, 2022, three customers accounted for 100% of gross product revenues; CVS Caremark accounted for 38% of gross product revenues; Pantherx accounted for 32% of gross product revenues; and Accredo accounted for 30% of gross product revenues.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The Company depends on a single source supplier for each of its product and active pharmaceutical ingredient.</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Recently Issued Accounting Pronouncements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b/>
          <w:sz w:val="20"/>
        </w:rPr>
        <w:t>ASU 2020-04, Reference Rate Reform (Topic 848).</w:t>
      </w:r>
      <w:r>
        <w:rPr>
          <w:rFonts w:ascii="Arial;Helvetica;sans-serif" w:hAnsi="Arial;Helvetica;sans-serif"/>
          <w:sz w:val="20"/>
        </w:rPr>
        <w:t xml:space="preserve"> In March 2020, the FASB issued ASU No. 2020-04, </w:t>
      </w:r>
      <w:r>
        <w:rPr>
          <w:rFonts w:ascii="Arial;Helvetica;sans-serif" w:hAnsi="Arial;Helvetica;sans-serif"/>
          <w:i/>
          <w:sz w:val="20"/>
        </w:rPr>
        <w:t>Reference Rate Reform (Topic 848)</w:t>
      </w:r>
      <w:r>
        <w:rPr>
          <w:rFonts w:ascii="Arial;Helvetica;sans-serif" w:hAnsi="Arial;Helvetica;sans-serif"/>
          <w:sz w:val="20"/>
        </w:rPr>
        <w:t xml:space="preserve">, which provides guidance related to reference rate reform.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could initially be applied to applicable contract modifications through December 31, 2022, which was extended to December 31, 2024 upon the FASB issuing ASU No. 2022-06, </w:t>
      </w:r>
      <w:r>
        <w:rPr>
          <w:rFonts w:ascii="Arial;Helvetica;sans-serif" w:hAnsi="Arial;Helvetica;sans-serif"/>
          <w:i/>
          <w:sz w:val="20"/>
        </w:rPr>
        <w:t>Reference Rate Reform</w:t>
      </w:r>
      <w:r>
        <w:rPr>
          <w:rFonts w:ascii="Arial;Helvetica;sans-serif" w:hAnsi="Arial;Helvetica;sans-serif"/>
          <w:sz w:val="20"/>
        </w:rPr>
        <w:t xml:space="preserve"> (Topic 848): Deferral of the Sunset Date of Topic 848. The Company is currently evaluating the impact of the transition from LIBOR to alternative reference rates but does not expect a significant impact to its condensed consolidated financial statements.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sz w:val="20"/>
        </w:rPr>
      </w:pPr>
      <w:bookmarkStart w:id="504" w:name="Tc_pLTcpmJOyk2GI1eIKDhCrQ_29_8"/>
      <w:bookmarkStart w:id="505" w:name="Tc_Td-9vMyqTUyvg8ZJgPDGaA_29_1"/>
      <w:bookmarkStart w:id="506" w:name="Tc_hnkC7BXOdESKAUvJlL6G7g_29_0"/>
      <w:bookmarkStart w:id="507" w:name="Tc_HxIQ7FVn10itpOAZK5G4iQ_28_4"/>
      <w:bookmarkStart w:id="508" w:name="Tc_qQk44SriVk2ZDMtvb71_Pw_28_0"/>
      <w:bookmarkStart w:id="509" w:name="Tc_tzUg3ZKHx02Ptz1Om2ydkQ_27_0"/>
      <w:bookmarkStart w:id="510" w:name="Tc_iKGiZrWoKEuyhEl1KO2Drg_26_8"/>
      <w:bookmarkStart w:id="511" w:name="Tc__XgFEKAzqUK10i5QhB9o1A_26_6"/>
      <w:bookmarkStart w:id="512" w:name="Tc_pWSdSHBNo0SwX6a3Qw4AbA_26_1"/>
      <w:bookmarkStart w:id="513" w:name="Tc_a0weW0h6AkabghK0BXu54Q_26_0"/>
      <w:bookmarkStart w:id="514" w:name="Tc_SdOQ2y1H8Uy32Z9_T102KQ_25_0"/>
      <w:bookmarkStart w:id="515" w:name="Tc_qPnDMQ0BrUajBrGAXpwD_A_23_8"/>
      <w:bookmarkStart w:id="516" w:name="Tc_Pf3MsdFQM0mhbYIO8-ndnQ_23_1"/>
      <w:bookmarkStart w:id="517" w:name="Tc_-DPA_Wx2U0GbGe1M3mM4-w_23_0"/>
      <w:bookmarkStart w:id="518" w:name="Tc_6gFq2OFPME6D6bgfOYSGkQ_22_4"/>
      <w:bookmarkStart w:id="519" w:name="Tc_Z1iGBjYRvEa1lf62jEtIVw_22_0"/>
      <w:bookmarkStart w:id="520" w:name="Tc_JoZ2tQDgOkeP-NwJR_848A_21_0"/>
      <w:bookmarkStart w:id="521" w:name="Tc_1q1IfoBTX0eNIwTQKvTiPA_20_8"/>
      <w:bookmarkStart w:id="522" w:name="Tc_7ks1JSeBYkSY84Hf8MUJyA_20_1"/>
      <w:bookmarkStart w:id="523" w:name="Tc_sPV-Ge2PHU2VvndPInHxnA_20_0"/>
      <w:bookmarkStart w:id="524" w:name="Tc_Vihv-6ewVUSaxDmYE9RSuQ_19_0"/>
      <w:bookmarkStart w:id="525" w:name="Tc_u3Z4cQnZ9UGxUjouJsi1Rw_18_9"/>
      <w:bookmarkStart w:id="526" w:name="Tc_oH9F_Cfv2Uqa3vi68XpZTg_18_6"/>
      <w:bookmarkStart w:id="527" w:name="Tc_ZrMF1KoIn0-c6jOq21OTKA_18_4"/>
      <w:bookmarkStart w:id="528" w:name="Tc_F1KTkLBBbEmTFyGcmqLOEQ_18_2"/>
      <w:bookmarkStart w:id="529" w:name="Tc_IppyZ2Zr-E2rguiMQTeDww_17_9"/>
      <w:bookmarkStart w:id="530" w:name="Tc_iUesHUpuYkefdxUVjF-ovA_17_6"/>
      <w:bookmarkStart w:id="531" w:name="Tc_-DQSfaYKLUW5WO33b3aTtg_17_4"/>
      <w:bookmarkStart w:id="532" w:name="Tc_rRswkmM-2kevYUfPoZosYQ_17_2"/>
      <w:bookmarkStart w:id="533" w:name="Tc_a4yDSF3FKkq0vbQBD5hqgw_16_1"/>
      <w:bookmarkStart w:id="534" w:name="Tc_QYs0YGP8s0m06IlpCTzI5w_14_8"/>
      <w:bookmarkStart w:id="535" w:name="Tc_fNDFALzlMkSqHu7EwrgLmA_14_1"/>
      <w:bookmarkStart w:id="536" w:name="Tc_Gi72du0R5UK4yS9FN9nmbg_14_0"/>
      <w:bookmarkStart w:id="537" w:name="Tc_XW4yz_VJh0Scw9x0Y3yWFg_13_0"/>
      <w:bookmarkStart w:id="538" w:name="Tc_vMgPy-gjDUuXwNsfBmgqMQ_12_0"/>
      <w:bookmarkStart w:id="539" w:name="Tc_kG8Yt7gHYEaKIXjCjj3yGQ_11_8"/>
      <w:bookmarkStart w:id="540" w:name="Tc_wBLXjVIE6EejqJYDso4S3Q_11_6"/>
      <w:bookmarkStart w:id="541" w:name="Tc_IafE33PqOUyRCYiSI4GOmg_11_4"/>
      <w:bookmarkStart w:id="542" w:name="Tc_YTweTaM2IEOmzV_nOj8WCg_11_1"/>
      <w:bookmarkStart w:id="543" w:name="Tc_wjkWK6GUqEyNFmUQ7R7s6w_11_0"/>
      <w:bookmarkStart w:id="544" w:name="Tc_CYU97PMeAUGmolEiMqUb_A_10_0"/>
      <w:bookmarkStart w:id="545" w:name="Tc_tLbvQ9lLW0y6M5WrxFheIA_8_8"/>
      <w:bookmarkStart w:id="546" w:name="Tc_f0pfcIKFYUGHvkx8tV8Yxg_8_1"/>
      <w:bookmarkStart w:id="547" w:name="Tc_eBiqAO1PGk64GjInE2T5JA_8_0"/>
      <w:bookmarkStart w:id="548" w:name="Tc_3HPomV6UJ0yKrZK9guVv0Q_7_0"/>
      <w:bookmarkStart w:id="549" w:name="Tc_PFBXt2aM5EWHRM9uZ51lAA_6_0"/>
      <w:bookmarkStart w:id="550" w:name="Tc_hVhb03VH-U28KV04ZsAzxQ_5_8"/>
      <w:bookmarkStart w:id="551" w:name="Tc_aufUHiRhqkCe49ajKOxk1Q_5_1"/>
      <w:bookmarkStart w:id="552" w:name="Tc_7hv5N-2y9k-wHvXaqY9G8w_5_0"/>
      <w:bookmarkStart w:id="553" w:name="Tc_j0Y78mvQSkW9IzKDEJQZLg_4_0"/>
      <w:bookmarkStart w:id="554" w:name="Tc_dR-9QLlpT0uy9uVXjdapFQ_3_9"/>
      <w:bookmarkStart w:id="555" w:name="Tc_dqS2Ih3hLkqbo4G66rv6cA_3_6"/>
      <w:bookmarkStart w:id="556" w:name="Tc_eUfoXDZ11kq8_RIuURkifA_3_4"/>
      <w:bookmarkStart w:id="557" w:name="Tc_OrmXM3SgO0eiMkt8XUqqDg_3_2"/>
      <w:bookmarkStart w:id="558" w:name="Tc_iDT5Gywn0UCwwe19pjCa3A_2_9"/>
      <w:bookmarkStart w:id="559" w:name="Tc_lYZJlLNqXEGgDTGRBDw3Qw_2_6"/>
      <w:bookmarkStart w:id="560" w:name="Tc_RJimPcCAp0yOeiOfELeZYw_2_4"/>
      <w:bookmarkStart w:id="561" w:name="Tc_rJFXYILxAkSUlBOeYV2yfg_2_2"/>
      <w:bookmarkStart w:id="562" w:name="Tc_10JnGGrd2UuZxrwoLqsJ4g_1_1"/>
      <w:bookmarkStart w:id="563" w:name="_572a5498_0ea5_4b2c_abc7_de183b1d523f"/>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r>
        <w:rPr>
          <w:rFonts w:ascii="Arial;Helvetica;sans-serif" w:hAnsi="Arial;Helvetica;sans-serif"/>
          <w:b/>
          <w:sz w:val="20"/>
        </w:rPr>
        <w:t>4. INVESTMENTS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carrying value and amortized cost of the Company’s available-for-sale debt securities, summarized by type of security, consisted of the following: </w:t>
      </w:r>
    </w:p>
    <w:tbl>
      <w:tblPr>
        <w:tblW w:w="7051" w:type="dxa"/>
        <w:jc w:val="left"/>
        <w:tblInd w:w="0" w:type="dxa"/>
        <w:tblCellMar>
          <w:top w:w="0" w:type="dxa"/>
          <w:left w:w="0" w:type="dxa"/>
          <w:bottom w:w="0" w:type="dxa"/>
          <w:right w:w="0" w:type="dxa"/>
        </w:tblCellMar>
      </w:tblPr>
      <w:tblGrid>
        <w:gridCol w:w="2626"/>
        <w:gridCol w:w="211"/>
        <w:gridCol w:w="931"/>
        <w:gridCol w:w="109"/>
        <w:gridCol w:w="946"/>
        <w:gridCol w:w="109"/>
        <w:gridCol w:w="991"/>
        <w:gridCol w:w="109"/>
        <w:gridCol w:w="211"/>
        <w:gridCol w:w="808"/>
      </w:tblGrid>
      <w:tr>
        <w:trPr/>
        <w:tc>
          <w:tcPr>
            <w:tcW w:w="26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667510" cy="175260"/>
                      <wp:effectExtent l="0" t="0" r="0" b="0"/>
                      <wp:wrapNone/>
                      <wp:docPr id="46" name="Frame46"/>
                      <a:graphic xmlns:a="http://schemas.openxmlformats.org/drawingml/2006/main">
                        <a:graphicData uri="http://schemas.microsoft.com/office/word/2010/wordprocessingShape">
                          <wps:wsp>
                            <wps:cNvSpPr txBox="1"/>
                            <wps:spPr>
                              <a:xfrm>
                                <a:off x="0" y="0"/>
                                <a:ext cx="1667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91185" cy="175260"/>
                      <wp:effectExtent l="0" t="0" r="0" b="0"/>
                      <wp:wrapNone/>
                      <wp:docPr id="48" name="Frame4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00710" cy="175260"/>
                      <wp:effectExtent l="0" t="0" r="0" b="0"/>
                      <wp:wrapNone/>
                      <wp:docPr id="50" name="Frame50"/>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215" cy="175260"/>
                      <wp:effectExtent l="0" t="0" r="0" b="0"/>
                      <wp:wrapNone/>
                      <wp:docPr id="51" name="Frame5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29285" cy="175260"/>
                      <wp:effectExtent l="0" t="0" r="0" b="0"/>
                      <wp:wrapNone/>
                      <wp:docPr id="52" name="Frame52"/>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13080" cy="175260"/>
                      <wp:effectExtent l="0" t="0" r="0" b="0"/>
                      <wp:wrapNone/>
                      <wp:docPr id="55" name="Frame55"/>
                      <a:graphic xmlns:a="http://schemas.openxmlformats.org/drawingml/2006/main">
                        <a:graphicData uri="http://schemas.microsoft.com/office/word/2010/wordprocessingShape">
                          <wps:wsp>
                            <wps:cNvSpPr txBox="1"/>
                            <wps:spPr>
                              <a:xfrm>
                                <a:off x="0" y="0"/>
                                <a:ext cx="5130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626" w:type="dxa"/>
            <w:tcBorders/>
            <w:shd w:fill="auto" w:val="clear"/>
            <w:vAlign w:val="center"/>
          </w:tcPr>
          <w:p>
            <w:pPr>
              <w:pStyle w:val="TableContents"/>
              <w:spacing w:before="0" w:after="1"/>
              <w:ind w:left="0" w:right="0" w:hanging="0"/>
              <w:rPr/>
            </w:pPr>
            <w:r>
              <w:rPr/>
              <w:t>​</w:t>
            </w:r>
          </w:p>
        </w:tc>
        <w:tc>
          <w:tcPr>
            <w:tcW w:w="4425" w:type="dxa"/>
            <w:gridSpan w:val="9"/>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March 31, 2023</w:t>
            </w:r>
          </w:p>
        </w:tc>
      </w:tr>
      <w:tr>
        <w:trPr/>
        <w:tc>
          <w:tcPr>
            <w:tcW w:w="26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Amortized</w:t>
            </w:r>
          </w:p>
        </w:tc>
        <w:tc>
          <w:tcPr>
            <w:tcW w:w="109"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Unrealized</w:t>
            </w:r>
          </w:p>
        </w:tc>
        <w:tc>
          <w:tcPr>
            <w:tcW w:w="109"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Unrealized </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08"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Fair</w:t>
            </w:r>
          </w:p>
        </w:tc>
      </w:tr>
      <w:tr>
        <w:trPr/>
        <w:tc>
          <w:tcPr>
            <w:tcW w:w="26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Cost</w:t>
            </w:r>
          </w:p>
        </w:tc>
        <w:tc>
          <w:tcPr>
            <w:tcW w:w="109" w:type="dxa"/>
            <w:tcBorders/>
            <w:shd w:fill="auto" w:val="clear"/>
            <w:vAlign w:val="center"/>
          </w:tcPr>
          <w:p>
            <w:pPr>
              <w:pStyle w:val="TableContents"/>
              <w:spacing w:before="0" w:after="1"/>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Gains</w:t>
            </w:r>
          </w:p>
        </w:tc>
        <w:tc>
          <w:tcPr>
            <w:tcW w:w="109" w:type="dxa"/>
            <w:tcBorders/>
            <w:shd w:fill="auto" w:val="clear"/>
            <w:vAlign w:val="center"/>
          </w:tcPr>
          <w:p>
            <w:pPr>
              <w:pStyle w:val="TableContents"/>
              <w:spacing w:before="0" w:after="1"/>
              <w:ind w:left="0" w:right="0" w:hanging="0"/>
              <w:rPr/>
            </w:pPr>
            <w:r>
              <w:rPr/>
              <w:t>​</w:t>
            </w:r>
          </w:p>
        </w:tc>
        <w:tc>
          <w:tcPr>
            <w:tcW w:w="9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Losses</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0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262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Short-term:</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94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08" w:type="dxa"/>
            <w:tcBorders/>
            <w:shd w:fill="CCEEFF" w:val="clear"/>
            <w:vAlign w:val="center"/>
          </w:tcPr>
          <w:p>
            <w:pPr>
              <w:pStyle w:val="TableContents"/>
              <w:spacing w:before="0" w:after="1"/>
              <w:ind w:left="0" w:right="0" w:hanging="0"/>
              <w:rPr/>
            </w:pPr>
            <w:r>
              <w:rPr/>
              <w:t>​</w:t>
            </w:r>
          </w:p>
        </w:tc>
      </w:tr>
      <w:tr>
        <w:trPr/>
        <w:tc>
          <w:tcPr>
            <w:tcW w:w="262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Commercial paper</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24,106</w:t>
            </w:r>
          </w:p>
        </w:tc>
        <w:tc>
          <w:tcPr>
            <w:tcW w:w="109"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w:t>
            </w:r>
          </w:p>
        </w:tc>
        <w:tc>
          <w:tcPr>
            <w:tcW w:w="109"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(22)</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08"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24,092</w:t>
            </w:r>
          </w:p>
        </w:tc>
      </w:tr>
      <w:tr>
        <w:trPr/>
        <w:tc>
          <w:tcPr>
            <w:tcW w:w="262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Corporate debt securities</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29,117</w:t>
            </w:r>
          </w:p>
        </w:tc>
        <w:tc>
          <w:tcPr>
            <w:tcW w:w="109" w:type="dxa"/>
            <w:tcBorders/>
            <w:shd w:fill="CCEEFF" w:val="clear"/>
            <w:vAlign w:val="center"/>
          </w:tcPr>
          <w:p>
            <w:pPr>
              <w:pStyle w:val="TableContents"/>
              <w:spacing w:before="0" w:after="1"/>
              <w:ind w:left="0" w:right="0" w:hanging="0"/>
              <w:rPr/>
            </w:pPr>
            <w:r>
              <w:rPr/>
              <w:t>​</w:t>
            </w:r>
          </w:p>
        </w:tc>
        <w:tc>
          <w:tcPr>
            <w:tcW w:w="94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w:t>
            </w:r>
          </w:p>
        </w:tc>
        <w:tc>
          <w:tcPr>
            <w:tcW w:w="109"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(49)</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0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29,069</w:t>
            </w:r>
          </w:p>
        </w:tc>
      </w:tr>
      <w:tr>
        <w:trPr/>
        <w:tc>
          <w:tcPr>
            <w:tcW w:w="262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U.S. government securities</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2,751</w:t>
            </w:r>
          </w:p>
        </w:tc>
        <w:tc>
          <w:tcPr>
            <w:tcW w:w="109" w:type="dxa"/>
            <w:tcBorders/>
            <w:shd w:fill="auto" w:val="clear"/>
            <w:vAlign w:val="center"/>
          </w:tcPr>
          <w:p>
            <w:pPr>
              <w:pStyle w:val="TableContents"/>
              <w:spacing w:before="0" w:after="1"/>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w:t>
            </w:r>
          </w:p>
        </w:tc>
        <w:tc>
          <w:tcPr>
            <w:tcW w:w="109" w:type="dxa"/>
            <w:tcBorders/>
            <w:shd w:fill="auto" w:val="clear"/>
            <w:vAlign w:val="center"/>
          </w:tcPr>
          <w:p>
            <w:pPr>
              <w:pStyle w:val="TableContents"/>
              <w:spacing w:before="0" w:after="1"/>
              <w:ind w:left="0" w:right="0" w:hanging="0"/>
              <w:rPr/>
            </w:pPr>
            <w:r>
              <w:rPr/>
              <w:t>​</w:t>
            </w:r>
          </w:p>
        </w:tc>
        <w:tc>
          <w:tcPr>
            <w:tcW w:w="9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0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2,755</w:t>
            </w:r>
          </w:p>
        </w:tc>
      </w:tr>
      <w:tr>
        <w:trPr/>
        <w:tc>
          <w:tcPr>
            <w:tcW w:w="262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short-term investments</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55,974</w:t>
            </w:r>
          </w:p>
        </w:tc>
        <w:tc>
          <w:tcPr>
            <w:tcW w:w="109" w:type="dxa"/>
            <w:tcBorders/>
            <w:shd w:fill="CCEEFF" w:val="clear"/>
            <w:vAlign w:val="center"/>
          </w:tcPr>
          <w:p>
            <w:pPr>
              <w:pStyle w:val="TableContents"/>
              <w:spacing w:before="0" w:after="1"/>
              <w:ind w:left="0" w:right="0" w:hanging="0"/>
              <w:rPr/>
            </w:pPr>
            <w:r>
              <w:rPr/>
              <w:t>​</w:t>
            </w:r>
          </w:p>
        </w:tc>
        <w:tc>
          <w:tcPr>
            <w:tcW w:w="9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16</w:t>
            </w:r>
          </w:p>
        </w:tc>
        <w:tc>
          <w:tcPr>
            <w:tcW w:w="109" w:type="dxa"/>
            <w:tcBorders/>
            <w:shd w:fill="CCEEFF" w:val="clear"/>
            <w:vAlign w:val="center"/>
          </w:tcPr>
          <w:p>
            <w:pPr>
              <w:pStyle w:val="TableContents"/>
              <w:spacing w:before="0" w:after="1"/>
              <w:ind w:left="0" w:right="0" w:hanging="0"/>
              <w:rPr/>
            </w:pPr>
            <w:r>
              <w:rPr/>
              <w:t>​</w:t>
            </w:r>
          </w:p>
        </w:tc>
        <w:tc>
          <w:tcPr>
            <w:tcW w:w="9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(74)</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55,916</w:t>
            </w:r>
          </w:p>
        </w:tc>
      </w:tr>
      <w:tr>
        <w:trPr/>
        <w:tc>
          <w:tcPr>
            <w:tcW w:w="26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08" w:type="dxa"/>
            <w:tcBorders/>
            <w:shd w:fill="auto" w:val="clear"/>
            <w:vAlign w:val="center"/>
          </w:tcPr>
          <w:p>
            <w:pPr>
              <w:pStyle w:val="TableContents"/>
              <w:spacing w:before="0" w:after="1"/>
              <w:ind w:left="0" w:right="0" w:hanging="0"/>
              <w:rPr/>
            </w:pPr>
            <w:r>
              <w:rPr/>
              <w:t>​</w:t>
            </w:r>
          </w:p>
        </w:tc>
      </w:tr>
      <w:tr>
        <w:trPr/>
        <w:tc>
          <w:tcPr>
            <w:tcW w:w="262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Long-term:</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08" w:type="dxa"/>
            <w:tcBorders/>
            <w:shd w:fill="auto" w:val="clear"/>
            <w:vAlign w:val="center"/>
          </w:tcPr>
          <w:p>
            <w:pPr>
              <w:pStyle w:val="TableContents"/>
              <w:spacing w:before="0" w:after="1"/>
              <w:ind w:left="0" w:right="0" w:hanging="0"/>
              <w:rPr/>
            </w:pPr>
            <w:r>
              <w:rPr/>
              <w:t>​</w:t>
            </w:r>
          </w:p>
        </w:tc>
      </w:tr>
      <w:tr>
        <w:trPr/>
        <w:tc>
          <w:tcPr>
            <w:tcW w:w="262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Commercial paper</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1,580</w:t>
            </w:r>
          </w:p>
        </w:tc>
        <w:tc>
          <w:tcPr>
            <w:tcW w:w="109" w:type="dxa"/>
            <w:tcBorders/>
            <w:shd w:fill="CCEEFF" w:val="clear"/>
            <w:vAlign w:val="center"/>
          </w:tcPr>
          <w:p>
            <w:pPr>
              <w:pStyle w:val="TableContents"/>
              <w:spacing w:before="0" w:after="1"/>
              <w:ind w:left="0" w:right="0" w:hanging="0"/>
              <w:rPr/>
            </w:pPr>
            <w:r>
              <w:rPr/>
              <w:t>​</w:t>
            </w:r>
          </w:p>
        </w:tc>
        <w:tc>
          <w:tcPr>
            <w:tcW w:w="94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1,580</w:t>
            </w:r>
          </w:p>
        </w:tc>
      </w:tr>
      <w:tr>
        <w:trPr/>
        <w:tc>
          <w:tcPr>
            <w:tcW w:w="262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Corporate debt securities</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25,855</w:t>
            </w:r>
          </w:p>
        </w:tc>
        <w:tc>
          <w:tcPr>
            <w:tcW w:w="109"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36</w:t>
            </w:r>
          </w:p>
        </w:tc>
        <w:tc>
          <w:tcPr>
            <w:tcW w:w="109"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(66)</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08"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25,825</w:t>
            </w:r>
          </w:p>
        </w:tc>
      </w:tr>
      <w:tr>
        <w:trPr/>
        <w:tc>
          <w:tcPr>
            <w:tcW w:w="262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U.S. government securities</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21,076</w:t>
            </w:r>
          </w:p>
        </w:tc>
        <w:tc>
          <w:tcPr>
            <w:tcW w:w="109" w:type="dxa"/>
            <w:tcBorders/>
            <w:shd w:fill="CCEEFF" w:val="clear"/>
            <w:vAlign w:val="center"/>
          </w:tcPr>
          <w:p>
            <w:pPr>
              <w:pStyle w:val="TableContents"/>
              <w:spacing w:before="0" w:after="1"/>
              <w:ind w:left="0" w:right="0" w:hanging="0"/>
              <w:rPr/>
            </w:pPr>
            <w:r>
              <w:rPr/>
              <w:t>​</w:t>
            </w:r>
          </w:p>
        </w:tc>
        <w:tc>
          <w:tcPr>
            <w:tcW w:w="9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61</w:t>
            </w:r>
          </w:p>
        </w:tc>
        <w:tc>
          <w:tcPr>
            <w:tcW w:w="109" w:type="dxa"/>
            <w:tcBorders/>
            <w:shd w:fill="CCEEFF" w:val="clear"/>
            <w:vAlign w:val="center"/>
          </w:tcPr>
          <w:p>
            <w:pPr>
              <w:pStyle w:val="TableContents"/>
              <w:spacing w:before="0" w:after="1"/>
              <w:ind w:left="0" w:right="0" w:hanging="0"/>
              <w:rPr/>
            </w:pPr>
            <w:r>
              <w:rPr/>
              <w:t>​</w:t>
            </w:r>
          </w:p>
        </w:tc>
        <w:tc>
          <w:tcPr>
            <w:tcW w:w="9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0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21,133</w:t>
            </w:r>
          </w:p>
        </w:tc>
      </w:tr>
      <w:tr>
        <w:trPr/>
        <w:tc>
          <w:tcPr>
            <w:tcW w:w="262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long-term investments</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48,511</w:t>
            </w:r>
          </w:p>
        </w:tc>
        <w:tc>
          <w:tcPr>
            <w:tcW w:w="109" w:type="dxa"/>
            <w:tcBorders/>
            <w:shd w:fill="auto" w:val="clear"/>
            <w:vAlign w:val="center"/>
          </w:tcPr>
          <w:p>
            <w:pPr>
              <w:pStyle w:val="TableContents"/>
              <w:spacing w:before="0" w:after="1"/>
              <w:ind w:left="0" w:right="0" w:hanging="0"/>
              <w:rPr/>
            </w:pPr>
            <w:r>
              <w:rPr/>
              <w:t>​</w:t>
            </w:r>
          </w:p>
        </w:tc>
        <w:tc>
          <w:tcPr>
            <w:tcW w:w="94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97</w:t>
            </w:r>
          </w:p>
        </w:tc>
        <w:tc>
          <w:tcPr>
            <w:tcW w:w="109" w:type="dxa"/>
            <w:tcBorders/>
            <w:shd w:fill="auto" w:val="clear"/>
            <w:vAlign w:val="center"/>
          </w:tcPr>
          <w:p>
            <w:pPr>
              <w:pStyle w:val="TableContents"/>
              <w:spacing w:before="0" w:after="1"/>
              <w:ind w:left="0" w:right="0" w:hanging="0"/>
              <w:rPr/>
            </w:pPr>
            <w:r>
              <w:rPr/>
              <w:t>​</w:t>
            </w:r>
          </w:p>
        </w:tc>
        <w:tc>
          <w:tcPr>
            <w:tcW w:w="9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(70)</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48,538</w:t>
            </w:r>
          </w:p>
        </w:tc>
      </w:tr>
      <w:tr>
        <w:trPr/>
        <w:tc>
          <w:tcPr>
            <w:tcW w:w="7051" w:type="dxa"/>
            <w:gridSpan w:val="10"/>
            <w:tcBorders/>
            <w:shd w:fill="auto" w:val="clear"/>
            <w:vAlign w:val="center"/>
          </w:tcPr>
          <w:p>
            <w:pPr>
              <w:pStyle w:val="TableContents"/>
              <w:spacing w:before="0" w:after="1"/>
              <w:ind w:left="0" w:right="0" w:hanging="0"/>
              <w:rPr/>
            </w:pPr>
            <w:r>
              <w:rPr/>
              <w:t>​</w:t>
            </w:r>
          </w:p>
        </w:tc>
      </w:tr>
      <w:tr>
        <w:trPr/>
        <w:tc>
          <w:tcPr>
            <w:tcW w:w="2626" w:type="dxa"/>
            <w:tcBorders/>
            <w:shd w:fill="auto" w:val="clear"/>
            <w:vAlign w:val="center"/>
          </w:tcPr>
          <w:p>
            <w:pPr>
              <w:pStyle w:val="TableContents"/>
              <w:spacing w:before="0" w:after="1"/>
              <w:ind w:left="0" w:right="0" w:hanging="0"/>
              <w:rPr/>
            </w:pPr>
            <w:r>
              <w:rPr/>
              <w:t>​</w:t>
            </w:r>
          </w:p>
        </w:tc>
        <w:tc>
          <w:tcPr>
            <w:tcW w:w="4425" w:type="dxa"/>
            <w:gridSpan w:val="9"/>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2022</w:t>
            </w:r>
          </w:p>
        </w:tc>
      </w:tr>
      <w:tr>
        <w:trPr/>
        <w:tc>
          <w:tcPr>
            <w:tcW w:w="26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Amortized</w:t>
            </w:r>
          </w:p>
        </w:tc>
        <w:tc>
          <w:tcPr>
            <w:tcW w:w="109"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Unrealized</w:t>
            </w:r>
          </w:p>
        </w:tc>
        <w:tc>
          <w:tcPr>
            <w:tcW w:w="109"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Unrealized </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08"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Fair</w:t>
            </w:r>
          </w:p>
        </w:tc>
      </w:tr>
      <w:tr>
        <w:trPr/>
        <w:tc>
          <w:tcPr>
            <w:tcW w:w="26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Cost</w:t>
            </w:r>
          </w:p>
        </w:tc>
        <w:tc>
          <w:tcPr>
            <w:tcW w:w="109" w:type="dxa"/>
            <w:tcBorders/>
            <w:shd w:fill="auto" w:val="clear"/>
            <w:vAlign w:val="center"/>
          </w:tcPr>
          <w:p>
            <w:pPr>
              <w:pStyle w:val="TableContents"/>
              <w:spacing w:before="0" w:after="1"/>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Gains</w:t>
            </w:r>
          </w:p>
        </w:tc>
        <w:tc>
          <w:tcPr>
            <w:tcW w:w="109" w:type="dxa"/>
            <w:tcBorders/>
            <w:shd w:fill="auto" w:val="clear"/>
            <w:vAlign w:val="center"/>
          </w:tcPr>
          <w:p>
            <w:pPr>
              <w:pStyle w:val="TableContents"/>
              <w:spacing w:before="0" w:after="1"/>
              <w:ind w:left="0" w:right="0" w:hanging="0"/>
              <w:rPr/>
            </w:pPr>
            <w:r>
              <w:rPr/>
              <w:t>​</w:t>
            </w:r>
          </w:p>
        </w:tc>
        <w:tc>
          <w:tcPr>
            <w:tcW w:w="9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Losses</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0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262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Short-term:</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94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08" w:type="dxa"/>
            <w:tcBorders/>
            <w:shd w:fill="CCEEFF" w:val="clear"/>
            <w:vAlign w:val="center"/>
          </w:tcPr>
          <w:p>
            <w:pPr>
              <w:pStyle w:val="TableContents"/>
              <w:spacing w:before="0" w:after="1"/>
              <w:ind w:left="0" w:right="0" w:hanging="0"/>
              <w:rPr/>
            </w:pPr>
            <w:r>
              <w:rPr/>
              <w:t>​</w:t>
            </w:r>
          </w:p>
        </w:tc>
      </w:tr>
      <w:tr>
        <w:trPr/>
        <w:tc>
          <w:tcPr>
            <w:tcW w:w="262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Commercial paper</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26,553</w:t>
            </w:r>
          </w:p>
        </w:tc>
        <w:tc>
          <w:tcPr>
            <w:tcW w:w="109"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w:t>
            </w:r>
          </w:p>
        </w:tc>
        <w:tc>
          <w:tcPr>
            <w:tcW w:w="109"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(34)</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08"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26,534</w:t>
            </w:r>
          </w:p>
        </w:tc>
      </w:tr>
      <w:tr>
        <w:trPr/>
        <w:tc>
          <w:tcPr>
            <w:tcW w:w="262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Corporate debt securities</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49,213</w:t>
            </w:r>
          </w:p>
        </w:tc>
        <w:tc>
          <w:tcPr>
            <w:tcW w:w="109" w:type="dxa"/>
            <w:tcBorders/>
            <w:shd w:fill="CCEEFF" w:val="clear"/>
            <w:vAlign w:val="center"/>
          </w:tcPr>
          <w:p>
            <w:pPr>
              <w:pStyle w:val="TableContents"/>
              <w:spacing w:before="0" w:after="1"/>
              <w:ind w:left="0" w:right="0" w:hanging="0"/>
              <w:rPr/>
            </w:pPr>
            <w:r>
              <w:rPr/>
              <w:t>​</w:t>
            </w:r>
          </w:p>
        </w:tc>
        <w:tc>
          <w:tcPr>
            <w:tcW w:w="94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w:t>
            </w:r>
          </w:p>
        </w:tc>
        <w:tc>
          <w:tcPr>
            <w:tcW w:w="109"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(73)</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0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49,149</w:t>
            </w:r>
          </w:p>
        </w:tc>
      </w:tr>
      <w:tr>
        <w:trPr/>
        <w:tc>
          <w:tcPr>
            <w:tcW w:w="262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U.S. government securities</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3,658</w:t>
            </w:r>
          </w:p>
        </w:tc>
        <w:tc>
          <w:tcPr>
            <w:tcW w:w="109" w:type="dxa"/>
            <w:tcBorders/>
            <w:shd w:fill="auto" w:val="clear"/>
            <w:vAlign w:val="center"/>
          </w:tcPr>
          <w:p>
            <w:pPr>
              <w:pStyle w:val="TableContents"/>
              <w:spacing w:before="0" w:after="1"/>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9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0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3,648</w:t>
            </w:r>
          </w:p>
        </w:tc>
      </w:tr>
      <w:tr>
        <w:trPr/>
        <w:tc>
          <w:tcPr>
            <w:tcW w:w="262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short-term investments</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79,424</w:t>
            </w:r>
          </w:p>
        </w:tc>
        <w:tc>
          <w:tcPr>
            <w:tcW w:w="109" w:type="dxa"/>
            <w:tcBorders/>
            <w:shd w:fill="CCEEFF" w:val="clear"/>
            <w:vAlign w:val="center"/>
          </w:tcPr>
          <w:p>
            <w:pPr>
              <w:pStyle w:val="TableContents"/>
              <w:spacing w:before="0" w:after="1"/>
              <w:ind w:left="0" w:right="0" w:hanging="0"/>
              <w:rPr/>
            </w:pPr>
            <w:r>
              <w:rPr/>
              <w:t>​</w:t>
            </w:r>
          </w:p>
        </w:tc>
        <w:tc>
          <w:tcPr>
            <w:tcW w:w="9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24</w:t>
            </w:r>
          </w:p>
        </w:tc>
        <w:tc>
          <w:tcPr>
            <w:tcW w:w="109" w:type="dxa"/>
            <w:tcBorders/>
            <w:shd w:fill="CCEEFF" w:val="clear"/>
            <w:vAlign w:val="center"/>
          </w:tcPr>
          <w:p>
            <w:pPr>
              <w:pStyle w:val="TableContents"/>
              <w:spacing w:before="0" w:after="1"/>
              <w:ind w:left="0" w:right="0" w:hanging="0"/>
              <w:rPr/>
            </w:pPr>
            <w:r>
              <w:rPr/>
              <w:t>​</w:t>
            </w:r>
          </w:p>
        </w:tc>
        <w:tc>
          <w:tcPr>
            <w:tcW w:w="9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(117)</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79,331</w:t>
            </w:r>
          </w:p>
        </w:tc>
      </w:tr>
      <w:tr>
        <w:trPr/>
        <w:tc>
          <w:tcPr>
            <w:tcW w:w="26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08" w:type="dxa"/>
            <w:tcBorders/>
            <w:shd w:fill="auto" w:val="clear"/>
            <w:vAlign w:val="center"/>
          </w:tcPr>
          <w:p>
            <w:pPr>
              <w:pStyle w:val="TableContents"/>
              <w:spacing w:before="0" w:after="1"/>
              <w:ind w:left="0" w:right="0" w:hanging="0"/>
              <w:rPr/>
            </w:pPr>
            <w:r>
              <w:rPr/>
              <w:t>​</w:t>
            </w:r>
          </w:p>
        </w:tc>
      </w:tr>
      <w:tr>
        <w:trPr/>
        <w:tc>
          <w:tcPr>
            <w:tcW w:w="262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Long-term:</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94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08" w:type="dxa"/>
            <w:tcBorders/>
            <w:shd w:fill="CCEEFF" w:val="clear"/>
            <w:vAlign w:val="center"/>
          </w:tcPr>
          <w:p>
            <w:pPr>
              <w:pStyle w:val="TableContents"/>
              <w:spacing w:before="0" w:after="1"/>
              <w:ind w:left="0" w:right="0" w:hanging="0"/>
              <w:rPr/>
            </w:pPr>
            <w:r>
              <w:rPr/>
              <w:t>​</w:t>
            </w:r>
          </w:p>
        </w:tc>
      </w:tr>
      <w:tr>
        <w:trPr/>
        <w:tc>
          <w:tcPr>
            <w:tcW w:w="262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Commercial paper</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853</w:t>
            </w:r>
          </w:p>
        </w:tc>
        <w:tc>
          <w:tcPr>
            <w:tcW w:w="109"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w:t>
            </w:r>
          </w:p>
        </w:tc>
        <w:tc>
          <w:tcPr>
            <w:tcW w:w="109"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08"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854</w:t>
            </w:r>
          </w:p>
        </w:tc>
      </w:tr>
      <w:tr>
        <w:trPr/>
        <w:tc>
          <w:tcPr>
            <w:tcW w:w="262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Corporate debt securities</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21,516</w:t>
            </w:r>
          </w:p>
        </w:tc>
        <w:tc>
          <w:tcPr>
            <w:tcW w:w="109" w:type="dxa"/>
            <w:tcBorders/>
            <w:shd w:fill="CCEEFF" w:val="clear"/>
            <w:vAlign w:val="center"/>
          </w:tcPr>
          <w:p>
            <w:pPr>
              <w:pStyle w:val="TableContents"/>
              <w:spacing w:before="0" w:after="1"/>
              <w:ind w:left="0" w:right="0" w:hanging="0"/>
              <w:rPr/>
            </w:pPr>
            <w:r>
              <w:rPr/>
              <w:t>​</w:t>
            </w:r>
          </w:p>
        </w:tc>
        <w:tc>
          <w:tcPr>
            <w:tcW w:w="94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w:t>
            </w:r>
          </w:p>
        </w:tc>
        <w:tc>
          <w:tcPr>
            <w:tcW w:w="109"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(68)</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0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21,459</w:t>
            </w:r>
          </w:p>
        </w:tc>
      </w:tr>
      <w:tr>
        <w:trPr/>
        <w:tc>
          <w:tcPr>
            <w:tcW w:w="262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U.S. government securities</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257</w:t>
            </w:r>
          </w:p>
        </w:tc>
        <w:tc>
          <w:tcPr>
            <w:tcW w:w="109" w:type="dxa"/>
            <w:tcBorders/>
            <w:shd w:fill="auto" w:val="clear"/>
            <w:vAlign w:val="center"/>
          </w:tcPr>
          <w:p>
            <w:pPr>
              <w:pStyle w:val="TableContents"/>
              <w:spacing w:before="0" w:after="1"/>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9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0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255</w:t>
            </w:r>
          </w:p>
        </w:tc>
      </w:tr>
      <w:tr>
        <w:trPr/>
        <w:tc>
          <w:tcPr>
            <w:tcW w:w="262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long-term investments</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22,626</w:t>
            </w:r>
          </w:p>
        </w:tc>
        <w:tc>
          <w:tcPr>
            <w:tcW w:w="109" w:type="dxa"/>
            <w:tcBorders/>
            <w:shd w:fill="CCEEFF" w:val="clear"/>
            <w:vAlign w:val="center"/>
          </w:tcPr>
          <w:p>
            <w:pPr>
              <w:pStyle w:val="TableContents"/>
              <w:spacing w:before="0" w:after="1"/>
              <w:ind w:left="0" w:right="0" w:hanging="0"/>
              <w:rPr/>
            </w:pPr>
            <w:r>
              <w:rPr/>
              <w:t>​</w:t>
            </w:r>
          </w:p>
        </w:tc>
        <w:tc>
          <w:tcPr>
            <w:tcW w:w="9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w:t>
            </w:r>
          </w:p>
        </w:tc>
        <w:tc>
          <w:tcPr>
            <w:tcW w:w="109" w:type="dxa"/>
            <w:tcBorders/>
            <w:shd w:fill="CCEEFF" w:val="clear"/>
            <w:vAlign w:val="center"/>
          </w:tcPr>
          <w:p>
            <w:pPr>
              <w:pStyle w:val="TableContents"/>
              <w:spacing w:before="0" w:after="1"/>
              <w:ind w:left="0" w:right="0" w:hanging="0"/>
              <w:rPr/>
            </w:pPr>
            <w:r>
              <w:rPr/>
              <w:t>​</w:t>
            </w:r>
          </w:p>
        </w:tc>
        <w:tc>
          <w:tcPr>
            <w:tcW w:w="9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(70)</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Arial;Helvetica;sans-serif" w:hAnsi="Arial;Helvetica;sans-serif"/>
                <w:sz w:val="20"/>
              </w:rPr>
            </w:pPr>
            <w:r>
              <w:rPr>
                <w:rFonts w:ascii="Arial;Helvetica;sans-serif" w:hAnsi="Arial;Helvetica;sans-serif"/>
                <w:sz w:val="20"/>
              </w:rPr>
              <w:t>22,568</w:t>
            </w:r>
          </w:p>
        </w:tc>
      </w:tr>
    </w:tbl>
    <w:p>
      <w:pPr>
        <w:pStyle w:val="TextBody"/>
        <w:spacing w:before="0" w:after="240"/>
        <w:ind w:left="0" w:right="0" w:firstLine="720"/>
        <w:rPr/>
      </w:pPr>
      <w:r>
        <w:rPr/>
        <w:t>​</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Company classifies investments with an original maturity of less than one year as current and investments with an original maturity date of greater than one year as noncurrent on its unaudited condensed consolidated balance sheet. The investments classified as noncurrent have original maturity dates ranging from 1-2 years. </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5. FAIR VALUE MEASUREMENTS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The Company’s unaudited condensed consolidated financial statements include cash, cash equivalents, restricted cash, accounts payable, and accrued liabilities, all of which are short term in nature and, accordingly, approximate fair value.</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sz w:val="20"/>
        </w:rPr>
        <w:t xml:space="preserve">It is the Company’s policy to measure non-financial assets and liabilities at fair value on a nonrecurring basis. These non-financial assets and liabilities are not measured at fair value on an ongoing basis but are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bookmarkStart w:id="564" w:name="Tc_M7B2zr5bSUCo9Md8QVXPRA_8_8"/>
      <w:bookmarkStart w:id="565" w:name="Tc_2iEltvT-EUSsqYLTP6thJg_8_1"/>
      <w:bookmarkStart w:id="566" w:name="Tc_6ae4XoLWZ0CR-lUQ0oReBA_8_0"/>
      <w:bookmarkStart w:id="567" w:name="Tc_mXY-2FwJYEm7U8zFO5kEow_7_11"/>
      <w:bookmarkStart w:id="568" w:name="Tc_h0vUztG9XkOo94rsn-J_7w_7_4"/>
      <w:bookmarkStart w:id="569" w:name="Tc_uG-2HtSvokCmzle7JBIeEg_7_0"/>
      <w:bookmarkStart w:id="570" w:name="Tc_taxF-ZqJLUaRM277XkojzA_6_11"/>
      <w:bookmarkStart w:id="571" w:name="Tc_EO7RdAb4WUCfga37ghsSuA_6_4"/>
      <w:bookmarkStart w:id="572" w:name="Tc_UKAHNdLu9kuxyT2Kdtq-Rw_6_0"/>
      <w:bookmarkStart w:id="573" w:name="Tc_b5ObTuska0KlX0Sr6HHEhQ_5_11"/>
      <w:bookmarkStart w:id="574" w:name="Tc_IwuDcbESr0ajQ51zUuT7Lg_5_4"/>
      <w:bookmarkStart w:id="575" w:name="Tc_ELeZJNZjk0qQ3JqCYMjlqw_5_0"/>
      <w:bookmarkStart w:id="576" w:name="Tc_Nn-SNTFS3E63o_VlM06fYg_4_13"/>
      <w:bookmarkStart w:id="577" w:name="Tc_7jL4PAJpskORykBMj_DAoA_4_8"/>
      <w:bookmarkStart w:id="578" w:name="Tc_5fnBJAF0m0uNBFjdoS79sA_4_1"/>
      <w:bookmarkStart w:id="579" w:name="Tc_nFDcA5M3VE6vHApJ-ul2oQ_4_0"/>
      <w:bookmarkStart w:id="580" w:name="Tc_03vKotRLTke9I__nas7r5A_3_0"/>
      <w:bookmarkStart w:id="581" w:name="Tc_inu5kBVXLUS20WjDIpiVdg_2_13"/>
      <w:bookmarkStart w:id="582" w:name="Tc_scaxneJxo06g5qgIIrEIdA_2_11"/>
      <w:bookmarkStart w:id="583" w:name="Tc_WoM0mvHyzUeCC0PtEaP1sg_2_9"/>
      <w:bookmarkStart w:id="584" w:name="Tc_VT58OeDgDUyFMofA4pAuhw_2_6"/>
      <w:bookmarkStart w:id="585" w:name="Tc__E-KSR13EEq9KTTVZD1f6w_2_4"/>
      <w:bookmarkStart w:id="586" w:name="Tc_ciWRiA9rXUej61Vh3kgYHg_2_2"/>
      <w:bookmarkStart w:id="587" w:name="Tc_QHZBvX-yokenkkxMHfGX_w_1_8"/>
      <w:bookmarkStart w:id="588" w:name="Tc_Krpz5zllqUCFNIxXbbW2Dg_1_1"/>
      <w:bookmarkStart w:id="589" w:name="_e580f3cb_4c07_4cf9_ab14_469e2a1c1ca2"/>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r>
        <w:rPr>
          <w:rFonts w:ascii="Arial;Helvetica;sans-serif" w:hAnsi="Arial;Helvetica;sans-serif"/>
          <w:sz w:val="20"/>
        </w:rPr>
        <w:t>subject to fair value adjustments in certain circumstances (such as evidence of impairment), which, if material, are disclosed in the accompanying footnotes.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The Company measures certain assets and liabilities at fair value based on the fair value hierarchy that prioritizes inputs to valuation techniques used to measure fair value into three levels based on the source of inputs as follows:</w:t>
      </w:r>
    </w:p>
    <w:p>
      <w:pPr>
        <w:pStyle w:val="TextBody"/>
        <w:spacing w:before="0" w:after="240"/>
        <w:ind w:left="720" w:right="0" w:hanging="0"/>
        <w:rPr>
          <w:rFonts w:ascii="Arial;Helvetica;sans-serif" w:hAnsi="Arial;Helvetica;sans-serif"/>
          <w:sz w:val="20"/>
        </w:rPr>
      </w:pPr>
      <w:r>
        <w:rPr>
          <w:rFonts w:ascii="Arial;Helvetica;sans-serif" w:hAnsi="Arial;Helvetica;sans-serif"/>
          <w:sz w:val="20"/>
        </w:rPr>
        <w:t>Level 1—Valuations based on unadjusted quoted prices in active markets for identical assets or liabilities.</w:t>
      </w:r>
    </w:p>
    <w:p>
      <w:pPr>
        <w:pStyle w:val="TextBody"/>
        <w:spacing w:before="0" w:after="240"/>
        <w:ind w:left="720" w:right="0" w:hanging="0"/>
        <w:rPr>
          <w:rFonts w:ascii="Arial;Helvetica;sans-serif" w:hAnsi="Arial;Helvetica;sans-serif"/>
          <w:sz w:val="20"/>
        </w:rPr>
      </w:pPr>
      <w:r>
        <w:rPr>
          <w:rFonts w:ascii="Arial;Helvetica;sans-serif" w:hAnsi="Arial;Helvetica;sans-serif"/>
          <w:sz w:val="20"/>
        </w:rPr>
        <w:t>Level 2—Valuations based on observable inputs and quoted prices in active markets for similar assets and liabilities.</w:t>
      </w:r>
    </w:p>
    <w:p>
      <w:pPr>
        <w:pStyle w:val="TextBody"/>
        <w:spacing w:before="0" w:after="240"/>
        <w:ind w:left="720" w:right="0" w:hanging="0"/>
        <w:rPr>
          <w:rFonts w:ascii="Arial;Helvetica;sans-serif" w:hAnsi="Arial;Helvetica;sans-serif"/>
          <w:sz w:val="20"/>
        </w:rPr>
      </w:pPr>
      <w:r>
        <w:rPr>
          <w:rFonts w:ascii="Arial;Helvetica;sans-serif" w:hAnsi="Arial;Helvetica;sans-serif"/>
          <w:sz w:val="20"/>
        </w:rPr>
        <w:t>Level 3—Valuations based on unobservable inputs and models that are supported by little or no market activity.</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March 31, 2023 or December 31, 2022. </w:t>
      </w:r>
    </w:p>
    <w:p>
      <w:pPr>
        <w:pStyle w:val="TextBody"/>
        <w:spacing w:before="0" w:after="240"/>
        <w:ind w:left="0" w:right="0" w:firstLine="720"/>
        <w:rPr>
          <w:rFonts w:ascii="Arial;Helvetica;sans-serif" w:hAnsi="Arial;Helvetica;sans-serif"/>
          <w:sz w:val="20"/>
        </w:rPr>
      </w:pPr>
      <w:r>
        <w:rPr>
          <w:rFonts w:ascii="Arial;Helvetica;sans-serif" w:hAnsi="Arial;Helvetica;sans-serif"/>
          <w:sz w:val="20"/>
        </w:rPr>
        <w:t xml:space="preserve">The Company’s assets measured at fair value consisted of the following: </w:t>
      </w:r>
    </w:p>
    <w:tbl>
      <w:tblPr>
        <w:tblW w:w="8339" w:type="dxa"/>
        <w:jc w:val="left"/>
        <w:tblInd w:w="0" w:type="dxa"/>
        <w:tblCellMar>
          <w:top w:w="0" w:type="dxa"/>
          <w:left w:w="0" w:type="dxa"/>
          <w:bottom w:w="0" w:type="dxa"/>
          <w:right w:w="0" w:type="dxa"/>
        </w:tblCellMar>
      </w:tblPr>
      <w:tblGrid>
        <w:gridCol w:w="2491"/>
        <w:gridCol w:w="211"/>
        <w:gridCol w:w="796"/>
        <w:gridCol w:w="109"/>
        <w:gridCol w:w="796"/>
        <w:gridCol w:w="109"/>
        <w:gridCol w:w="796"/>
        <w:gridCol w:w="109"/>
        <w:gridCol w:w="211"/>
        <w:gridCol w:w="796"/>
        <w:gridCol w:w="109"/>
        <w:gridCol w:w="796"/>
        <w:gridCol w:w="109"/>
        <w:gridCol w:w="901"/>
      </w:tblGrid>
      <w:tr>
        <w:trPr/>
        <w:tc>
          <w:tcPr>
            <w:tcW w:w="2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581785" cy="175260"/>
                      <wp:effectExtent l="0" t="0" r="0" b="0"/>
                      <wp:wrapNone/>
                      <wp:docPr id="56" name="Frame56"/>
                      <a:graphic xmlns:a="http://schemas.openxmlformats.org/drawingml/2006/main">
                        <a:graphicData uri="http://schemas.microsoft.com/office/word/2010/wordprocessingShape">
                          <wps:wsp>
                            <wps:cNvSpPr txBox="1"/>
                            <wps:spPr>
                              <a:xfrm>
                                <a:off x="0" y="0"/>
                                <a:ext cx="1581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05460" cy="175260"/>
                      <wp:effectExtent l="0" t="0" r="0" b="0"/>
                      <wp:wrapNone/>
                      <wp:docPr id="58" name="Frame58"/>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9" name="Frame5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05460" cy="175260"/>
                      <wp:effectExtent l="0" t="0" r="0" b="0"/>
                      <wp:wrapNone/>
                      <wp:docPr id="60" name="Frame60"/>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05460" cy="175260"/>
                      <wp:effectExtent l="0" t="0" r="0" b="0"/>
                      <wp:wrapNone/>
                      <wp:docPr id="62" name="Frame62"/>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3" name="Frame6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05460" cy="175260"/>
                      <wp:effectExtent l="0" t="0" r="0" b="0"/>
                      <wp:wrapNone/>
                      <wp:docPr id="65" name="Frame65"/>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05460" cy="175260"/>
                      <wp:effectExtent l="0" t="0" r="0" b="0"/>
                      <wp:wrapNone/>
                      <wp:docPr id="67" name="Frame67"/>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215" cy="175260"/>
                      <wp:effectExtent l="0" t="0" r="0" b="0"/>
                      <wp:wrapNone/>
                      <wp:docPr id="68" name="Frame6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72135" cy="175260"/>
                      <wp:effectExtent l="0" t="0" r="0" b="0"/>
                      <wp:wrapNone/>
                      <wp:docPr id="69" name="Frame69"/>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491" w:type="dxa"/>
            <w:tcBorders/>
            <w:shd w:fill="auto" w:val="clear"/>
            <w:vAlign w:val="center"/>
          </w:tcPr>
          <w:p>
            <w:pPr>
              <w:pStyle w:val="TableContents"/>
              <w:spacing w:before="0" w:after="1"/>
              <w:ind w:left="0" w:right="0" w:hanging="0"/>
              <w:rPr/>
            </w:pPr>
            <w:r>
              <w:rPr/>
              <w:t>​</w:t>
            </w:r>
          </w:p>
        </w:tc>
        <w:tc>
          <w:tcPr>
            <w:tcW w:w="2817" w:type="dxa"/>
            <w:gridSpan w:val="6"/>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March 31, 2023</w:t>
            </w:r>
          </w:p>
        </w:tc>
        <w:tc>
          <w:tcPr>
            <w:tcW w:w="109" w:type="dxa"/>
            <w:tcBorders/>
            <w:shd w:fill="auto" w:val="clear"/>
            <w:vAlign w:val="center"/>
          </w:tcPr>
          <w:p>
            <w:pPr>
              <w:pStyle w:val="TableContents"/>
              <w:spacing w:before="0" w:after="1"/>
              <w:ind w:left="0" w:right="0" w:hanging="0"/>
              <w:rPr/>
            </w:pPr>
            <w:r>
              <w:rPr/>
              <w:t>​</w:t>
            </w:r>
          </w:p>
        </w:tc>
        <w:tc>
          <w:tcPr>
            <w:tcW w:w="2922" w:type="dxa"/>
            <w:gridSpan w:val="6"/>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2022</w:t>
            </w:r>
          </w:p>
        </w:tc>
      </w:tr>
      <w:tr>
        <w:trPr/>
        <w:tc>
          <w:tcPr>
            <w:tcW w:w="2491"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c>
          <w:tcPr>
            <w:tcW w:w="109" w:type="dxa"/>
            <w:tcBorders/>
            <w:shd w:fill="auto" w:val="cle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Level 1</w:t>
            </w:r>
          </w:p>
        </w:tc>
        <w:tc>
          <w:tcPr>
            <w:tcW w:w="109" w:type="dxa"/>
            <w:tcBorders/>
            <w:shd w:fill="auto" w:val="cle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Level 2</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c>
          <w:tcPr>
            <w:tcW w:w="109" w:type="dxa"/>
            <w:tcBorders/>
            <w:shd w:fill="auto" w:val="cle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Level 1</w:t>
            </w:r>
          </w:p>
        </w:tc>
        <w:tc>
          <w:tcPr>
            <w:tcW w:w="109" w:type="dxa"/>
            <w:tcBorders/>
            <w:shd w:fill="auto" w:val="clear"/>
            <w:vAlign w:val="center"/>
          </w:tcPr>
          <w:p>
            <w:pPr>
              <w:pStyle w:val="TableContents"/>
              <w:spacing w:before="0" w:after="1"/>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Level 2</w:t>
            </w:r>
          </w:p>
        </w:tc>
      </w:tr>
      <w:tr>
        <w:trPr/>
        <w:tc>
          <w:tcPr>
            <w:tcW w:w="2491" w:type="dxa"/>
            <w:tcBorders/>
            <w:shd w:fill="CCEEFF" w:val="clear"/>
            <w:vAlign w:val="center"/>
          </w:tcPr>
          <w:p>
            <w:pPr>
              <w:pStyle w:val="TableContents"/>
              <w:spacing w:before="0" w:after="1"/>
              <w:ind w:left="0" w:right="0" w:hanging="0"/>
              <w:rPr>
                <w:rFonts w:ascii="Arial;Helvetica;sans-serif" w:hAnsi="Arial;Helvetica;sans-serif"/>
                <w:b/>
                <w:sz w:val="20"/>
              </w:rPr>
            </w:pPr>
            <w:r>
              <w:rPr>
                <w:rFonts w:ascii="Arial;Helvetica;sans-serif" w:hAnsi="Arial;Helvetica;sans-serif"/>
                <w:b/>
                <w:sz w:val="20"/>
              </w:rPr>
              <w:t>Assets</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pPr>
            <w:r>
              <w:rPr/>
              <w:t>​</w:t>
            </w:r>
          </w:p>
        </w:tc>
      </w:tr>
      <w:tr>
        <w:trPr/>
        <w:tc>
          <w:tcPr>
            <w:tcW w:w="249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Cash equivalents</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185,534</w:t>
            </w:r>
          </w:p>
        </w:tc>
        <w:tc>
          <w:tcPr>
            <w:tcW w:w="109"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184,790</w:t>
            </w:r>
          </w:p>
        </w:tc>
        <w:tc>
          <w:tcPr>
            <w:tcW w:w="109"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744</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184,977</w:t>
            </w:r>
          </w:p>
        </w:tc>
        <w:tc>
          <w:tcPr>
            <w:tcW w:w="109"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184,977</w:t>
            </w:r>
          </w:p>
        </w:tc>
        <w:tc>
          <w:tcPr>
            <w:tcW w:w="109"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249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Commercial paper</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25,672</w:t>
            </w:r>
          </w:p>
        </w:tc>
        <w:tc>
          <w:tcPr>
            <w:tcW w:w="109"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25,672</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27,388</w:t>
            </w:r>
          </w:p>
        </w:tc>
        <w:tc>
          <w:tcPr>
            <w:tcW w:w="109"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27,388</w:t>
            </w:r>
          </w:p>
        </w:tc>
      </w:tr>
      <w:tr>
        <w:trPr/>
        <w:tc>
          <w:tcPr>
            <w:tcW w:w="249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Corporate debt securities</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54,894</w:t>
            </w:r>
          </w:p>
        </w:tc>
        <w:tc>
          <w:tcPr>
            <w:tcW w:w="109"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54,894</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70,608</w:t>
            </w:r>
          </w:p>
        </w:tc>
        <w:tc>
          <w:tcPr>
            <w:tcW w:w="109"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70,608</w:t>
            </w:r>
          </w:p>
        </w:tc>
      </w:tr>
      <w:tr>
        <w:trPr/>
        <w:tc>
          <w:tcPr>
            <w:tcW w:w="249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U.S. government securities</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23,888</w:t>
            </w:r>
          </w:p>
        </w:tc>
        <w:tc>
          <w:tcPr>
            <w:tcW w:w="109" w:type="dxa"/>
            <w:tcBorders/>
            <w:shd w:fill="CCEEFF" w:val="clear"/>
            <w:vAlign w:val="center"/>
          </w:tcPr>
          <w:p>
            <w:pPr>
              <w:pStyle w:val="TableContents"/>
              <w:spacing w:before="0" w:after="1"/>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23,888</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3,903</w:t>
            </w:r>
          </w:p>
        </w:tc>
        <w:tc>
          <w:tcPr>
            <w:tcW w:w="109" w:type="dxa"/>
            <w:tcBorders/>
            <w:shd w:fill="CCEEFF" w:val="clear"/>
            <w:vAlign w:val="center"/>
          </w:tcPr>
          <w:p>
            <w:pPr>
              <w:pStyle w:val="TableContents"/>
              <w:spacing w:before="0" w:after="1"/>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3,903</w:t>
            </w:r>
          </w:p>
        </w:tc>
      </w:tr>
      <w:tr>
        <w:trPr/>
        <w:tc>
          <w:tcPr>
            <w:tcW w:w="249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 xml:space="preserve">Total </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289,988</w:t>
            </w:r>
          </w:p>
        </w:tc>
        <w:tc>
          <w:tcPr>
            <w:tcW w:w="109" w:type="dxa"/>
            <w:tcBorders/>
            <w:shd w:fill="auto" w:val="clear"/>
            <w:vAlign w:val="center"/>
          </w:tcPr>
          <w:p>
            <w:pPr>
              <w:pStyle w:val="TableContents"/>
              <w:spacing w:before="0" w:after="1"/>
              <w:ind w:left="0" w:right="0" w:hanging="0"/>
              <w:rPr/>
            </w:pPr>
            <w:r>
              <w:rPr/>
              <w:t>​</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184,790</w:t>
            </w:r>
          </w:p>
        </w:tc>
        <w:tc>
          <w:tcPr>
            <w:tcW w:w="109" w:type="dxa"/>
            <w:tcBorders/>
            <w:shd w:fill="auto" w:val="clear"/>
            <w:vAlign w:val="center"/>
          </w:tcPr>
          <w:p>
            <w:pPr>
              <w:pStyle w:val="TableContents"/>
              <w:spacing w:before="0" w:after="1"/>
              <w:ind w:left="0" w:right="0" w:hanging="0"/>
              <w:rPr/>
            </w:pPr>
            <w:r>
              <w:rPr/>
              <w:t>​</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105,198</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286,876</w:t>
            </w:r>
          </w:p>
        </w:tc>
        <w:tc>
          <w:tcPr>
            <w:tcW w:w="109" w:type="dxa"/>
            <w:tcBorders/>
            <w:shd w:fill="auto" w:val="clear"/>
            <w:vAlign w:val="center"/>
          </w:tcPr>
          <w:p>
            <w:pPr>
              <w:pStyle w:val="TableContents"/>
              <w:spacing w:before="0" w:after="1"/>
              <w:ind w:left="0" w:right="0" w:hanging="0"/>
              <w:rPr/>
            </w:pPr>
            <w:r>
              <w:rPr/>
              <w:t>​</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184,977</w:t>
            </w:r>
          </w:p>
        </w:tc>
        <w:tc>
          <w:tcPr>
            <w:tcW w:w="109" w:type="dxa"/>
            <w:tcBorders/>
            <w:shd w:fill="auto" w:val="clear"/>
            <w:vAlign w:val="center"/>
          </w:tcPr>
          <w:p>
            <w:pPr>
              <w:pStyle w:val="TableContents"/>
              <w:spacing w:before="0" w:after="1"/>
              <w:ind w:left="0" w:right="0" w:hanging="0"/>
              <w:rPr/>
            </w:pPr>
            <w:r>
              <w:rPr/>
              <w:t>​</w:t>
            </w:r>
          </w:p>
        </w:tc>
        <w:tc>
          <w:tcPr>
            <w:tcW w:w="90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101,899</w:t>
            </w:r>
          </w:p>
        </w:tc>
      </w:tr>
    </w:tbl>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bookmarkStart w:id="590" w:name="Tc_NiX9ZunW4EykmkZQ7xCrSw_9_5"/>
      <w:bookmarkStart w:id="591" w:name="Tc_sZQH_hwEYk-us3ReW0ZOEA_9_2"/>
      <w:bookmarkStart w:id="592" w:name="Tc_NsuYQbAWu0esYcrv_lsF5A_9_0"/>
      <w:bookmarkStart w:id="593" w:name="Tc_PQCaxrfF0UaRduwYHR0_XQ_8_0"/>
      <w:bookmarkStart w:id="594" w:name="Tc_sjuSGqVf-UufwuU6eW4jPg_7_0"/>
      <w:bookmarkStart w:id="595" w:name="Tc_c0szIBP92UuRzR6DH0rmKw_6_0"/>
      <w:bookmarkStart w:id="596" w:name="Tc_-4QAwehpbEiMAo9HQ8XVJA_5_0"/>
      <w:bookmarkStart w:id="597" w:name="Tc_246Ni6KGm02aTtg6HEoFeQ_4_5"/>
      <w:bookmarkStart w:id="598" w:name="Tc_e_D1UTm1CEiKPjMOuG_zfQ_4_2"/>
      <w:bookmarkStart w:id="599" w:name="Tc_lDG-6uPdu0amMdyXRcXAQg_4_0"/>
      <w:bookmarkStart w:id="600" w:name="Tc_ECWruxbcXE-xaQfe_sGeCQ_3_5"/>
      <w:bookmarkStart w:id="601" w:name="Tc_1LieCLTlHE--5sccqjq8jg_3_2"/>
      <w:bookmarkStart w:id="602" w:name="Tc_jE1hCorkZUaxpjvY1ip3wQ_2_5"/>
      <w:bookmarkStart w:id="603" w:name="Tc_zAg0-tXLa0uCw_22pjj0kg_2_2"/>
      <w:bookmarkStart w:id="604" w:name="Tc_Q0bMMk3kUEmL86Tlx0ofuQ_1_2"/>
      <w:bookmarkStart w:id="605" w:name="_bb978d3d_1139_44a5_8528_b83ba2b2d4b3"/>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r>
        <w:rPr>
          <w:rFonts w:ascii="Arial;Helvetica;sans-serif" w:hAnsi="Arial;Helvetica;sans-serif"/>
          <w:b/>
          <w:sz w:val="20"/>
        </w:rPr>
        <w:t>6. INVENTORY</w:t>
      </w:r>
    </w:p>
    <w:p>
      <w:pPr>
        <w:pStyle w:val="TextBody"/>
        <w:spacing w:before="0" w:after="0"/>
        <w:ind w:left="0" w:right="0" w:firstLine="720"/>
        <w:rPr>
          <w:rFonts w:ascii="Arial;Helvetica;sans-serif" w:hAnsi="Arial;Helvetica;sans-serif"/>
          <w:sz w:val="20"/>
        </w:rPr>
      </w:pPr>
      <w:r>
        <w:rPr>
          <w:rFonts w:ascii="Arial;Helvetica;sans-serif" w:hAnsi="Arial;Helvetica;sans-serif"/>
          <w:sz w:val="20"/>
        </w:rPr>
        <w:t>Inventory, net consisted of the following:</w:t>
      </w:r>
    </w:p>
    <w:p>
      <w:pPr>
        <w:pStyle w:val="TextBody"/>
        <w:spacing w:before="0" w:after="240"/>
        <w:ind w:left="0" w:right="0" w:firstLine="720"/>
        <w:rPr/>
      </w:pPr>
      <w:r>
        <w:rPr/>
        <w:t>​</w:t>
      </w:r>
    </w:p>
    <w:tbl>
      <w:tblPr>
        <w:tblW w:w="5543" w:type="dxa"/>
        <w:jc w:val="left"/>
        <w:tblInd w:w="0" w:type="dxa"/>
        <w:tblCellMar>
          <w:top w:w="0" w:type="dxa"/>
          <w:left w:w="0" w:type="dxa"/>
          <w:bottom w:w="0" w:type="dxa"/>
          <w:right w:w="0" w:type="dxa"/>
        </w:tblCellMar>
      </w:tblPr>
      <w:tblGrid>
        <w:gridCol w:w="2731"/>
        <w:gridCol w:w="326"/>
        <w:gridCol w:w="237"/>
        <w:gridCol w:w="663"/>
        <w:gridCol w:w="326"/>
        <w:gridCol w:w="293"/>
        <w:gridCol w:w="967"/>
      </w:tblGrid>
      <w:tr>
        <w:trPr/>
        <w:tc>
          <w:tcPr>
            <w:tcW w:w="2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734185" cy="175260"/>
                      <wp:effectExtent l="0" t="0" r="0" b="0"/>
                      <wp:wrapNone/>
                      <wp:docPr id="70" name="Frame70"/>
                      <a:graphic xmlns:a="http://schemas.openxmlformats.org/drawingml/2006/main">
                        <a:graphicData uri="http://schemas.microsoft.com/office/word/2010/wordprocessingShape">
                          <wps:wsp>
                            <wps:cNvSpPr txBox="1"/>
                            <wps:spPr>
                              <a:xfrm>
                                <a:off x="0" y="0"/>
                                <a:ext cx="1734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50495" cy="175260"/>
                      <wp:effectExtent l="0" t="0" r="0" b="0"/>
                      <wp:wrapNone/>
                      <wp:docPr id="72" name="Frame72"/>
                      <a:graphic xmlns:a="http://schemas.openxmlformats.org/drawingml/2006/main">
                        <a:graphicData uri="http://schemas.microsoft.com/office/word/2010/wordprocessingShape">
                          <wps:wsp>
                            <wps:cNvSpPr txBox="1"/>
                            <wps:spPr>
                              <a:xfrm>
                                <a:off x="0" y="0"/>
                                <a:ext cx="1504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21005" cy="175260"/>
                      <wp:effectExtent l="0" t="0" r="0" b="0"/>
                      <wp:wrapNone/>
                      <wp:docPr id="73" name="Frame73"/>
                      <a:graphic xmlns:a="http://schemas.openxmlformats.org/drawingml/2006/main">
                        <a:graphicData uri="http://schemas.microsoft.com/office/word/2010/wordprocessingShape">
                          <wps:wsp>
                            <wps:cNvSpPr txBox="1"/>
                            <wps:spPr>
                              <a:xfrm>
                                <a:off x="0" y="0"/>
                                <a:ext cx="4210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86055" cy="175260"/>
                      <wp:effectExtent l="0" t="0" r="0" b="0"/>
                      <wp:wrapNone/>
                      <wp:docPr id="75" name="Frame75"/>
                      <a:graphic xmlns:a="http://schemas.openxmlformats.org/drawingml/2006/main">
                        <a:graphicData uri="http://schemas.microsoft.com/office/word/2010/wordprocessingShape">
                          <wps:wsp>
                            <wps:cNvSpPr txBox="1"/>
                            <wps:spPr>
                              <a:xfrm>
                                <a:off x="0" y="0"/>
                                <a:ext cx="1860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14045" cy="175260"/>
                      <wp:effectExtent l="0" t="0" r="0" b="0"/>
                      <wp:wrapNone/>
                      <wp:docPr id="76" name="Frame76"/>
                      <a:graphic xmlns:a="http://schemas.openxmlformats.org/drawingml/2006/main">
                        <a:graphicData uri="http://schemas.microsoft.com/office/word/2010/wordprocessingShape">
                          <wps:wsp>
                            <wps:cNvSpPr txBox="1"/>
                            <wps:spPr>
                              <a:xfrm>
                                <a:off x="0" y="0"/>
                                <a:ext cx="6140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7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486"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As of</w:t>
            </w:r>
          </w:p>
        </w:tc>
      </w:tr>
      <w:tr>
        <w:trPr/>
        <w:tc>
          <w:tcPr>
            <w:tcW w:w="27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0"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shd w:fill="auto" w:val="clear"/>
            <w:vAlign w:val="center"/>
          </w:tcPr>
          <w:p>
            <w:pPr>
              <w:pStyle w:val="TableContents"/>
              <w:spacing w:before="0" w:after="1"/>
              <w:ind w:left="0" w:right="0" w:hanging="0"/>
              <w:rPr/>
            </w:pPr>
            <w:r>
              <w:rPr/>
              <w:t>    </w:t>
            </w:r>
          </w:p>
        </w:tc>
        <w:tc>
          <w:tcPr>
            <w:tcW w:w="1260"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27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shd w:fill="auto" w:val="clear"/>
            <w:vAlign w:val="center"/>
          </w:tcPr>
          <w:p>
            <w:pPr>
              <w:pStyle w:val="TableContents"/>
              <w:spacing w:before="0" w:after="1"/>
              <w:ind w:left="0" w:right="0" w:hanging="0"/>
              <w:rPr/>
            </w:pPr>
            <w:r>
              <w:rPr/>
              <w:t>​</w:t>
            </w:r>
          </w:p>
        </w:tc>
        <w:tc>
          <w:tcPr>
            <w:tcW w:w="12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27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Raw materials</w:t>
            </w:r>
          </w:p>
        </w:tc>
        <w:tc>
          <w:tcPr>
            <w:tcW w:w="326" w:type="dxa"/>
            <w:tcBorders/>
            <w:shd w:fill="CCEEFF" w:val="clear"/>
            <w:vAlign w:val="center"/>
          </w:tcPr>
          <w:p>
            <w:pPr>
              <w:pStyle w:val="TableContents"/>
              <w:spacing w:before="0" w:after="1"/>
              <w:ind w:left="0" w:right="0" w:hanging="0"/>
              <w:rPr/>
            </w:pPr>
            <w:r>
              <w:rPr/>
              <w:t>​</w:t>
            </w:r>
          </w:p>
        </w:tc>
        <w:tc>
          <w:tcPr>
            <w:tcW w:w="237"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63"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776</w:t>
            </w:r>
          </w:p>
        </w:tc>
        <w:tc>
          <w:tcPr>
            <w:tcW w:w="326" w:type="dxa"/>
            <w:tcBorders/>
            <w:shd w:fill="CCEEFF" w:val="clear"/>
            <w:vAlign w:val="center"/>
          </w:tcPr>
          <w:p>
            <w:pPr>
              <w:pStyle w:val="TableContents"/>
              <w:spacing w:before="0" w:after="1"/>
              <w:ind w:left="0" w:right="0" w:hanging="0"/>
              <w:rPr/>
            </w:pPr>
            <w:r>
              <w:rPr/>
              <w:t>​</w:t>
            </w:r>
          </w:p>
        </w:tc>
        <w:tc>
          <w:tcPr>
            <w:tcW w:w="293"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67"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838</w:t>
            </w:r>
          </w:p>
        </w:tc>
      </w:tr>
      <w:tr>
        <w:trPr/>
        <w:tc>
          <w:tcPr>
            <w:tcW w:w="273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Work in process</w:t>
            </w:r>
          </w:p>
        </w:tc>
        <w:tc>
          <w:tcPr>
            <w:tcW w:w="326" w:type="dxa"/>
            <w:tcBorders/>
            <w:shd w:fill="auto" w:val="clear"/>
            <w:vAlign w:val="center"/>
          </w:tcPr>
          <w:p>
            <w:pPr>
              <w:pStyle w:val="TableContents"/>
              <w:spacing w:before="0" w:after="1"/>
              <w:ind w:left="0" w:right="0" w:hanging="0"/>
              <w:rPr/>
            </w:pPr>
            <w:r>
              <w:rPr/>
              <w:t>​</w:t>
            </w:r>
          </w:p>
        </w:tc>
        <w:tc>
          <w:tcPr>
            <w:tcW w:w="237" w:type="dxa"/>
            <w:tcBorders/>
            <w:shd w:fill="auto" w:val="clear"/>
            <w:vAlign w:val="center"/>
          </w:tcPr>
          <w:p>
            <w:pPr>
              <w:pStyle w:val="TableContents"/>
              <w:spacing w:before="0" w:after="1"/>
              <w:ind w:left="0" w:right="0" w:hanging="0"/>
              <w:rPr/>
            </w:pPr>
            <w:r>
              <w:rPr/>
              <w:t> </w:t>
            </w:r>
          </w:p>
        </w:tc>
        <w:tc>
          <w:tcPr>
            <w:tcW w:w="663"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1,690</w:t>
            </w:r>
          </w:p>
        </w:tc>
        <w:tc>
          <w:tcPr>
            <w:tcW w:w="326" w:type="dxa"/>
            <w:tcBorders/>
            <w:shd w:fill="auto" w:val="clear"/>
            <w:vAlign w:val="center"/>
          </w:tcPr>
          <w:p>
            <w:pPr>
              <w:pStyle w:val="TableContents"/>
              <w:spacing w:before="0" w:after="1"/>
              <w:ind w:left="0" w:right="0" w:hanging="0"/>
              <w:rPr/>
            </w:pPr>
            <w:r>
              <w:rPr/>
              <w:t>​</w:t>
            </w:r>
          </w:p>
        </w:tc>
        <w:tc>
          <w:tcPr>
            <w:tcW w:w="293" w:type="dxa"/>
            <w:tcBorders/>
            <w:shd w:fill="auto" w:val="clear"/>
            <w:vAlign w:val="center"/>
          </w:tcPr>
          <w:p>
            <w:pPr>
              <w:pStyle w:val="TableContents"/>
              <w:spacing w:before="0" w:after="1"/>
              <w:ind w:left="0" w:right="0" w:hanging="0"/>
              <w:rPr/>
            </w:pPr>
            <w:r>
              <w:rPr/>
              <w:t> </w:t>
            </w:r>
          </w:p>
        </w:tc>
        <w:tc>
          <w:tcPr>
            <w:tcW w:w="967"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1,513</w:t>
            </w:r>
          </w:p>
        </w:tc>
      </w:tr>
      <w:tr>
        <w:trPr/>
        <w:tc>
          <w:tcPr>
            <w:tcW w:w="27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Finished goods</w:t>
            </w:r>
          </w:p>
        </w:tc>
        <w:tc>
          <w:tcPr>
            <w:tcW w:w="326" w:type="dxa"/>
            <w:tcBorders/>
            <w:shd w:fill="CCEEFF" w:val="clear"/>
            <w:vAlign w:val="center"/>
          </w:tcPr>
          <w:p>
            <w:pPr>
              <w:pStyle w:val="TableContents"/>
              <w:spacing w:before="0" w:after="1"/>
              <w:ind w:left="0" w:right="0" w:hanging="0"/>
              <w:rPr/>
            </w:pPr>
            <w:r>
              <w:rPr/>
              <w:t>​</w:t>
            </w:r>
          </w:p>
        </w:tc>
        <w:tc>
          <w:tcPr>
            <w:tcW w:w="23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6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2,243</w:t>
            </w:r>
          </w:p>
        </w:tc>
        <w:tc>
          <w:tcPr>
            <w:tcW w:w="326" w:type="dxa"/>
            <w:tcBorders/>
            <w:shd w:fill="CCEEFF" w:val="clear"/>
            <w:vAlign w:val="center"/>
          </w:tcPr>
          <w:p>
            <w:pPr>
              <w:pStyle w:val="TableContents"/>
              <w:spacing w:before="0" w:after="1"/>
              <w:ind w:left="0" w:right="0" w:hanging="0"/>
              <w:rPr/>
            </w:pPr>
            <w:r>
              <w:rPr/>
              <w:t>​</w:t>
            </w:r>
          </w:p>
        </w:tc>
        <w:tc>
          <w:tcPr>
            <w:tcW w:w="29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6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2,565</w:t>
            </w:r>
          </w:p>
        </w:tc>
      </w:tr>
      <w:tr>
        <w:trPr/>
        <w:tc>
          <w:tcPr>
            <w:tcW w:w="273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Inventory, gross</w:t>
            </w:r>
          </w:p>
        </w:tc>
        <w:tc>
          <w:tcPr>
            <w:tcW w:w="326" w:type="dxa"/>
            <w:tcBorders/>
            <w:shd w:fill="auto" w:val="clear"/>
            <w:vAlign w:val="center"/>
          </w:tcPr>
          <w:p>
            <w:pPr>
              <w:pStyle w:val="TableContents"/>
              <w:spacing w:before="0" w:after="1"/>
              <w:ind w:left="0" w:right="0" w:hanging="0"/>
              <w:rPr/>
            </w:pPr>
            <w:r>
              <w:rPr/>
              <w:t>​</w:t>
            </w:r>
          </w:p>
        </w:tc>
        <w:tc>
          <w:tcPr>
            <w:tcW w:w="237" w:type="dxa"/>
            <w:tcBorders/>
            <w:shd w:fill="auto" w:val="clear"/>
            <w:vAlign w:val="center"/>
          </w:tcPr>
          <w:p>
            <w:pPr>
              <w:pStyle w:val="TableContents"/>
              <w:spacing w:before="0" w:after="1"/>
              <w:ind w:left="0" w:right="0" w:hanging="0"/>
              <w:rPr/>
            </w:pPr>
            <w:r>
              <w:rPr/>
              <w:t> </w:t>
            </w:r>
          </w:p>
        </w:tc>
        <w:tc>
          <w:tcPr>
            <w:tcW w:w="663"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4,709</w:t>
            </w:r>
          </w:p>
        </w:tc>
        <w:tc>
          <w:tcPr>
            <w:tcW w:w="326" w:type="dxa"/>
            <w:tcBorders/>
            <w:shd w:fill="auto" w:val="clear"/>
            <w:vAlign w:val="center"/>
          </w:tcPr>
          <w:p>
            <w:pPr>
              <w:pStyle w:val="TableContents"/>
              <w:spacing w:before="0" w:after="1"/>
              <w:ind w:left="0" w:right="0" w:hanging="0"/>
              <w:rPr/>
            </w:pPr>
            <w:r>
              <w:rPr/>
              <w:t>​</w:t>
            </w:r>
          </w:p>
        </w:tc>
        <w:tc>
          <w:tcPr>
            <w:tcW w:w="293" w:type="dxa"/>
            <w:tcBorders/>
            <w:shd w:fill="auto" w:val="clear"/>
            <w:vAlign w:val="center"/>
          </w:tcPr>
          <w:p>
            <w:pPr>
              <w:pStyle w:val="TableContents"/>
              <w:spacing w:before="0" w:after="1"/>
              <w:ind w:left="0" w:right="0" w:hanging="0"/>
              <w:rPr/>
            </w:pPr>
            <w:r>
              <w:rPr/>
              <w:t> </w:t>
            </w:r>
          </w:p>
        </w:tc>
        <w:tc>
          <w:tcPr>
            <w:tcW w:w="967"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4,916</w:t>
            </w:r>
          </w:p>
        </w:tc>
      </w:tr>
      <w:tr>
        <w:trPr/>
        <w:tc>
          <w:tcPr>
            <w:tcW w:w="27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 xml:space="preserve">Reserve for excess inventory </w:t>
            </w:r>
          </w:p>
        </w:tc>
        <w:tc>
          <w:tcPr>
            <w:tcW w:w="326" w:type="dxa"/>
            <w:tcBorders/>
            <w:shd w:fill="CCEEFF" w:val="clear"/>
            <w:vAlign w:val="center"/>
          </w:tcPr>
          <w:p>
            <w:pPr>
              <w:pStyle w:val="TableContents"/>
              <w:spacing w:before="0" w:after="1"/>
              <w:ind w:left="0" w:right="0" w:hanging="0"/>
              <w:rPr/>
            </w:pPr>
            <w:r>
              <w:rPr/>
              <w:t>​</w:t>
            </w:r>
          </w:p>
        </w:tc>
        <w:tc>
          <w:tcPr>
            <w:tcW w:w="23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6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(619)</w:t>
            </w:r>
          </w:p>
        </w:tc>
        <w:tc>
          <w:tcPr>
            <w:tcW w:w="326" w:type="dxa"/>
            <w:tcBorders/>
            <w:shd w:fill="CCEEFF" w:val="clear"/>
            <w:vAlign w:val="center"/>
          </w:tcPr>
          <w:p>
            <w:pPr>
              <w:pStyle w:val="TableContents"/>
              <w:spacing w:before="0" w:after="1"/>
              <w:ind w:left="0" w:right="0" w:hanging="0"/>
              <w:rPr/>
            </w:pPr>
            <w:r>
              <w:rPr/>
              <w:t>​</w:t>
            </w:r>
          </w:p>
        </w:tc>
        <w:tc>
          <w:tcPr>
            <w:tcW w:w="29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6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(619)</w:t>
            </w:r>
          </w:p>
        </w:tc>
      </w:tr>
      <w:tr>
        <w:trPr/>
        <w:tc>
          <w:tcPr>
            <w:tcW w:w="273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inventory, net</w:t>
            </w:r>
          </w:p>
        </w:tc>
        <w:tc>
          <w:tcPr>
            <w:tcW w:w="326" w:type="dxa"/>
            <w:tcBorders/>
            <w:shd w:fill="auto" w:val="clear"/>
            <w:vAlign w:val="center"/>
          </w:tcPr>
          <w:p>
            <w:pPr>
              <w:pStyle w:val="TableContents"/>
              <w:spacing w:before="0" w:after="1"/>
              <w:ind w:left="0" w:right="0" w:hanging="0"/>
              <w:rPr/>
            </w:pPr>
            <w:r>
              <w:rPr/>
              <w:t>​</w:t>
            </w:r>
          </w:p>
        </w:tc>
        <w:tc>
          <w:tcPr>
            <w:tcW w:w="237"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6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4,090</w:t>
            </w:r>
          </w:p>
        </w:tc>
        <w:tc>
          <w:tcPr>
            <w:tcW w:w="326" w:type="dxa"/>
            <w:tcBorders/>
            <w:shd w:fill="auto" w:val="clear"/>
            <w:vAlign w:val="center"/>
          </w:tcPr>
          <w:p>
            <w:pPr>
              <w:pStyle w:val="TableContents"/>
              <w:spacing w:before="0" w:after="1"/>
              <w:ind w:left="0" w:right="0" w:hanging="0"/>
              <w:rPr/>
            </w:pPr>
            <w:r>
              <w:rPr/>
              <w:t>​</w:t>
            </w:r>
          </w:p>
        </w:tc>
        <w:tc>
          <w:tcPr>
            <w:tcW w:w="293"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67"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4,297</w:t>
            </w:r>
          </w:p>
        </w:tc>
      </w:tr>
    </w:tbl>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sz w:val="20"/>
        </w:rPr>
      </w:pPr>
      <w:bookmarkStart w:id="606" w:name="Tc_oKwrx6wJk0Sg9iC7bBRgGQ_6_5"/>
      <w:bookmarkStart w:id="607" w:name="Tc_j0FrnYLlh0yWDVXHbx_vow_6_2"/>
      <w:bookmarkStart w:id="608" w:name="Tc_AUaHEvz07kuiH_wIsiToWQ_6_0"/>
      <w:bookmarkStart w:id="609" w:name="Tc_nv-83VvkU02JahzqY6RLVw_5_0"/>
      <w:bookmarkStart w:id="610" w:name="Tc_6yjlPs09gUW3bGJlBqlJLQ_4_5"/>
      <w:bookmarkStart w:id="611" w:name="Tc_JHAEbi2OeUSdAsMyjDza1Q_4_2"/>
      <w:bookmarkStart w:id="612" w:name="Tc_sGD64zjyrkK2qQZuSYn21g_4_0"/>
      <w:bookmarkStart w:id="613" w:name="Tc_xFaNRJ30EUqnHZKMYuDGSg_3_5"/>
      <w:bookmarkStart w:id="614" w:name="Tc_pNsT0QgORE2WoAifj7Meog_3_2"/>
      <w:bookmarkStart w:id="615" w:name="Tc_5XmEzMLMSEqa2zpXPAOiWA_2_5"/>
      <w:bookmarkStart w:id="616" w:name="Tc_5CZCKqgpDECMJL9HQEW26Q_2_2"/>
      <w:bookmarkStart w:id="617" w:name="Tc_74TtFedlF0asHSMMOSkF5w_1_2"/>
      <w:bookmarkStart w:id="618" w:name="_eaa16ec5_9b48_4786_a8f8_447332dfa6a3"/>
      <w:bookmarkStart w:id="619" w:name="Tc_ZO_0oA2zgUSoZfzKinCC5g_8_2"/>
      <w:bookmarkStart w:id="620" w:name="Tc_V7or0J05fk2LmZoZtCQrgQ_8_0"/>
      <w:bookmarkStart w:id="621" w:name="Tc_WfwUNWrAx02xnbOmwiOJnA_7_0"/>
      <w:bookmarkStart w:id="622" w:name="Tc_L3LxHLAcbEu2mUC4arYuLA_6_0"/>
      <w:bookmarkStart w:id="623" w:name="Tc_wjQB9R9oyEekJgOb45acFA_5_0"/>
      <w:bookmarkStart w:id="624" w:name="Tc_Uzb9akJj2EefmyM-vIygMw_4_0"/>
      <w:bookmarkStart w:id="625" w:name="Tc_kwxhwGhsCUet8qyJXJkRZw_3_0"/>
      <w:bookmarkStart w:id="626" w:name="Tc_9tRG5Qx_nUWCNkWWHbcPfw_2_2"/>
      <w:bookmarkStart w:id="627" w:name="Tc_SwrIIi303UijPDxIE0mdhA_2_0"/>
      <w:bookmarkStart w:id="628" w:name="Tc_-SZxbsR__06gnsHspgtCFw_1_0"/>
      <w:bookmarkStart w:id="629" w:name="_3bb557df_8730_47a2_bca2_85f432bd57dd"/>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r>
        <w:rPr>
          <w:rFonts w:ascii="Arial;Helvetica;sans-serif" w:hAnsi="Arial;Helvetica;sans-serif"/>
          <w:b/>
          <w:sz w:val="20"/>
        </w:rPr>
        <w:t>7. INTANGIBLE ASSETS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In August 2019, the Company received FDA approval of WAKIX</w:t>
      </w:r>
      <w:r>
        <w:rPr>
          <w:rFonts w:ascii="Arial;Helvetica;sans-serif" w:hAnsi="Arial;Helvetica;sans-serif"/>
          <w:sz w:val="14"/>
        </w:rPr>
        <w:t>®</w:t>
      </w:r>
      <w:r>
        <w:rPr>
          <w:rFonts w:ascii="Arial;Helvetica;sans-serif" w:hAnsi="Arial;Helvetica;sans-serif"/>
          <w:sz w:val="20"/>
        </w:rPr>
        <w:t xml:space="preserve"> (pitolisant) for the treatment of excessive daytime sleepiness (“EDS”) in adult patients with narcolepsy. This event triggered a milestone payment of $75,000 under the provisions of the 2017 LCA (defined below) which the Company capitalized as an intangible asset. The Company determined a useful life of 10 years for such intangible asset, and, as of March 31, 2023, the remaining useful life was 6.5 years.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 October 2020, the Company received FDA approval for the New Drug Application (“NDA”) for WAKIX for the treatment of cataplexy in adult patients with narcolepsy. This event triggered a milestone payment of $100,000 under the provisions of the 2017 LCA which the Company capitalized as an intangible asset and paid in January of 2021. The Company determined a useful life of 9 years for such intangible asset, and, as of March 31, 2023, the remaining useful life was 6.5 years. </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In February 2022, the Company attained $500,000 in life-to-date aggregate net sales of WAKIX in the United States. This event triggered a final $40,000 payment under the provisions of the 2017 LCA which the Company capitalized as an intangible asset and paid in March of 2022. The Company determined a useful life of 7.6 years for such intangible asset, and, as of March 31, 2023, the remaining useful life was 6.5 years.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Amortization expense was $5,961 and $5,082 for the three months ended March 31, 2023 and 2022, respectively, and is recorded in general and administrative expenses on the unaudited condensed consolidated statements of operations and comprehensive income.</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sz w:val="20"/>
        </w:rPr>
        <w:t>The Company expects the future annual amortization expense for the unamortized intangible assets to be as follows:</w:t>
      </w:r>
    </w:p>
    <w:p>
      <w:pPr>
        <w:pStyle w:val="TextBody"/>
        <w:spacing w:before="0" w:after="240"/>
        <w:ind w:left="0" w:right="0" w:firstLine="720"/>
        <w:rPr/>
      </w:pPr>
      <w:r>
        <w:rPr/>
        <w:t>​</w:t>
      </w:r>
    </w:p>
    <w:tbl>
      <w:tblPr>
        <w:tblW w:w="6539" w:type="dxa"/>
        <w:jc w:val="left"/>
        <w:tblInd w:w="0" w:type="dxa"/>
        <w:tblCellMar>
          <w:top w:w="0" w:type="dxa"/>
          <w:left w:w="0" w:type="dxa"/>
          <w:bottom w:w="0" w:type="dxa"/>
          <w:right w:w="0" w:type="dxa"/>
        </w:tblCellMar>
      </w:tblPr>
      <w:tblGrid>
        <w:gridCol w:w="5101"/>
        <w:gridCol w:w="326"/>
        <w:gridCol w:w="211"/>
        <w:gridCol w:w="901"/>
      </w:tblGrid>
      <w:tr>
        <w:trPr/>
        <w:tc>
          <w:tcPr>
            <w:tcW w:w="51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239135" cy="175260"/>
                      <wp:effectExtent l="0" t="0" r="0" b="0"/>
                      <wp:wrapNone/>
                      <wp:docPr id="77" name="Frame77"/>
                      <a:graphic xmlns:a="http://schemas.openxmlformats.org/drawingml/2006/main">
                        <a:graphicData uri="http://schemas.microsoft.com/office/word/2010/wordprocessingShape">
                          <wps:wsp>
                            <wps:cNvSpPr txBox="1"/>
                            <wps:spPr>
                              <a:xfrm>
                                <a:off x="0" y="0"/>
                                <a:ext cx="3239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72135" cy="175260"/>
                      <wp:effectExtent l="0" t="0" r="0" b="0"/>
                      <wp:wrapNone/>
                      <wp:docPr id="80" name="Frame80"/>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01" w:type="dxa"/>
            <w:tcBorders/>
            <w:shd w:fill="auto"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Years ending December 31, </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r>
              <w:rPr/>
              <w:t>​</w:t>
            </w:r>
          </w:p>
        </w:tc>
      </w:tr>
      <w:tr>
        <w:trPr/>
        <w:tc>
          <w:tcPr>
            <w:tcW w:w="510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2023 (Excluding the three months ended March 31, 2023)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17,884</w:t>
            </w:r>
          </w:p>
        </w:tc>
      </w:tr>
      <w:tr>
        <w:trPr/>
        <w:tc>
          <w:tcPr>
            <w:tcW w:w="510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2024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23,845</w:t>
            </w:r>
          </w:p>
        </w:tc>
      </w:tr>
      <w:tr>
        <w:trPr/>
        <w:tc>
          <w:tcPr>
            <w:tcW w:w="510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2025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23,845</w:t>
            </w:r>
          </w:p>
        </w:tc>
      </w:tr>
      <w:tr>
        <w:trPr/>
        <w:tc>
          <w:tcPr>
            <w:tcW w:w="510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2026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23,845</w:t>
            </w:r>
          </w:p>
        </w:tc>
      </w:tr>
      <w:tr>
        <w:trPr/>
        <w:tc>
          <w:tcPr>
            <w:tcW w:w="510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2027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23,845</w:t>
            </w:r>
          </w:p>
        </w:tc>
      </w:tr>
      <w:tr>
        <w:trPr/>
        <w:tc>
          <w:tcPr>
            <w:tcW w:w="510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Thereafter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41,728</w:t>
            </w:r>
          </w:p>
        </w:tc>
      </w:tr>
      <w:tr>
        <w:trPr/>
        <w:tc>
          <w:tcPr>
            <w:tcW w:w="5101" w:type="dxa"/>
            <w:tcBorders/>
            <w:shd w:fill="CCEEFF"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Arial;Helvetica;sans-serif" w:hAnsi="Arial;Helvetica;sans-serif"/>
                <w:sz w:val="20"/>
              </w:rPr>
            </w:pPr>
            <w:r>
              <w:rPr>
                <w:rFonts w:ascii="Arial;Helvetica;sans-serif" w:hAnsi="Arial;Helvetica;sans-serif"/>
                <w:sz w:val="20"/>
              </w:rPr>
              <w:t>154,992</w:t>
            </w:r>
          </w:p>
        </w:tc>
      </w:tr>
    </w:tbl>
    <w:p>
      <w:pPr>
        <w:pStyle w:val="TextBody"/>
        <w:spacing w:before="0" w:after="0"/>
        <w:ind w:left="0" w:right="0" w:hanging="0"/>
        <w:rPr/>
      </w:pPr>
      <w:r>
        <w:rPr/>
        <w:t>​</w:t>
      </w:r>
    </w:p>
    <w:p>
      <w:pPr>
        <w:pStyle w:val="TextBody"/>
        <w:spacing w:before="0" w:after="0"/>
        <w:ind w:left="0" w:right="0" w:firstLine="720"/>
        <w:rPr>
          <w:rFonts w:ascii="Arial;Helvetica;sans-serif" w:hAnsi="Arial;Helvetica;sans-serif"/>
          <w:sz w:val="20"/>
        </w:rPr>
      </w:pPr>
      <w:r>
        <w:rPr>
          <w:rFonts w:ascii="Arial;Helvetica;sans-serif" w:hAnsi="Arial;Helvetica;sans-serif"/>
          <w:sz w:val="20"/>
        </w:rPr>
        <w:t>The gross carrying amount and net book value of the intangible asset is as follows:</w:t>
      </w:r>
    </w:p>
    <w:p>
      <w:pPr>
        <w:pStyle w:val="TextBody"/>
        <w:spacing w:before="0" w:after="240"/>
        <w:ind w:left="0" w:right="0" w:firstLine="720"/>
        <w:rPr/>
      </w:pPr>
      <w:r>
        <w:rPr/>
        <w:t>​</w:t>
      </w:r>
    </w:p>
    <w:tbl>
      <w:tblPr>
        <w:tblW w:w="5350" w:type="dxa"/>
        <w:jc w:val="left"/>
        <w:tblInd w:w="0" w:type="dxa"/>
        <w:tblCellMar>
          <w:top w:w="0" w:type="dxa"/>
          <w:left w:w="0" w:type="dxa"/>
          <w:bottom w:w="0" w:type="dxa"/>
          <w:right w:w="0" w:type="dxa"/>
        </w:tblCellMar>
      </w:tblPr>
      <w:tblGrid>
        <w:gridCol w:w="2416"/>
        <w:gridCol w:w="326"/>
        <w:gridCol w:w="211"/>
        <w:gridCol w:w="811"/>
        <w:gridCol w:w="326"/>
        <w:gridCol w:w="239"/>
        <w:gridCol w:w="1021"/>
      </w:tblGrid>
      <w:tr>
        <w:trPr/>
        <w:tc>
          <w:tcPr>
            <w:tcW w:w="24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534160" cy="175260"/>
                      <wp:effectExtent l="0" t="0" r="0" b="0"/>
                      <wp:wrapNone/>
                      <wp:docPr id="81" name="Frame81"/>
                      <a:graphic xmlns:a="http://schemas.openxmlformats.org/drawingml/2006/main">
                        <a:graphicData uri="http://schemas.microsoft.com/office/word/2010/wordprocessingShape">
                          <wps:wsp>
                            <wps:cNvSpPr txBox="1"/>
                            <wps:spPr>
                              <a:xfrm>
                                <a:off x="0" y="0"/>
                                <a:ext cx="1534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14985" cy="175260"/>
                      <wp:effectExtent l="0" t="0" r="0" b="0"/>
                      <wp:wrapNone/>
                      <wp:docPr id="84" name="Frame84"/>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51765" cy="175260"/>
                      <wp:effectExtent l="0" t="0" r="0" b="0"/>
                      <wp:wrapNone/>
                      <wp:docPr id="86" name="Frame86"/>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335" cy="175260"/>
                      <wp:effectExtent l="0" t="0" r="0" b="0"/>
                      <wp:wrapNone/>
                      <wp:docPr id="87" name="Frame87"/>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4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60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As of</w:t>
            </w:r>
          </w:p>
        </w:tc>
      </w:tr>
      <w:tr>
        <w:trPr/>
        <w:tc>
          <w:tcPr>
            <w:tcW w:w="24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22"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shd w:fill="auto" w:val="clear"/>
            <w:vAlign w:val="center"/>
          </w:tcPr>
          <w:p>
            <w:pPr>
              <w:pStyle w:val="TableContents"/>
              <w:spacing w:before="0" w:after="1"/>
              <w:ind w:left="0" w:right="0" w:hanging="0"/>
              <w:rPr/>
            </w:pPr>
            <w:r>
              <w:rPr/>
              <w:t>    </w:t>
            </w:r>
          </w:p>
        </w:tc>
        <w:tc>
          <w:tcPr>
            <w:tcW w:w="1260"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24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2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shd w:fill="auto" w:val="clear"/>
            <w:vAlign w:val="center"/>
          </w:tcPr>
          <w:p>
            <w:pPr>
              <w:pStyle w:val="TableContents"/>
              <w:spacing w:before="0" w:after="1"/>
              <w:ind w:left="0" w:right="0" w:hanging="0"/>
              <w:rPr/>
            </w:pPr>
            <w:r>
              <w:rPr/>
              <w:t>​</w:t>
            </w:r>
          </w:p>
        </w:tc>
        <w:tc>
          <w:tcPr>
            <w:tcW w:w="12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241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Gross Carrying Amount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215,000</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102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215,000</w:t>
            </w:r>
          </w:p>
        </w:tc>
      </w:tr>
      <w:tr>
        <w:trPr/>
        <w:tc>
          <w:tcPr>
            <w:tcW w:w="241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Accumulated Amortization</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(60,008)</w:t>
            </w:r>
          </w:p>
        </w:tc>
        <w:tc>
          <w:tcPr>
            <w:tcW w:w="326" w:type="dxa"/>
            <w:tcBorders/>
            <w:shd w:fill="auto" w:val="clear"/>
            <w:vAlign w:val="center"/>
          </w:tcPr>
          <w:p>
            <w:pPr>
              <w:pStyle w:val="TableContents"/>
              <w:spacing w:before="0" w:after="1"/>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(54,047)</w:t>
            </w:r>
          </w:p>
        </w:tc>
      </w:tr>
      <w:tr>
        <w:trPr/>
        <w:tc>
          <w:tcPr>
            <w:tcW w:w="241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Net Book Value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154,992</w:t>
            </w:r>
          </w:p>
        </w:tc>
        <w:tc>
          <w:tcPr>
            <w:tcW w:w="326" w:type="dxa"/>
            <w:tcBorders/>
            <w:shd w:fill="CCEEFF" w:val="clear"/>
            <w:vAlign w:val="center"/>
          </w:tcPr>
          <w:p>
            <w:pPr>
              <w:pStyle w:val="TableContents"/>
              <w:spacing w:before="0" w:after="1"/>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102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160,953</w:t>
            </w:r>
          </w:p>
        </w:tc>
      </w:tr>
    </w:tbl>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8. LICENSE AGREEMENTS AND ASSET PURCHASE AGREEMENTS</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License Agreements</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sz w:val="20"/>
        </w:rPr>
        <w:t xml:space="preserve">In July 2017, Harmony entered into a License Agreement (the “2017 LCA”) with Bioprojet Société Civile de Recherche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in February 2019 and was expensed within research and development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for the year ended December 31, 2019. A milestone payment of $77,000, which included a $2,000 fee that is described below, was due upon FDA approval of WAKIX (pitolisant) for treatment of EDS in adult patients with narcolepsy, which was achieved in August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$2,000 payment was paid in October 2020 and a $100,000 milestone payment was paid in January 2021. A final $40,000 milestone payment was paid to Bioprojet in March 2022 upon WAKIX attaining $500,000 in aggregate net sales in the United States. The 2017 LCA also requires a fixed trademark royalty and a tiered royalty based on net sales, which is payable to Bioprojet on a quarterly basis. The Company incurred $19,060 and $13,672 for the three months ended March 31, 2023 and 2022, respectively, for sales-based, trademark and tiered royalties recognized as cost of product sold. As of March 31, 2023 and December 31, 2022, the Company had accrued $19,060 and $25,367, respectively, for sales-based, trademark and tiered royalties.  </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On July 31, 2022, Harmony entered into a License and Commercialization Agreement (the “2022 LCA”) with Bioprojet whereby Harmony obtained exclusive rights to manufacture, use and commercialize one or more new products based on pitolisant in the United States and Latin America, with the potential to add additional indications and formulations upon agreement of both parties. Harmony paid an initial, non-refundable $30,000 licensing fee in October 2022 and additional payments of up to $155,000 are potentially due under the 2022 LCA upon the achievement of certain future development and sales-based milestones. In addition, there are other payments due upon achievement of development milestones for new indications and formulations as agreed upon by both parties. The 2022 LCA also requires a fixed trademark royalty and a tiered royalty based on net sales upon commercialization, which will be payable to Bioprojet on a quarterly basis. </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Agreement Related to Intellectual Property</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In August 2021, the Company entered into an asset purchase agreement with ConSynance Therapeutics, Inc. (the “APA”) to acquire HBS-102 (formerly referred to as “CSTI-100”), a potential first-in-class molecule with a novel mechanism of action. Under the terms of the APA, the Company acquired full development and commercialization rights globally, with the exception of Greater China, for $3,500. The Company accounted for the transaction as an asset acquisition as substantially all of the fair value of the assets acquired was concentrated in a single identified asset. In March 2023, the Company achieved a preclinical milestone, which triggered a $750 payment under the provisions of the APA, which the Company recognized as an IPR&amp;D charge recorded in research and development within the unaudited condensed consolidated statement of operations and comprehensive income for the three months ended March 31, 2023. There are additional payments due under the APA upon the achievement of certain milestones including $1,000 for preclinical milestones, $19,000 for development milestones, $44,000 for regulatory milestones and $110,000 for sales milestones.</w:t>
      </w:r>
    </w:p>
    <w:p>
      <w:pPr>
        <w:pStyle w:val="TextBody"/>
        <w:spacing w:before="0" w:after="240"/>
        <w:ind w:left="0" w:right="0" w:hanging="0"/>
        <w:rPr>
          <w:rFonts w:ascii="Arial;Helvetica;sans-serif" w:hAnsi="Arial;Helvetica;sans-serif"/>
          <w:b/>
          <w:sz w:val="20"/>
        </w:rPr>
      </w:pPr>
      <w:bookmarkStart w:id="630" w:name="Tc_n9iAVHmDQkKKDwLPwb2dpg_11_5"/>
      <w:bookmarkStart w:id="631" w:name="Tc_DROObyYUbE2IbB_BD6xxng_11_2"/>
      <w:bookmarkStart w:id="632" w:name="Tc_zxuUWtGm1Uujy8AazZR1hA_10_0"/>
      <w:bookmarkStart w:id="633" w:name="Tc_SvYRIMOOZkGQG6bwEv1Gqg_9_0"/>
      <w:bookmarkStart w:id="634" w:name="Tc_dIc2gs30VUWQbluzEzidxQ_8_0"/>
      <w:bookmarkStart w:id="635" w:name="Tc_RfVlfTjtA0mQmWL1--7rpg_7_0"/>
      <w:bookmarkStart w:id="636" w:name="Tc_XwwTConmo02gncQndADgfA_6_0"/>
      <w:bookmarkStart w:id="637" w:name="Tc_s8KhBVVYqEab9s8NZmTs9A_5_0"/>
      <w:bookmarkStart w:id="638" w:name="Tc_H7kFXlQzy0akIEywguXiig_4_5"/>
      <w:bookmarkStart w:id="639" w:name="Tc_-q-pJkBPEUG31vfRmOZaxQ_4_2"/>
      <w:bookmarkStart w:id="640" w:name="Tc_t9NMae1btUCkGpR4TPLniw_4_0"/>
      <w:bookmarkStart w:id="641" w:name="Tc_tGc8dsetcUOOD1mXHgL_7g_3_5"/>
      <w:bookmarkStart w:id="642" w:name="Tc_01FuU-PQzkOd5rFNne5mYA_3_2"/>
      <w:bookmarkStart w:id="643" w:name="Tc_kpqq9c_hMk-W1guMQWYEkw_2_5"/>
      <w:bookmarkStart w:id="644" w:name="Tc_fiZNXLlLG0KNVWW5_V_BdQ_2_2"/>
      <w:bookmarkStart w:id="645" w:name="Tc_mTUvRoDMKUSFyg_n1h6K8Q_1_2"/>
      <w:bookmarkStart w:id="646" w:name="_f775b77e_0aa0_45e5_9056_458aa946114a"/>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r>
        <w:rPr>
          <w:rFonts w:ascii="Arial;Helvetica;sans-serif" w:hAnsi="Arial;Helvetica;sans-serif"/>
          <w:b/>
          <w:sz w:val="20"/>
        </w:rPr>
        <w:t>9. ACCRUED EXPENSES</w:t>
      </w:r>
    </w:p>
    <w:p>
      <w:pPr>
        <w:pStyle w:val="TextBody"/>
        <w:spacing w:before="0" w:after="0"/>
        <w:ind w:left="0" w:right="0" w:firstLine="720"/>
        <w:rPr>
          <w:rFonts w:ascii="Arial;Helvetica;sans-serif" w:hAnsi="Arial;Helvetica;sans-serif"/>
          <w:sz w:val="20"/>
        </w:rPr>
      </w:pPr>
      <w:r>
        <w:rPr>
          <w:rFonts w:ascii="Arial;Helvetica;sans-serif" w:hAnsi="Arial;Helvetica;sans-serif"/>
          <w:sz w:val="20"/>
        </w:rPr>
        <w:t>Accrued expenses consist of the following:</w:t>
      </w:r>
    </w:p>
    <w:p>
      <w:pPr>
        <w:pStyle w:val="TextBody"/>
        <w:spacing w:before="0" w:after="240"/>
        <w:ind w:left="0" w:right="0" w:firstLine="720"/>
        <w:rPr/>
      </w:pPr>
      <w:r>
        <w:rPr/>
        <w:t>​</w:t>
      </w:r>
    </w:p>
    <w:tbl>
      <w:tblPr>
        <w:tblW w:w="7180" w:type="dxa"/>
        <w:jc w:val="left"/>
        <w:tblInd w:w="0" w:type="dxa"/>
        <w:tblCellMar>
          <w:top w:w="0" w:type="dxa"/>
          <w:left w:w="0" w:type="dxa"/>
          <w:bottom w:w="0" w:type="dxa"/>
          <w:right w:w="0" w:type="dxa"/>
        </w:tblCellMar>
      </w:tblPr>
      <w:tblGrid>
        <w:gridCol w:w="4366"/>
        <w:gridCol w:w="326"/>
        <w:gridCol w:w="211"/>
        <w:gridCol w:w="691"/>
        <w:gridCol w:w="326"/>
        <w:gridCol w:w="263"/>
        <w:gridCol w:w="997"/>
      </w:tblGrid>
      <w:tr>
        <w:trPr/>
        <w:tc>
          <w:tcPr>
            <w:tcW w:w="4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772410" cy="175260"/>
                      <wp:effectExtent l="0" t="0" r="0" b="0"/>
                      <wp:wrapNone/>
                      <wp:docPr id="88" name="Frame88"/>
                      <a:graphic xmlns:a="http://schemas.openxmlformats.org/drawingml/2006/main">
                        <a:graphicData uri="http://schemas.microsoft.com/office/word/2010/wordprocessingShape">
                          <wps:wsp>
                            <wps:cNvSpPr txBox="1"/>
                            <wps:spPr>
                              <a:xfrm>
                                <a:off x="0" y="0"/>
                                <a:ext cx="2772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38785" cy="175260"/>
                      <wp:effectExtent l="0" t="0" r="0" b="0"/>
                      <wp:wrapNone/>
                      <wp:docPr id="91" name="Frame91"/>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67005" cy="175260"/>
                      <wp:effectExtent l="0" t="0" r="0" b="0"/>
                      <wp:wrapNone/>
                      <wp:docPr id="93" name="Frame93"/>
                      <a:graphic xmlns:a="http://schemas.openxmlformats.org/drawingml/2006/main">
                        <a:graphicData uri="http://schemas.microsoft.com/office/word/2010/wordprocessingShape">
                          <wps:wsp>
                            <wps:cNvSpPr txBox="1"/>
                            <wps:spPr>
                              <a:xfrm>
                                <a:off x="0" y="0"/>
                                <a:ext cx="167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33095" cy="175260"/>
                      <wp:effectExtent l="0" t="0" r="0" b="0"/>
                      <wp:wrapNone/>
                      <wp:docPr id="94" name="Frame94"/>
                      <a:graphic xmlns:a="http://schemas.openxmlformats.org/drawingml/2006/main">
                        <a:graphicData uri="http://schemas.microsoft.com/office/word/2010/wordprocessingShape">
                          <wps:wsp>
                            <wps:cNvSpPr txBox="1"/>
                            <wps:spPr>
                              <a:xfrm>
                                <a:off x="0" y="0"/>
                                <a:ext cx="6330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48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As of</w:t>
            </w:r>
          </w:p>
        </w:tc>
      </w:tr>
      <w:tr>
        <w:trPr/>
        <w:tc>
          <w:tcPr>
            <w:tcW w:w="4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02"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shd w:fill="auto" w:val="clear"/>
            <w:vAlign w:val="center"/>
          </w:tcPr>
          <w:p>
            <w:pPr>
              <w:pStyle w:val="TableContents"/>
              <w:spacing w:before="0" w:after="0"/>
              <w:ind w:left="0" w:right="0" w:hanging="0"/>
              <w:rPr/>
            </w:pPr>
            <w:r>
              <w:rPr/>
              <w:t>    </w:t>
            </w:r>
          </w:p>
        </w:tc>
        <w:tc>
          <w:tcPr>
            <w:tcW w:w="1260"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4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shd w:fill="auto" w:val="clear"/>
            <w:vAlign w:val="center"/>
          </w:tcPr>
          <w:p>
            <w:pPr>
              <w:pStyle w:val="TableContents"/>
              <w:spacing w:before="0" w:after="0"/>
              <w:ind w:left="0" w:right="0" w:hanging="0"/>
              <w:rPr/>
            </w:pPr>
            <w:r>
              <w:rPr/>
              <w:t>​</w:t>
            </w:r>
          </w:p>
        </w:tc>
        <w:tc>
          <w:tcPr>
            <w:tcW w:w="12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436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Royalties due to third parties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19,060</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97"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25,367</w:t>
            </w:r>
          </w:p>
        </w:tc>
      </w:tr>
      <w:tr>
        <w:trPr/>
        <w:tc>
          <w:tcPr>
            <w:tcW w:w="436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Rebates and other sales deductions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28,933</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 </w:t>
            </w:r>
          </w:p>
        </w:tc>
        <w:tc>
          <w:tcPr>
            <w:tcW w:w="997"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27,860</w:t>
            </w:r>
          </w:p>
        </w:tc>
      </w:tr>
      <w:tr>
        <w:trPr/>
        <w:tc>
          <w:tcPr>
            <w:tcW w:w="436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xml:space="preserve">Interest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3,831</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w:t>
            </w:r>
          </w:p>
        </w:tc>
        <w:tc>
          <w:tcPr>
            <w:tcW w:w="997"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3,286</w:t>
            </w:r>
          </w:p>
        </w:tc>
      </w:tr>
      <w:tr>
        <w:trPr/>
        <w:tc>
          <w:tcPr>
            <w:tcW w:w="436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Selling and marketing</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1,358</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 </w:t>
            </w:r>
          </w:p>
        </w:tc>
        <w:tc>
          <w:tcPr>
            <w:tcW w:w="997"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1,135</w:t>
            </w:r>
          </w:p>
        </w:tc>
      </w:tr>
      <w:tr>
        <w:trPr/>
        <w:tc>
          <w:tcPr>
            <w:tcW w:w="436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1,075</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 </w:t>
            </w:r>
          </w:p>
        </w:tc>
        <w:tc>
          <w:tcPr>
            <w:tcW w:w="997"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358</w:t>
            </w:r>
          </w:p>
        </w:tc>
      </w:tr>
      <w:tr>
        <w:trPr/>
        <w:tc>
          <w:tcPr>
            <w:tcW w:w="436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Professional fees, consulting, and other services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708</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 </w:t>
            </w:r>
          </w:p>
        </w:tc>
        <w:tc>
          <w:tcPr>
            <w:tcW w:w="997"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1,163</w:t>
            </w:r>
          </w:p>
        </w:tc>
      </w:tr>
      <w:tr>
        <w:trPr/>
        <w:tc>
          <w:tcPr>
            <w:tcW w:w="436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Other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1,845</w:t>
            </w:r>
          </w:p>
        </w:tc>
        <w:tc>
          <w:tcPr>
            <w:tcW w:w="326" w:type="dxa"/>
            <w:tcBorders/>
            <w:shd w:fill="CCEEFF" w:val="clear"/>
            <w:vAlign w:val="center"/>
          </w:tcPr>
          <w:p>
            <w:pPr>
              <w:pStyle w:val="TableContents"/>
              <w:spacing w:before="0" w:after="0"/>
              <w:ind w:left="0" w:right="0" w:hanging="0"/>
              <w:rPr/>
            </w:pPr>
            <w:r>
              <w:rPr/>
              <w:t>​</w:t>
            </w:r>
          </w:p>
        </w:tc>
        <w:tc>
          <w:tcPr>
            <w:tcW w:w="26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773</w:t>
            </w:r>
          </w:p>
        </w:tc>
      </w:tr>
      <w:tr>
        <w:trPr/>
        <w:tc>
          <w:tcPr>
            <w:tcW w:w="4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56,810</w:t>
            </w:r>
          </w:p>
        </w:tc>
        <w:tc>
          <w:tcPr>
            <w:tcW w:w="326" w:type="dxa"/>
            <w:tcBorders/>
            <w:shd w:fill="auto" w:val="clear"/>
            <w:vAlign w:val="center"/>
          </w:tcPr>
          <w:p>
            <w:pPr>
              <w:pStyle w:val="TableContents"/>
              <w:spacing w:before="0" w:after="0"/>
              <w:ind w:left="0" w:right="0" w:hanging="0"/>
              <w:rPr/>
            </w:pPr>
            <w:r>
              <w:rPr/>
              <w:t>​</w:t>
            </w:r>
          </w:p>
        </w:tc>
        <w:tc>
          <w:tcPr>
            <w:tcW w:w="263"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97"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Arial;Helvetica;sans-serif" w:hAnsi="Arial;Helvetica;sans-serif"/>
                <w:sz w:val="20"/>
              </w:rPr>
            </w:pPr>
            <w:r>
              <w:rPr>
                <w:rFonts w:ascii="Arial;Helvetica;sans-serif" w:hAnsi="Arial;Helvetica;sans-serif"/>
                <w:sz w:val="20"/>
              </w:rPr>
              <w:t>59,942</w:t>
            </w:r>
          </w:p>
        </w:tc>
      </w:tr>
    </w:tbl>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bookmarkStart w:id="647" w:name="Tc_W3BMluLgQ0ykmd5FeW9stA_7_5"/>
      <w:bookmarkStart w:id="648" w:name="Tc_ZfykY6VCrE2NF52gOeEPcw_7_2"/>
      <w:bookmarkStart w:id="649" w:name="Tc_7jvsPgC6Z0y8O6jDnsG43Q_7_0"/>
      <w:bookmarkStart w:id="650" w:name="Tc_F7Z1UxZ6R0K3etnRTd5pPQ_6_0"/>
      <w:bookmarkStart w:id="651" w:name="Tc_V_Eli7hut067VDFBll_yVg_5_0"/>
      <w:bookmarkStart w:id="652" w:name="Tc_6Qqfq2aWBESVXmDduupkcQ_4_0"/>
      <w:bookmarkStart w:id="653" w:name="Tc_fE5XVVOhekieSx-tBfdqbQ_3_5"/>
      <w:bookmarkStart w:id="654" w:name="Tc_V37pUhZSLEyDgs_vsj8Q-g_3_2"/>
      <w:bookmarkStart w:id="655" w:name="Tc_7Nkzi07c-0aHle7wfMIsYA_3_0"/>
      <w:bookmarkStart w:id="656" w:name="Tc_YXDMmeT_-0-ZDti38-YYCg_2_5"/>
      <w:bookmarkStart w:id="657" w:name="Tc_rpmZ4tQPp0i5uypXd7YCBg_2_2"/>
      <w:bookmarkStart w:id="658" w:name="Tc_4I7DGzDlaE6-oiILv6uJvw_1_5"/>
      <w:bookmarkStart w:id="659" w:name="Tc_2LEP7ycgFkS-B1fFnU3HUw_1_2"/>
      <w:bookmarkStart w:id="660" w:name="_b5e99bf7_50e4_4ee8_965c_9d80f84f6615"/>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r>
        <w:rPr>
          <w:rFonts w:ascii="Arial;Helvetica;sans-serif" w:hAnsi="Arial;Helvetica;sans-serif"/>
          <w:b/>
          <w:sz w:val="20"/>
        </w:rPr>
        <w:t>10. DEBT</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Blackstone Credit Agreement</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In August 2021, the Company entered into the Blackstone Credit Agreement that provides for (i) a senior secured term loan facility in an aggregate original principal amount of $200,000 (the “Initial Term Loan”) and (ii) a senior secured delayed draw term loan facility in an aggregate principal amount up to $100,000 (the “DDTL” and, together with the Initial Term Loan, the “Loans”). The DDTL was initially available to draw down through August 9, 2022. In August 2022, the Company entered into an agreement to extend the expiration date of the DDTL to August 9, 2023, for which the Company will pay a ticking fee at a rate of 1% per annum on the undrawn portion of the DDTL, which commenced on August 10, 2022.</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The repayment schedule for the Initial Term Loan consists of quarterly $500 principal payments, which commenced on December 31, 2021, and increasing to quarterly $5,000 principal payments beginning on March 31, 2024, with a $145,500 payment due on the maturity date of August 9, 2026 (“Maturity Date”). Interest is payable quarterly, which commenced on November 9, 2021, and continues through the Maturity Date. The Initial Term Loan bears interest at a per annum rate equal to LIBOR, subject to a 1.00% floor, plus 6.50%.</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Net cash received from the Initial Term Loan was $191,849, net of debt issuance costs of $8,151. The debt issuance costs related to the Initial Term Loan are being amortized as additional interest expense over the five-year loan term of the Blackstone Credit Agreement. In addition, the Company paid $1,000 in debt issuance costs relating the DDTL, which are recorded in other current assets within the unaudited condensed consolidated balance sheet. The fair value of the Initial Term Loan as of March 31, 2023 was $168,569.</w:t>
      </w:r>
    </w:p>
    <w:p>
      <w:pPr>
        <w:pStyle w:val="TextBody"/>
        <w:spacing w:before="0" w:after="0"/>
        <w:ind w:left="0" w:right="0" w:firstLine="720"/>
        <w:rPr>
          <w:rFonts w:ascii="Arial;Helvetica;sans-serif" w:hAnsi="Arial;Helvetica;sans-serif"/>
          <w:sz w:val="20"/>
        </w:rPr>
      </w:pPr>
      <w:r>
        <w:rPr>
          <w:rFonts w:ascii="Arial;Helvetica;sans-serif" w:hAnsi="Arial;Helvetica;sans-serif"/>
          <w:sz w:val="20"/>
        </w:rPr>
        <w:t>Long-term debt, net consists of the following:</w:t>
      </w:r>
    </w:p>
    <w:p>
      <w:pPr>
        <w:pStyle w:val="TextBody"/>
        <w:spacing w:before="0" w:after="240"/>
        <w:ind w:left="0" w:right="0" w:firstLine="720"/>
        <w:rPr/>
      </w:pPr>
      <w:r>
        <w:rPr/>
        <w:t>​</w:t>
      </w:r>
    </w:p>
    <w:tbl>
      <w:tblPr>
        <w:tblW w:w="8590" w:type="dxa"/>
        <w:jc w:val="left"/>
        <w:tblInd w:w="0" w:type="dxa"/>
        <w:tblCellMar>
          <w:top w:w="0" w:type="dxa"/>
          <w:left w:w="0" w:type="dxa"/>
          <w:bottom w:w="0" w:type="dxa"/>
          <w:right w:w="0" w:type="dxa"/>
        </w:tblCellMar>
      </w:tblPr>
      <w:tblGrid>
        <w:gridCol w:w="5671"/>
        <w:gridCol w:w="326"/>
        <w:gridCol w:w="211"/>
        <w:gridCol w:w="796"/>
        <w:gridCol w:w="326"/>
        <w:gridCol w:w="239"/>
        <w:gridCol w:w="1021"/>
      </w:tblGrid>
      <w:tr>
        <w:trPr/>
        <w:tc>
          <w:tcPr>
            <w:tcW w:w="56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601085" cy="175260"/>
                      <wp:effectExtent l="0" t="0" r="0" b="0"/>
                      <wp:wrapNone/>
                      <wp:docPr id="95" name="Frame95"/>
                      <a:graphic xmlns:a="http://schemas.openxmlformats.org/drawingml/2006/main">
                        <a:graphicData uri="http://schemas.microsoft.com/office/word/2010/wordprocessingShape">
                          <wps:wsp>
                            <wps:cNvSpPr txBox="1"/>
                            <wps:spPr>
                              <a:xfrm>
                                <a:off x="0" y="0"/>
                                <a:ext cx="3601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05460" cy="175260"/>
                      <wp:effectExtent l="0" t="0" r="0" b="0"/>
                      <wp:wrapNone/>
                      <wp:docPr id="98" name="Frame98"/>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51765" cy="175260"/>
                      <wp:effectExtent l="0" t="0" r="0" b="0"/>
                      <wp:wrapNone/>
                      <wp:docPr id="100" name="Frame100"/>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335" cy="175260"/>
                      <wp:effectExtent l="0" t="0" r="0" b="0"/>
                      <wp:wrapNone/>
                      <wp:docPr id="101" name="Frame101"/>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6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shd w:fill="auto" w:val="clear"/>
            <w:vAlign w:val="center"/>
          </w:tcPr>
          <w:p>
            <w:pPr>
              <w:pStyle w:val="TableContents"/>
              <w:spacing w:before="0" w:after="0"/>
              <w:ind w:left="0" w:right="0" w:hanging="0"/>
              <w:rPr/>
            </w:pPr>
            <w:r>
              <w:rPr/>
              <w:t>    </w:t>
            </w:r>
          </w:p>
        </w:tc>
        <w:tc>
          <w:tcPr>
            <w:tcW w:w="1260"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56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shd w:fill="auto" w:val="clear"/>
            <w:vAlign w:val="center"/>
          </w:tcPr>
          <w:p>
            <w:pPr>
              <w:pStyle w:val="TableContents"/>
              <w:spacing w:before="0" w:after="0"/>
              <w:ind w:left="0" w:right="0" w:hanging="0"/>
              <w:rPr/>
            </w:pPr>
            <w:r>
              <w:rPr/>
              <w:t>​</w:t>
            </w:r>
          </w:p>
        </w:tc>
        <w:tc>
          <w:tcPr>
            <w:tcW w:w="12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567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Liability component - principal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197,000</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2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197,500</w:t>
            </w:r>
          </w:p>
        </w:tc>
      </w:tr>
      <w:tr>
        <w:trPr/>
        <w:tc>
          <w:tcPr>
            <w:tcW w:w="567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Unamortized debt discount associated with debt financing costs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(5,437)</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(5,853)</w:t>
            </w:r>
          </w:p>
        </w:tc>
      </w:tr>
      <w:tr>
        <w:trPr/>
        <w:tc>
          <w:tcPr>
            <w:tcW w:w="567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Liability component - net carrying value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191,563</w:t>
            </w:r>
          </w:p>
        </w:tc>
        <w:tc>
          <w:tcPr>
            <w:tcW w:w="326" w:type="dxa"/>
            <w:tcBorders/>
            <w:shd w:fill="CCEEFF" w:val="clear"/>
            <w:vAlign w:val="center"/>
          </w:tcPr>
          <w:p>
            <w:pPr>
              <w:pStyle w:val="TableContents"/>
              <w:spacing w:before="0" w:after="0"/>
              <w:ind w:left="0" w:right="0" w:hanging="0"/>
              <w:jc w:val="right"/>
              <w:rPr/>
            </w:pPr>
            <w:r>
              <w:rPr/>
              <w:t>​</w:t>
            </w:r>
          </w:p>
        </w:tc>
        <w:tc>
          <w:tcPr>
            <w:tcW w:w="239" w:type="dxa"/>
            <w:tcBorders/>
            <w:shd w:fill="CCEEFF" w:val="clear"/>
            <w:vAlign w:val="center"/>
          </w:tcPr>
          <w:p>
            <w:pPr>
              <w:pStyle w:val="TableContents"/>
              <w:spacing w:before="0" w:after="0"/>
              <w:ind w:left="0" w:right="0" w:hanging="0"/>
              <w:jc w:val="right"/>
              <w:rPr/>
            </w:pPr>
            <w:r>
              <w:rPr/>
              <w:t>​</w:t>
            </w:r>
          </w:p>
        </w:tc>
        <w:tc>
          <w:tcPr>
            <w:tcW w:w="102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191,647</w:t>
            </w:r>
          </w:p>
        </w:tc>
      </w:tr>
      <w:tr>
        <w:trPr/>
        <w:tc>
          <w:tcPr>
            <w:tcW w:w="567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xml:space="preserve">Less current portion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(6,500)</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(2,000)</w:t>
            </w:r>
          </w:p>
        </w:tc>
      </w:tr>
      <w:tr>
        <w:trPr/>
        <w:tc>
          <w:tcPr>
            <w:tcW w:w="567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Long-term debt,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185,063</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2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Arial;Helvetica;sans-serif" w:hAnsi="Arial;Helvetica;sans-serif"/>
                <w:sz w:val="20"/>
              </w:rPr>
            </w:pPr>
            <w:r>
              <w:rPr>
                <w:rFonts w:ascii="Arial;Helvetica;sans-serif" w:hAnsi="Arial;Helvetica;sans-serif"/>
                <w:sz w:val="20"/>
              </w:rPr>
              <w:t>189,647</w:t>
            </w:r>
          </w:p>
        </w:tc>
      </w:tr>
    </w:tbl>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jc w:val="both"/>
        <w:rPr>
          <w:rFonts w:ascii="Arial;Helvetica;sans-serif" w:hAnsi="Arial;Helvetica;sans-serif"/>
          <w:sz w:val="20"/>
        </w:rPr>
      </w:pPr>
      <w:bookmarkStart w:id="661" w:name="Tc_yf5_43bjCE2d3BU2iDnG-g_6_5"/>
      <w:bookmarkStart w:id="662" w:name="Tc_g6A47Btgw0OVSyjKsxEbqg_6_2"/>
      <w:bookmarkStart w:id="663" w:name="Tc_BF2fufdHh0KaWoM4r20LSg_6_0"/>
      <w:bookmarkStart w:id="664" w:name="Tc_lOuE0tTWkka4LVbmpLAJcA_5_0"/>
      <w:bookmarkStart w:id="665" w:name="Tc_1bHDxgnbR0WQMAcAiO1cmw_4_5"/>
      <w:bookmarkStart w:id="666" w:name="Tc_Ilsyd4DZA0y1fuv3SslxcA_4_2"/>
      <w:bookmarkStart w:id="667" w:name="Tc_fnENDZJgAE-Fzkqj_KKInA_4_0"/>
      <w:bookmarkStart w:id="668" w:name="Tc_Q2lhSLM6ikeASGQbHBsnOg_3_5"/>
      <w:bookmarkStart w:id="669" w:name="Tc_p_tz4b-Bh0Gzx5Q1Vhtyag_3_2"/>
      <w:bookmarkStart w:id="670" w:name="Tc_c_anoc-rH0qEuFQNi2SX3Q_2_2"/>
      <w:bookmarkStart w:id="671" w:name="Tc_gfGTA5IchUySZXZaf6jZqw_1_2"/>
      <w:bookmarkStart w:id="672" w:name="_e57ba2b1_0cbe_482d_8057_96d81443b056"/>
      <w:bookmarkStart w:id="673" w:name="Tc_5OC5Jc00o02a0MbTB7Ln2A_8_2"/>
      <w:bookmarkStart w:id="674" w:name="Tc_iI3YK3wumUyQsSaVk6ccKg_8_0"/>
      <w:bookmarkStart w:id="675" w:name="Tc_gRVtIxHkykKovT5lYyU02A_7_3"/>
      <w:bookmarkStart w:id="676" w:name="Tc_bPC2E-OYB0O6XB2QLgivEg_7_0"/>
      <w:bookmarkStart w:id="677" w:name="Tc_oLjD2VMxJkuyaOrX0hXaMQ_6_3"/>
      <w:bookmarkStart w:id="678" w:name="Tc_tZ4qCeBoukaI3UJJTrkWdA_6_0"/>
      <w:bookmarkStart w:id="679" w:name="Tc_Cxip1t2RKECFYPMhSCf2Dw_5_0"/>
      <w:bookmarkStart w:id="680" w:name="Tc_Q6Hzmaf-n0WxHtB-BamT3Q_4_0"/>
      <w:bookmarkStart w:id="681" w:name="Tc_RAPfl-SIjUebZkcUU770ww_3_0"/>
      <w:bookmarkStart w:id="682" w:name="Tc_TsOE9PnZYUGUM0503gZIcA_2_2"/>
      <w:bookmarkStart w:id="683" w:name="Tc_LfLZVN6k7Uma9rIMOS_WJg_2_0"/>
      <w:bookmarkStart w:id="684" w:name="Tc_AOzqu8q49k21y_XI10ESFg_1_0"/>
      <w:bookmarkStart w:id="685" w:name="_66dce096_68f7_4057_8428_4ea372ec96b7"/>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r>
        <w:rPr>
          <w:rFonts w:ascii="Arial;Helvetica;sans-serif" w:hAnsi="Arial;Helvetica;sans-serif"/>
          <w:sz w:val="20"/>
        </w:rPr>
        <w:t>Future minimum payments relating to long-term debt, net as of March 31, 2023, for the periods indicated below consists of the following:</w:t>
      </w:r>
    </w:p>
    <w:p>
      <w:pPr>
        <w:pStyle w:val="TextBody"/>
        <w:spacing w:before="0" w:after="240"/>
        <w:ind w:left="0" w:right="0" w:firstLine="720"/>
        <w:jc w:val="both"/>
        <w:rPr/>
      </w:pPr>
      <w:r>
        <w:rPr/>
        <w:t>​</w:t>
      </w:r>
    </w:p>
    <w:tbl>
      <w:tblPr>
        <w:tblW w:w="6322" w:type="dxa"/>
        <w:jc w:val="left"/>
        <w:tblInd w:w="0" w:type="dxa"/>
        <w:tblCellMar>
          <w:top w:w="0" w:type="dxa"/>
          <w:left w:w="0" w:type="dxa"/>
          <w:bottom w:w="0" w:type="dxa"/>
          <w:right w:w="0" w:type="dxa"/>
        </w:tblCellMar>
      </w:tblPr>
      <w:tblGrid>
        <w:gridCol w:w="5101"/>
        <w:gridCol w:w="109"/>
        <w:gridCol w:w="211"/>
        <w:gridCol w:w="901"/>
      </w:tblGrid>
      <w:tr>
        <w:trPr/>
        <w:tc>
          <w:tcPr>
            <w:tcW w:w="51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239135" cy="175260"/>
                      <wp:effectExtent l="0" t="0" r="0" b="0"/>
                      <wp:wrapNone/>
                      <wp:docPr id="102" name="Frame102"/>
                      <a:graphic xmlns:a="http://schemas.openxmlformats.org/drawingml/2006/main">
                        <a:graphicData uri="http://schemas.microsoft.com/office/word/2010/wordprocessingShape">
                          <wps:wsp>
                            <wps:cNvSpPr txBox="1"/>
                            <wps:spPr>
                              <a:xfrm>
                                <a:off x="0" y="0"/>
                                <a:ext cx="3239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72135" cy="175260"/>
                      <wp:effectExtent l="0" t="0" r="0" b="0"/>
                      <wp:wrapNone/>
                      <wp:docPr id="105" name="Frame105"/>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101" w:type="dxa"/>
            <w:tcBorders/>
            <w:shd w:fill="auto" w:val="clear"/>
            <w:vAlign w:val="center"/>
          </w:tcPr>
          <w:p>
            <w:pPr>
              <w:pStyle w:val="TableContents"/>
              <w:spacing w:before="0" w:after="1"/>
              <w:ind w:left="0" w:right="0" w:hanging="0"/>
              <w:rPr>
                <w:rFonts w:ascii="Arial;Helvetica;sans-serif" w:hAnsi="Arial;Helvetica;sans-serif"/>
                <w:b/>
                <w:sz w:val="20"/>
              </w:rPr>
            </w:pPr>
            <w:r>
              <w:rPr>
                <w:rFonts w:ascii="Arial;Helvetica;sans-serif" w:hAnsi="Arial;Helvetica;sans-serif"/>
                <w:b/>
                <w:sz w:val="20"/>
              </w:rPr>
              <w:t>Years ending December 31, </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rPr/>
            </w:pPr>
            <w:r>
              <w:rPr/>
              <w:t>​</w:t>
            </w:r>
          </w:p>
        </w:tc>
      </w:tr>
      <w:tr>
        <w:trPr/>
        <w:tc>
          <w:tcPr>
            <w:tcW w:w="510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2023 (Excluding the three months ended March 31, 2023)</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1,500</w:t>
            </w:r>
          </w:p>
        </w:tc>
      </w:tr>
      <w:tr>
        <w:trPr/>
        <w:tc>
          <w:tcPr>
            <w:tcW w:w="510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2024</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pPr>
            <w:r>
              <w:rPr/>
              <w:t> </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20,000</w:t>
            </w:r>
          </w:p>
        </w:tc>
      </w:tr>
      <w:tr>
        <w:trPr/>
        <w:tc>
          <w:tcPr>
            <w:tcW w:w="510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2025</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 </w:t>
            </w:r>
          </w:p>
        </w:tc>
        <w:tc>
          <w:tcPr>
            <w:tcW w:w="90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20,000</w:t>
            </w:r>
          </w:p>
        </w:tc>
      </w:tr>
      <w:tr>
        <w:trPr/>
        <w:tc>
          <w:tcPr>
            <w:tcW w:w="510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2026</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pPr>
            <w:r>
              <w:rPr/>
              <w:t> </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155,500</w:t>
            </w:r>
          </w:p>
        </w:tc>
      </w:tr>
      <w:tr>
        <w:trPr/>
        <w:tc>
          <w:tcPr>
            <w:tcW w:w="510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2027</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 </w:t>
            </w:r>
          </w:p>
        </w:tc>
        <w:tc>
          <w:tcPr>
            <w:tcW w:w="901" w:type="dxa"/>
            <w:tcBorders/>
            <w:shd w:fill="CCEEFF" w:val="clear"/>
            <w:vAlign w:val="center"/>
          </w:tcPr>
          <w:p>
            <w:pPr>
              <w:pStyle w:val="TableContents"/>
              <w:spacing w:before="0" w:after="1"/>
              <w:ind w:left="0" w:right="0" w:hanging="0"/>
              <w:jc w:val="right"/>
              <w:rPr/>
            </w:pPr>
            <w:r>
              <w:rPr/>
              <w:t>—</w:t>
            </w:r>
          </w:p>
        </w:tc>
      </w:tr>
      <w:tr>
        <w:trPr/>
        <w:tc>
          <w:tcPr>
            <w:tcW w:w="510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Thereafter</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5101" w:type="dxa"/>
            <w:tcBorders/>
            <w:shd w:fill="CCEEFF" w:val="clear"/>
            <w:vAlign w:val="center"/>
          </w:tcPr>
          <w:p>
            <w:pPr>
              <w:pStyle w:val="TableContents"/>
              <w:spacing w:before="0" w:after="1"/>
              <w:ind w:left="0" w:right="0" w:hanging="0"/>
              <w:rPr>
                <w:rFonts w:ascii="Arial;Helvetica;sans-serif" w:hAnsi="Arial;Helvetica;sans-serif"/>
                <w:b/>
                <w:sz w:val="20"/>
              </w:rPr>
            </w:pPr>
            <w:r>
              <w:rPr>
                <w:rFonts w:ascii="Arial;Helvetica;sans-serif" w:hAnsi="Arial;Helvetica;sans-serif"/>
                <w:b/>
                <w:sz w:val="20"/>
              </w:rPr>
              <w:t>Total</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197,000</w:t>
            </w:r>
          </w:p>
        </w:tc>
      </w:tr>
    </w:tbl>
    <w:p>
      <w:pPr>
        <w:pStyle w:val="TextBody"/>
        <w:spacing w:before="0" w:after="240"/>
        <w:ind w:left="0" w:right="0" w:hanging="0"/>
        <w:jc w:val="both"/>
        <w:rPr>
          <w:highlight w:val="yellow"/>
        </w:rPr>
      </w:pPr>
      <w:r>
        <w:rPr>
          <w:highlight w:val="yellow"/>
        </w:rPr>
        <w:t>​</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sz w:val="20"/>
        </w:rPr>
        <w:t>Interest expense related to the Company’s long-term debt, net, is included in interest expense, net in the unaudited condensed consolidated statements of operations and comprehensive income and consists of the following:</w:t>
      </w:r>
    </w:p>
    <w:p>
      <w:pPr>
        <w:pStyle w:val="TextBody"/>
        <w:spacing w:before="0" w:after="240"/>
        <w:ind w:left="0" w:right="0" w:firstLine="720"/>
        <w:rPr/>
      </w:pPr>
      <w:r>
        <w:rPr/>
        <w:t>​</w:t>
      </w:r>
    </w:p>
    <w:tbl>
      <w:tblPr>
        <w:tblW w:w="5732" w:type="dxa"/>
        <w:jc w:val="left"/>
        <w:tblInd w:w="0" w:type="dxa"/>
        <w:tblCellMar>
          <w:top w:w="0" w:type="dxa"/>
          <w:left w:w="0" w:type="dxa"/>
          <w:bottom w:w="0" w:type="dxa"/>
          <w:right w:w="0" w:type="dxa"/>
        </w:tblCellMar>
      </w:tblPr>
      <w:tblGrid>
        <w:gridCol w:w="3586"/>
        <w:gridCol w:w="109"/>
        <w:gridCol w:w="211"/>
        <w:gridCol w:w="586"/>
        <w:gridCol w:w="326"/>
        <w:gridCol w:w="211"/>
        <w:gridCol w:w="703"/>
      </w:tblGrid>
      <w:tr>
        <w:trPr/>
        <w:tc>
          <w:tcPr>
            <w:tcW w:w="3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277110" cy="175260"/>
                      <wp:effectExtent l="0" t="0" r="0" b="0"/>
                      <wp:wrapNone/>
                      <wp:docPr id="106" name="Frame106"/>
                      <a:graphic xmlns:a="http://schemas.openxmlformats.org/drawingml/2006/main">
                        <a:graphicData uri="http://schemas.microsoft.com/office/word/2010/wordprocessingShape">
                          <wps:wsp>
                            <wps:cNvSpPr txBox="1"/>
                            <wps:spPr>
                              <a:xfrm>
                                <a:off x="0" y="0"/>
                                <a:ext cx="2277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107" name="Frame10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72110" cy="175260"/>
                      <wp:effectExtent l="0" t="0" r="0" b="0"/>
                      <wp:wrapNone/>
                      <wp:docPr id="109" name="Frame109"/>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46405" cy="175260"/>
                      <wp:effectExtent l="0" t="0" r="0" b="0"/>
                      <wp:wrapNone/>
                      <wp:docPr id="112" name="Frame112"/>
                      <a:graphic xmlns:a="http://schemas.openxmlformats.org/drawingml/2006/main">
                        <a:graphicData uri="http://schemas.microsoft.com/office/word/2010/wordprocessingShape">
                          <wps:wsp>
                            <wps:cNvSpPr txBox="1"/>
                            <wps:spPr>
                              <a:xfrm>
                                <a:off x="0" y="0"/>
                                <a:ext cx="4464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5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037" w:type="dxa"/>
            <w:gridSpan w:val="5"/>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35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037"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March 31,</w:t>
            </w:r>
          </w:p>
        </w:tc>
      </w:tr>
      <w:tr>
        <w:trPr/>
        <w:tc>
          <w:tcPr>
            <w:tcW w:w="35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7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shd w:fill="auto" w:val="clear"/>
            <w:vAlign w:val="center"/>
          </w:tcPr>
          <w:p>
            <w:pPr>
              <w:pStyle w:val="TableContents"/>
              <w:spacing w:before="0" w:after="1"/>
              <w:ind w:left="0" w:right="0" w:hanging="0"/>
              <w:rPr/>
            </w:pPr>
            <w:r>
              <w:rPr/>
              <w:t>    </w:t>
            </w:r>
          </w:p>
        </w:tc>
        <w:tc>
          <w:tcPr>
            <w:tcW w:w="91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58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Interest on principal balance</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5,315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3,824</w:t>
            </w:r>
          </w:p>
        </w:tc>
      </w:tr>
      <w:tr>
        <w:trPr/>
        <w:tc>
          <w:tcPr>
            <w:tcW w:w="358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Amortization of deferred financing costs</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416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0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412</w:t>
            </w:r>
          </w:p>
        </w:tc>
      </w:tr>
      <w:tr>
        <w:trPr/>
        <w:tc>
          <w:tcPr>
            <w:tcW w:w="358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term loan interest expense</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5,731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Arial;Helvetica;sans-serif" w:hAnsi="Arial;Helvetica;sans-serif"/>
                <w:sz w:val="20"/>
              </w:rPr>
            </w:pPr>
            <w:r>
              <w:rPr>
                <w:rFonts w:ascii="Arial;Helvetica;sans-serif" w:hAnsi="Arial;Helvetica;sans-serif"/>
                <w:sz w:val="20"/>
              </w:rPr>
              <w:t>4,236</w:t>
            </w:r>
          </w:p>
        </w:tc>
      </w:tr>
    </w:tbl>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11. LEASES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In June 2018, the Company entered into an operating lease for approximately fifteen thousand square feet of office space in Plymouth Meeting, PA, which expires in May 2024. The Company subsequently entered two separate operating leases for additional office space in Plymouth Meeting, PA, which include approximately thirteen thousand square feet and seven thousand square feet of additional office space, respectively, and expire in May 2024. The terms of the lease payments provide for rental payments on a monthly basis and on a graduated scale. The Company also leases a fleet of automobiles that are used by its sales representatives and are classified as operating leases.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Operating lease right-of-use assets and operating lease liabilities are recognized based on the present value of the future lease payments using our incremental borrowing rate. Leases with an initial term of 12 months or less are not recorded on the balance sheet. Our leases have remaining lease terms of less than 1 year to 3 years, some of which may include the option to extend or terminate the leases.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Company recorded operating lease costs of $378 and $385 for the three months ended March 31, 2023 and 2022, respectively. </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As of March 31, 2023, the weighted-average remaining lease term for operating leases was 1.5 years and the weighted-average discount rate for operating leases was 4.6%.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Arial;Helvetica;sans-serif" w:hAnsi="Arial;Helvetica;sans-serif"/>
          <w:sz w:val="20"/>
        </w:rPr>
      </w:pPr>
      <w:bookmarkStart w:id="686" w:name="Tc_qb41bTLdSUeSGZ8oXsGViQ_10_2"/>
      <w:bookmarkStart w:id="687" w:name="Tc_10JYU0OCU0i3sjTyZBpYzg_10_0"/>
      <w:bookmarkStart w:id="688" w:name="Tc_bTENxOXAlU2n4CTg1ZGLrQ_9_0"/>
      <w:bookmarkStart w:id="689" w:name="Tc_tdDzytbFk0CUxPQbcyXATg_8_0"/>
      <w:bookmarkStart w:id="690" w:name="Tc_Ki2Exvya20CpY5HuKJ45Rg_7_3"/>
      <w:bookmarkStart w:id="691" w:name="Tc__4Nrgd4MhUy3OALWr6j4AQ_7_0"/>
      <w:bookmarkStart w:id="692" w:name="Tc_ubeS-KCILkGdugJWnbSpLw_6_3"/>
      <w:bookmarkStart w:id="693" w:name="Tc_Obt8P9z65UChjdNALh5Y9g_6_0"/>
      <w:bookmarkStart w:id="694" w:name="Tc_jQV9mwNYykez5OCWTlxi2Q_5_0"/>
      <w:bookmarkStart w:id="695" w:name="Tc_omsR3K7xG0-2dE--0xiBfw_4_0"/>
      <w:bookmarkStart w:id="696" w:name="Tc_O6NA6lsXnUGZ6PMIPQ_b8Q_3_0"/>
      <w:bookmarkStart w:id="697" w:name="Tc_fXGF2W4GQky2L7rnwkDvFw_2_2"/>
      <w:bookmarkStart w:id="698" w:name="Tc_arEKR4yqZ0yA69GQbqrtMg_2_0"/>
      <w:bookmarkStart w:id="699" w:name="Tc_Yb_VlUWdHEOi7Z19YsYa9w_1_0"/>
      <w:bookmarkStart w:id="700" w:name="_0923b398_ef39_44c0_b092_5f136e7635fe"/>
      <w:bookmarkStart w:id="701" w:name="Tc_s3DwUJHeHkS8me0UE6q4UA_3_4"/>
      <w:bookmarkStart w:id="702" w:name="Tc__rlvm3K7REiLtoviMZ7Uaw_3_1"/>
      <w:bookmarkStart w:id="703" w:name="Tc_QdbfQV0LAkKYe2nvKRGsLQ_3_0"/>
      <w:bookmarkStart w:id="704" w:name="Tc_eB7M8aPI3USmAKB34ZuHAw_2_4"/>
      <w:bookmarkStart w:id="705" w:name="Tc_GKBtHZbusUCm74C3NlEs_g_2_1"/>
      <w:bookmarkStart w:id="706" w:name="Tc_cg9tsInU906psySF8COx2w_2_0"/>
      <w:bookmarkStart w:id="707" w:name="Tc_7eJ1A4F6_0O8ZAX_9XgmEg_1_5"/>
      <w:bookmarkStart w:id="708" w:name="Tc_U5VFL1OuPUCAajN_t_1eTA_1_2"/>
      <w:bookmarkStart w:id="709" w:name="_be58ade4_bf63_47d7_aa92_78381d71b395"/>
      <w:bookmarkStart w:id="710" w:name="Tc_6oIilkIwgUyz6lvCeOym4Q_7_5"/>
      <w:bookmarkStart w:id="711" w:name="Tc_-I2a4QOaV0u433B6rmPj-w_7_2"/>
      <w:bookmarkStart w:id="712" w:name="Tc_ieWSaMukb0mseuWJFrNvxg_7_0"/>
      <w:bookmarkStart w:id="713" w:name="Tc_wZt7GGLMjkeTddWHJOTMeg_6_0"/>
      <w:bookmarkStart w:id="714" w:name="Tc_CbXtv3pf_EC6lg6b2VCz_w_5_5"/>
      <w:bookmarkStart w:id="715" w:name="Tc_S0jxic0pN0aMuql4bwUvQw_5_2"/>
      <w:bookmarkStart w:id="716" w:name="Tc_ClO2Ekxew0yEGiM-8sbnIA_5_0"/>
      <w:bookmarkStart w:id="717" w:name="Tc_PS3tT0ok806JYE-Xpzodag_4_0"/>
      <w:bookmarkStart w:id="718" w:name="Tc_Ev1-pZWPBE6bT8DO0YDong_3_5"/>
      <w:bookmarkStart w:id="719" w:name="Tc_FnWbWFkwsEWDIkgjqg7rrQ_3_2"/>
      <w:bookmarkStart w:id="720" w:name="Tc_CHpkr9653EeMgFhewrVlnw_3_0"/>
      <w:bookmarkStart w:id="721" w:name="Tc_NAUg2BtJ_kK3q2VPD2ugHw_2_0"/>
      <w:bookmarkStart w:id="722" w:name="Tc_hZd2zlcl_kSMm72rWJHGNQ_1_6"/>
      <w:bookmarkStart w:id="723" w:name="Tc_xjabiuMelkG2Ac0cyC8Vrg_1_3"/>
      <w:bookmarkStart w:id="724" w:name="Tc_InUieYGL70SefVgLGKx90A_1_1"/>
      <w:bookmarkStart w:id="725" w:name="Tc_VbWUaXrESk6ssjXvB2eObg_1_0"/>
      <w:bookmarkStart w:id="726" w:name="_b0c803f4_24a4_4df5_8fef_85b17b37d541"/>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r>
        <w:rPr>
          <w:rFonts w:ascii="Arial;Helvetica;sans-serif" w:hAnsi="Arial;Helvetica;sans-serif"/>
          <w:sz w:val="20"/>
        </w:rPr>
        <w:t>Supplemental balance sheet information related to operating leases was as follows:</w:t>
      </w:r>
    </w:p>
    <w:tbl>
      <w:tblPr>
        <w:tblW w:w="9287" w:type="dxa"/>
        <w:jc w:val="left"/>
        <w:tblInd w:w="0" w:type="dxa"/>
        <w:tblCellMar>
          <w:top w:w="0" w:type="dxa"/>
          <w:left w:w="0" w:type="dxa"/>
          <w:bottom w:w="0" w:type="dxa"/>
          <w:right w:w="0" w:type="dxa"/>
        </w:tblCellMar>
      </w:tblPr>
      <w:tblGrid>
        <w:gridCol w:w="3511"/>
        <w:gridCol w:w="2266"/>
        <w:gridCol w:w="211"/>
        <w:gridCol w:w="1261"/>
        <w:gridCol w:w="206"/>
        <w:gridCol w:w="211"/>
        <w:gridCol w:w="1621"/>
      </w:tblGrid>
      <w:tr>
        <w:trPr/>
        <w:tc>
          <w:tcPr>
            <w:tcW w:w="3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229485" cy="175260"/>
                      <wp:effectExtent l="0" t="0" r="0" b="0"/>
                      <wp:wrapNone/>
                      <wp:docPr id="113" name="Frame113"/>
                      <a:graphic xmlns:a="http://schemas.openxmlformats.org/drawingml/2006/main">
                        <a:graphicData uri="http://schemas.microsoft.com/office/word/2010/wordprocessingShape">
                          <wps:wsp>
                            <wps:cNvSpPr txBox="1"/>
                            <wps:spPr>
                              <a:xfrm>
                                <a:off x="0" y="0"/>
                                <a:ext cx="2229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438910" cy="175260"/>
                      <wp:effectExtent l="0" t="0" r="0" b="0"/>
                      <wp:wrapNone/>
                      <wp:docPr id="114" name="Frame114"/>
                      <a:graphic xmlns:a="http://schemas.openxmlformats.org/drawingml/2006/main">
                        <a:graphicData uri="http://schemas.microsoft.com/office/word/2010/wordprocessingShape">
                          <wps:wsp>
                            <wps:cNvSpPr txBox="1"/>
                            <wps:spPr>
                              <a:xfrm>
                                <a:off x="0" y="0"/>
                                <a:ext cx="143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800735" cy="175260"/>
                      <wp:effectExtent l="0" t="0" r="0" b="0"/>
                      <wp:wrapNone/>
                      <wp:docPr id="116" name="Frame116"/>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0810" cy="175260"/>
                      <wp:effectExtent l="0" t="0" r="0" b="0"/>
                      <wp:wrapNone/>
                      <wp:docPr id="117" name="Frame117"/>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029335" cy="175260"/>
                      <wp:effectExtent l="0" t="0" r="0" b="0"/>
                      <wp:wrapNone/>
                      <wp:docPr id="119" name="Frame119"/>
                      <a:graphic xmlns:a="http://schemas.openxmlformats.org/drawingml/2006/main">
                        <a:graphicData uri="http://schemas.microsoft.com/office/word/2010/wordprocessingShape">
                          <wps:wsp>
                            <wps:cNvSpPr txBox="1"/>
                            <wps:spPr>
                              <a:xfrm>
                                <a:off x="0" y="0"/>
                                <a:ext cx="1029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51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Leases </w:t>
            </w:r>
          </w:p>
        </w:tc>
        <w:tc>
          <w:tcPr>
            <w:tcW w:w="226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Classification</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2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March 31, 2023</w:t>
            </w:r>
          </w:p>
        </w:tc>
        <w:tc>
          <w:tcPr>
            <w:tcW w:w="206" w:type="dxa"/>
            <w:tcBorders/>
            <w:shd w:fill="auto" w:val="clear"/>
            <w:vAlign w:val="center"/>
          </w:tcPr>
          <w:p>
            <w:pPr>
              <w:pStyle w:val="TableContents"/>
              <w:spacing w:before="0" w:after="1"/>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6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2022</w:t>
            </w:r>
          </w:p>
        </w:tc>
      </w:tr>
      <w:tr>
        <w:trPr/>
        <w:tc>
          <w:tcPr>
            <w:tcW w:w="3511" w:type="dxa"/>
            <w:tcBorders/>
            <w:shd w:fill="CCEEFF" w:val="clear"/>
            <w:vAlign w:val="center"/>
          </w:tcPr>
          <w:p>
            <w:pPr>
              <w:pStyle w:val="TableContents"/>
              <w:spacing w:before="0" w:after="1"/>
              <w:ind w:left="0" w:right="0" w:hanging="0"/>
              <w:rPr>
                <w:rFonts w:ascii="Arial;Helvetica;sans-serif" w:hAnsi="Arial;Helvetica;sans-serif"/>
                <w:b/>
                <w:sz w:val="20"/>
              </w:rPr>
            </w:pPr>
            <w:r>
              <w:rPr>
                <w:rFonts w:ascii="Arial;Helvetica;sans-serif" w:hAnsi="Arial;Helvetica;sans-serif"/>
                <w:b/>
                <w:sz w:val="20"/>
              </w:rPr>
              <w:t>Assets</w:t>
            </w:r>
          </w:p>
        </w:tc>
        <w:tc>
          <w:tcPr>
            <w:tcW w:w="2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261" w:type="dxa"/>
            <w:tcBorders/>
            <w:shd w:fill="CCEEFF" w:val="clear"/>
            <w:vAlign w:val="center"/>
          </w:tcPr>
          <w:p>
            <w:pPr>
              <w:pStyle w:val="TableContents"/>
              <w:spacing w:before="0" w:after="1"/>
              <w:ind w:left="0" w:right="0" w:hanging="0"/>
              <w:jc w:val="center"/>
              <w:rPr/>
            </w:pPr>
            <w:r>
              <w:rPr/>
              <w:t>​</w:t>
            </w:r>
          </w:p>
        </w:tc>
        <w:tc>
          <w:tcPr>
            <w:tcW w:w="20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621" w:type="dxa"/>
            <w:tcBorders/>
            <w:shd w:fill="CCEEFF" w:val="clear"/>
            <w:vAlign w:val="center"/>
          </w:tcPr>
          <w:p>
            <w:pPr>
              <w:pStyle w:val="TableContents"/>
              <w:spacing w:before="0" w:after="1"/>
              <w:ind w:left="0" w:right="0" w:hanging="0"/>
              <w:jc w:val="center"/>
              <w:rPr/>
            </w:pPr>
            <w:r>
              <w:rPr/>
              <w:t>​</w:t>
            </w:r>
          </w:p>
        </w:tc>
      </w:tr>
      <w:tr>
        <w:trPr/>
        <w:tc>
          <w:tcPr>
            <w:tcW w:w="35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Operating lease right-of-use assets</w:t>
            </w:r>
          </w:p>
        </w:tc>
        <w:tc>
          <w:tcPr>
            <w:tcW w:w="2266" w:type="dxa"/>
            <w:tcBorders/>
            <w:shd w:fill="auto" w:val="clear"/>
            <w:vAlign w:val="center"/>
          </w:tcPr>
          <w:p>
            <w:pPr>
              <w:pStyle w:val="TableContents"/>
              <w:spacing w:before="0" w:after="1"/>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noncurrent assets</w:t>
            </w:r>
          </w:p>
        </w:tc>
        <w:tc>
          <w:tcPr>
            <w:tcW w:w="21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26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2,384</w:t>
            </w:r>
          </w:p>
        </w:tc>
        <w:tc>
          <w:tcPr>
            <w:tcW w:w="20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62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2,312</w:t>
            </w:r>
          </w:p>
        </w:tc>
      </w:tr>
      <w:tr>
        <w:trPr/>
        <w:tc>
          <w:tcPr>
            <w:tcW w:w="3511" w:type="dxa"/>
            <w:tcBorders/>
            <w:shd w:fill="CCEEFF" w:val="clear"/>
            <w:vAlign w:val="center"/>
          </w:tcPr>
          <w:p>
            <w:pPr>
              <w:pStyle w:val="TableContents"/>
              <w:spacing w:before="0" w:after="1"/>
              <w:ind w:left="0" w:right="0" w:hanging="0"/>
              <w:rPr>
                <w:rFonts w:ascii="Arial;Helvetica;sans-serif" w:hAnsi="Arial;Helvetica;sans-serif"/>
                <w:b/>
                <w:sz w:val="20"/>
              </w:rPr>
            </w:pPr>
            <w:r>
              <w:rPr>
                <w:rFonts w:ascii="Arial;Helvetica;sans-serif" w:hAnsi="Arial;Helvetica;sans-serif"/>
                <w:b/>
                <w:sz w:val="20"/>
              </w:rPr>
              <w:t>Liabilities</w:t>
            </w:r>
          </w:p>
        </w:tc>
        <w:tc>
          <w:tcPr>
            <w:tcW w:w="2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w:t>
            </w:r>
          </w:p>
        </w:tc>
        <w:tc>
          <w:tcPr>
            <w:tcW w:w="1261"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w:t>
            </w:r>
          </w:p>
        </w:tc>
        <w:tc>
          <w:tcPr>
            <w:tcW w:w="1621" w:type="dxa"/>
            <w:tcBorders/>
            <w:shd w:fill="CCEEFF" w:val="clear"/>
            <w:vAlign w:val="center"/>
          </w:tcPr>
          <w:p>
            <w:pPr>
              <w:pStyle w:val="TableContents"/>
              <w:spacing w:before="0" w:after="1"/>
              <w:ind w:left="0" w:right="0" w:hanging="0"/>
              <w:rPr/>
            </w:pPr>
            <w:r>
              <w:rPr/>
              <w:t>​</w:t>
            </w:r>
          </w:p>
        </w:tc>
      </w:tr>
      <w:tr>
        <w:trPr/>
        <w:tc>
          <w:tcPr>
            <w:tcW w:w="35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Operating lease liability, current portion</w:t>
            </w:r>
          </w:p>
        </w:tc>
        <w:tc>
          <w:tcPr>
            <w:tcW w:w="2266" w:type="dxa"/>
            <w:tcBorders/>
            <w:shd w:fill="auto" w:val="clear"/>
            <w:vAlign w:val="center"/>
          </w:tcPr>
          <w:p>
            <w:pPr>
              <w:pStyle w:val="TableContents"/>
              <w:spacing w:before="0" w:after="1"/>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current liabilities</w:t>
            </w:r>
          </w:p>
        </w:tc>
        <w:tc>
          <w:tcPr>
            <w:tcW w:w="21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26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1,874</w:t>
            </w:r>
          </w:p>
        </w:tc>
        <w:tc>
          <w:tcPr>
            <w:tcW w:w="20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62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1,614</w:t>
            </w:r>
          </w:p>
        </w:tc>
      </w:tr>
      <w:tr>
        <w:trPr/>
        <w:tc>
          <w:tcPr>
            <w:tcW w:w="35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Operating lease liability, long-term</w:t>
            </w:r>
          </w:p>
        </w:tc>
        <w:tc>
          <w:tcPr>
            <w:tcW w:w="2266" w:type="dxa"/>
            <w:tcBorders/>
            <w:shd w:fill="CCEEFF" w:val="clear"/>
            <w:vAlign w:val="center"/>
          </w:tcPr>
          <w:p>
            <w:pPr>
              <w:pStyle w:val="TableContents"/>
              <w:spacing w:before="0" w:after="1"/>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long-term liabilities</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2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741</w:t>
            </w:r>
          </w:p>
        </w:tc>
        <w:tc>
          <w:tcPr>
            <w:tcW w:w="20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6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975</w:t>
            </w:r>
          </w:p>
        </w:tc>
      </w:tr>
      <w:tr>
        <w:trPr/>
        <w:tc>
          <w:tcPr>
            <w:tcW w:w="35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operating lease liabilities</w:t>
            </w:r>
          </w:p>
        </w:tc>
        <w:tc>
          <w:tcPr>
            <w:tcW w:w="226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26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2,615</w:t>
            </w:r>
          </w:p>
        </w:tc>
        <w:tc>
          <w:tcPr>
            <w:tcW w:w="20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621" w:type="dxa"/>
            <w:tcBorders>
              <w:bottom w:val="double" w:sz="6" w:space="0" w:color="000000"/>
            </w:tcBorders>
            <w:shd w:fill="auto" w:val="clear"/>
            <w:tcMar>
              <w:bottom w:w="28" w:type="dxa"/>
            </w:tcMar>
            <w:vAlign w:val="center"/>
          </w:tcPr>
          <w:p>
            <w:pPr>
              <w:pStyle w:val="TableContents"/>
              <w:spacing w:before="0" w:after="1"/>
              <w:ind w:left="0" w:right="72" w:hanging="0"/>
              <w:jc w:val="right"/>
              <w:rPr>
                <w:rFonts w:ascii="Arial;Helvetica;sans-serif" w:hAnsi="Arial;Helvetica;sans-serif"/>
                <w:sz w:val="20"/>
              </w:rPr>
            </w:pPr>
            <w:r>
              <w:rPr>
                <w:rFonts w:ascii="Arial;Helvetica;sans-serif" w:hAnsi="Arial;Helvetica;sans-serif"/>
                <w:sz w:val="20"/>
              </w:rPr>
              <w:t>2,589</w:t>
            </w:r>
          </w:p>
        </w:tc>
      </w:tr>
    </w:tbl>
    <w:p>
      <w:pPr>
        <w:pStyle w:val="TextBody"/>
        <w:spacing w:before="0" w:after="240"/>
        <w:ind w:left="0" w:right="0" w:hanging="0"/>
        <w:rPr/>
      </w:pPr>
      <w:r>
        <w:rPr/>
        <w:t>​</w:t>
      </w:r>
    </w:p>
    <w:p>
      <w:pPr>
        <w:pStyle w:val="TextBody"/>
        <w:spacing w:before="0" w:after="240"/>
        <w:ind w:left="0" w:right="0" w:firstLine="720"/>
        <w:rPr>
          <w:rFonts w:ascii="Arial;Helvetica;sans-serif" w:hAnsi="Arial;Helvetica;sans-serif"/>
          <w:sz w:val="20"/>
        </w:rPr>
      </w:pPr>
      <w:r>
        <w:rPr>
          <w:rFonts w:ascii="Arial;Helvetica;sans-serif" w:hAnsi="Arial;Helvetica;sans-serif"/>
          <w:sz w:val="20"/>
        </w:rPr>
        <w:t>Supplemental cash flow information related to operating leases was as follows:</w:t>
      </w:r>
    </w:p>
    <w:tbl>
      <w:tblPr>
        <w:tblW w:w="9474" w:type="dxa"/>
        <w:jc w:val="left"/>
        <w:tblInd w:w="0" w:type="dxa"/>
        <w:tblCellMar>
          <w:top w:w="0" w:type="dxa"/>
          <w:left w:w="0" w:type="dxa"/>
          <w:bottom w:w="0" w:type="dxa"/>
          <w:right w:w="0" w:type="dxa"/>
        </w:tblCellMar>
      </w:tblPr>
      <w:tblGrid>
        <w:gridCol w:w="6376"/>
        <w:gridCol w:w="211"/>
        <w:gridCol w:w="1261"/>
        <w:gridCol w:w="109"/>
        <w:gridCol w:w="211"/>
        <w:gridCol w:w="1306"/>
      </w:tblGrid>
      <w:tr>
        <w:trPr/>
        <w:tc>
          <w:tcPr>
            <w:tcW w:w="63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048760" cy="175260"/>
                      <wp:effectExtent l="0" t="0" r="0" b="0"/>
                      <wp:wrapNone/>
                      <wp:docPr id="120" name="Frame120"/>
                      <a:graphic xmlns:a="http://schemas.openxmlformats.org/drawingml/2006/main">
                        <a:graphicData uri="http://schemas.microsoft.com/office/word/2010/wordprocessingShape">
                          <wps:wsp>
                            <wps:cNvSpPr txBox="1"/>
                            <wps:spPr>
                              <a:xfrm>
                                <a:off x="0" y="0"/>
                                <a:ext cx="4048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800735" cy="175260"/>
                      <wp:effectExtent l="0" t="0" r="0" b="0"/>
                      <wp:wrapNone/>
                      <wp:docPr id="122" name="Frame122"/>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23" name="Frame12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829310" cy="175260"/>
                      <wp:effectExtent l="0" t="0" r="0" b="0"/>
                      <wp:wrapNone/>
                      <wp:docPr id="125" name="Frame125"/>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37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2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March 31, 2023</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3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March 31, 2022</w:t>
            </w:r>
          </w:p>
        </w:tc>
      </w:tr>
      <w:tr>
        <w:trPr/>
        <w:tc>
          <w:tcPr>
            <w:tcW w:w="637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Operating cash flows from operating leases</w:t>
            </w:r>
          </w:p>
        </w:tc>
        <w:tc>
          <w:tcPr>
            <w:tcW w:w="2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26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428</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30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434</w:t>
            </w:r>
          </w:p>
        </w:tc>
      </w:tr>
      <w:tr>
        <w:trPr/>
        <w:tc>
          <w:tcPr>
            <w:tcW w:w="637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Right of use assets obtained in exchange for operating lease obligations</w:t>
            </w:r>
          </w:p>
        </w:tc>
        <w:tc>
          <w:tcPr>
            <w:tcW w:w="21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26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526</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306" w:type="dxa"/>
            <w:tcBorders/>
            <w:shd w:fill="auto" w:val="cle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234</w:t>
            </w:r>
          </w:p>
        </w:tc>
      </w:tr>
    </w:tbl>
    <w:p>
      <w:pPr>
        <w:pStyle w:val="TextBody"/>
        <w:spacing w:before="0" w:after="240"/>
        <w:ind w:left="0" w:right="0" w:firstLine="720"/>
        <w:jc w:val="both"/>
        <w:rPr/>
      </w:pPr>
      <w:r>
        <w:rPr/>
        <w:t>​</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Future payments under noncancelable operating leases with initial terms of one year or more as of March 31, 2023 consisted of the following:</w:t>
      </w:r>
    </w:p>
    <w:tbl>
      <w:tblPr>
        <w:tblW w:w="6329" w:type="dxa"/>
        <w:jc w:val="left"/>
        <w:tblInd w:w="0" w:type="dxa"/>
        <w:tblCellMar>
          <w:top w:w="0" w:type="dxa"/>
          <w:left w:w="0" w:type="dxa"/>
          <w:bottom w:w="0" w:type="dxa"/>
          <w:right w:w="0" w:type="dxa"/>
        </w:tblCellMar>
      </w:tblPr>
      <w:tblGrid>
        <w:gridCol w:w="5101"/>
        <w:gridCol w:w="326"/>
        <w:gridCol w:w="211"/>
        <w:gridCol w:w="691"/>
      </w:tblGrid>
      <w:tr>
        <w:trPr/>
        <w:tc>
          <w:tcPr>
            <w:tcW w:w="51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239135" cy="175260"/>
                      <wp:effectExtent l="0" t="0" r="0" b="0"/>
                      <wp:wrapNone/>
                      <wp:docPr id="126" name="Frame126"/>
                      <a:graphic xmlns:a="http://schemas.openxmlformats.org/drawingml/2006/main">
                        <a:graphicData uri="http://schemas.microsoft.com/office/word/2010/wordprocessingShape">
                          <wps:wsp>
                            <wps:cNvSpPr txBox="1"/>
                            <wps:spPr>
                              <a:xfrm>
                                <a:off x="0" y="0"/>
                                <a:ext cx="3239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38785" cy="175260"/>
                      <wp:effectExtent l="0" t="0" r="0" b="0"/>
                      <wp:wrapNone/>
                      <wp:docPr id="129" name="Frame12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101" w:type="dxa"/>
            <w:tcBorders/>
            <w:shd w:fill="auto" w:val="clear"/>
            <w:vAlign w:val="center"/>
          </w:tcPr>
          <w:p>
            <w:pPr>
              <w:pStyle w:val="TableContents"/>
              <w:spacing w:before="0" w:after="1"/>
              <w:ind w:left="0" w:right="0" w:hanging="0"/>
              <w:rPr>
                <w:rFonts w:ascii="Arial;Helvetica;sans-serif" w:hAnsi="Arial;Helvetica;sans-serif"/>
                <w:b/>
                <w:sz w:val="20"/>
              </w:rPr>
            </w:pPr>
            <w:r>
              <w:rPr>
                <w:rFonts w:ascii="Arial;Helvetica;sans-serif" w:hAnsi="Arial;Helvetica;sans-serif"/>
                <w:b/>
                <w:sz w:val="20"/>
              </w:rPr>
              <w:t>Years ending December 31, </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r>
      <w:tr>
        <w:trPr/>
        <w:tc>
          <w:tcPr>
            <w:tcW w:w="510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2023 (Excluding the three months ended March 31, 2023)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1,462</w:t>
            </w:r>
          </w:p>
        </w:tc>
      </w:tr>
      <w:tr>
        <w:trPr/>
        <w:tc>
          <w:tcPr>
            <w:tcW w:w="510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2024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1,102</w:t>
            </w:r>
          </w:p>
        </w:tc>
      </w:tr>
      <w:tr>
        <w:trPr/>
        <w:tc>
          <w:tcPr>
            <w:tcW w:w="510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2025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143</w:t>
            </w:r>
          </w:p>
        </w:tc>
      </w:tr>
      <w:tr>
        <w:trPr/>
        <w:tc>
          <w:tcPr>
            <w:tcW w:w="510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2026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w:t>
            </w:r>
          </w:p>
        </w:tc>
      </w:tr>
      <w:tr>
        <w:trPr/>
        <w:tc>
          <w:tcPr>
            <w:tcW w:w="510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2027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r>
      <w:tr>
        <w:trPr/>
        <w:tc>
          <w:tcPr>
            <w:tcW w:w="510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Thereafter</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510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lease payments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2,717</w:t>
            </w:r>
          </w:p>
        </w:tc>
      </w:tr>
      <w:tr>
        <w:trPr/>
        <w:tc>
          <w:tcPr>
            <w:tcW w:w="510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Less: imputed interest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(102)</w:t>
            </w:r>
          </w:p>
        </w:tc>
      </w:tr>
      <w:tr>
        <w:trPr/>
        <w:tc>
          <w:tcPr>
            <w:tcW w:w="5101" w:type="dxa"/>
            <w:tcBorders/>
            <w:shd w:fill="CCEEFF" w:val="clear"/>
            <w:vAlign w:val="center"/>
          </w:tcPr>
          <w:p>
            <w:pPr>
              <w:pStyle w:val="TableContents"/>
              <w:spacing w:before="0" w:after="1"/>
              <w:ind w:left="0" w:right="0" w:hanging="0"/>
              <w:rPr>
                <w:rFonts w:ascii="Arial;Helvetica;sans-serif" w:hAnsi="Arial;Helvetica;sans-serif"/>
                <w:b/>
                <w:sz w:val="20"/>
              </w:rPr>
            </w:pPr>
            <w:r>
              <w:rPr>
                <w:rFonts w:ascii="Arial;Helvetica;sans-serif" w:hAnsi="Arial;Helvetica;sans-serif"/>
                <w:b/>
                <w:sz w:val="20"/>
              </w:rPr>
              <w:t>Total lease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2,615</w:t>
            </w:r>
          </w:p>
        </w:tc>
      </w:tr>
    </w:tbl>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12. COMMITMENTS AND CONTINGENCIES</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Litigation</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From time to time, the Company is subject to claims and suits arising in the ordinary course of business. The Company accrues such liabilities when they are known, if they are deemed probable and can be reasonably estimated. As of March 31, 2023, there were no material claims or suits outstanding. </w:t>
      </w:r>
    </w:p>
    <w:p>
      <w:pPr>
        <w:pStyle w:val="TextBody"/>
        <w:spacing w:before="0" w:after="240"/>
        <w:ind w:left="0" w:right="0" w:firstLine="72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13. STOCKHOLDERS’ EQUITY</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Common Stock</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The holders of common stock are entitled to one vote for each share held on all matters submitted to a vote of the Company’s stockholders. The holders of common stock do not have any cumulative voting rights. Holders of common stock are entitled to receive ratably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sz w:val="20"/>
        </w:rPr>
      </w:pPr>
      <w:bookmarkStart w:id="727" w:name="Tc_hvEt7Wb8zk-cbt8ing6RMw_10_4"/>
      <w:bookmarkStart w:id="728" w:name="Tc_eE2vYLTloUCu1tSb9bWNRg_10_0"/>
      <w:bookmarkStart w:id="729" w:name="Tc_odhcDkDAEkyvezmUMJLSSQ_9_4"/>
      <w:bookmarkStart w:id="730" w:name="Tc_hR1LuOKedk2Qu56zhTRrHQ_9_0"/>
      <w:bookmarkStart w:id="731" w:name="Tc_Q-YKl3iGkUedFEFTWbnUlw_8_4"/>
      <w:bookmarkStart w:id="732" w:name="Tc_mBctldmxxE2sh_W80ZSgJw_8_0"/>
      <w:bookmarkStart w:id="733" w:name="Tc_RQqCf6IUTEmZeGzp8-HoJA_7_4"/>
      <w:bookmarkStart w:id="734" w:name="Tc_4xTjhV5fEUydNgyQasXWFw_7_0"/>
      <w:bookmarkStart w:id="735" w:name="Tc_dr5Q5AN6JEqpXJQjbOGTtg_6_4"/>
      <w:bookmarkStart w:id="736" w:name="Tc__lzxwZRmpk2HJHwAmQ0nBw_6_0"/>
      <w:bookmarkStart w:id="737" w:name="Tc_TjOv7Bpl6kqV_sOxAY1HzA_5_7"/>
      <w:bookmarkStart w:id="738" w:name="Tc_tLxN17VeNkuaHp8STSrRhQ_5_4"/>
      <w:bookmarkStart w:id="739" w:name="Tc_ulB16FBYTE-fCJPj0byr0Q_5_2"/>
      <w:bookmarkStart w:id="740" w:name="Tc_wTDdDOdnZUWew7eVdoD6oQ_4_7"/>
      <w:bookmarkStart w:id="741" w:name="Tc_9Bk08CHiFE-Bp1qMQd-9Wg_4_4"/>
      <w:bookmarkStart w:id="742" w:name="Tc_ia5AEy7vKEi1W_xu9nrpig_4_2"/>
      <w:bookmarkStart w:id="743" w:name="Tc_N4YjrWBf2Uu5PHAJTHZLGA_3_7"/>
      <w:bookmarkStart w:id="744" w:name="Tc_KAeZQ05lHkiiMDqcsUy0BA_3_4"/>
      <w:bookmarkStart w:id="745" w:name="Tc_Q7hl2EhQtkuykGt03G-6sQ_2_7"/>
      <w:bookmarkStart w:id="746" w:name="Tc_A7NpL1i4Q0eV52UsMTQ3BQ_2_4"/>
      <w:bookmarkStart w:id="747" w:name="Tc_hDg82MvSw0W9qO8QE2VFUg_1_7"/>
      <w:bookmarkStart w:id="748" w:name="_75729e6a_1994_49a0_9d1a_599c895900e8"/>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r>
        <w:rPr>
          <w:rFonts w:ascii="Arial;Helvetica;sans-serif" w:hAnsi="Arial;Helvetica;sans-serif"/>
          <w:b/>
          <w:sz w:val="20"/>
        </w:rPr>
        <w:t>14. STOCK INCENTIVE PLAN AND STOCK-BASED COMPENSATION</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2020 Stock Incentive Plan</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In connection with the Company’s IPO, the board of directors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 options, including incentive stock options (“ISOs”) and non-qualified stock options (“NSOs”), SARs, restricted stock, dividend equivalents, restricted stock units (“RSUs”) and other stock or cash-based awards.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Stock options and stock appreciation rights under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 As of March 31, 2023, there were 4,647,087 shares of common stock available for issuance under the 2020 Plan. The number of shares that may be issued under the 2020 Plan will automatically increase on January 1 of each year in an amount equal to the lesser of (i) 4.0% of the shares of the Company’s common stock outstanding on December 31 of the preceding year or (ii) an amount determined by the Company’s board of directors.</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2017 Stock Incentive Plan</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In August 2017, the Company adopted an equity incentive plan (the “2017 Plan”). Under the 2017 Plan, directors, officers, employees, consultants, and advisors of the Company can be paid incentive compensation measured by the value of the Company’s shares of common stock through grants of stock options, stock appreciation rights (“SARs”), or restricted stock. Following the adoption of the 2020 Plan, no further grants have been, or will be, made under the 2017 Plan. However, the 2017 Plan will continue to govern the terms and conditions of outstanding awards granted under it.</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Stock Options</w:t>
      </w:r>
    </w:p>
    <w:p>
      <w:pPr>
        <w:pStyle w:val="TextBody"/>
        <w:spacing w:before="0" w:after="0"/>
        <w:ind w:left="0" w:right="0" w:firstLine="720"/>
        <w:rPr>
          <w:rFonts w:ascii="Arial;Helvetica;sans-serif" w:hAnsi="Arial;Helvetica;sans-serif"/>
          <w:sz w:val="20"/>
        </w:rPr>
      </w:pPr>
      <w:r>
        <w:rPr>
          <w:rFonts w:ascii="Arial;Helvetica;sans-serif" w:hAnsi="Arial;Helvetica;sans-serif"/>
          <w:sz w:val="20"/>
        </w:rPr>
        <w:t>The following table summarizes stock option activity for the three months ended March 31, 2023:</w:t>
      </w:r>
    </w:p>
    <w:p>
      <w:pPr>
        <w:pStyle w:val="TextBody"/>
        <w:spacing w:before="0" w:after="240"/>
        <w:ind w:left="0" w:right="0" w:firstLine="720"/>
        <w:rPr/>
      </w:pPr>
      <w:r>
        <w:rPr/>
        <w:t>​</w:t>
      </w:r>
    </w:p>
    <w:tbl>
      <w:tblPr>
        <w:tblW w:w="7656" w:type="dxa"/>
        <w:jc w:val="left"/>
        <w:tblInd w:w="0" w:type="dxa"/>
        <w:tblCellMar>
          <w:top w:w="0" w:type="dxa"/>
          <w:left w:w="0" w:type="dxa"/>
          <w:bottom w:w="0" w:type="dxa"/>
          <w:right w:w="0" w:type="dxa"/>
        </w:tblCellMar>
      </w:tblPr>
      <w:tblGrid>
        <w:gridCol w:w="3721"/>
        <w:gridCol w:w="326"/>
        <w:gridCol w:w="961"/>
        <w:gridCol w:w="326"/>
        <w:gridCol w:w="241"/>
        <w:gridCol w:w="674"/>
        <w:gridCol w:w="326"/>
        <w:gridCol w:w="1081"/>
      </w:tblGrid>
      <w:tr>
        <w:trPr/>
        <w:tc>
          <w:tcPr>
            <w:tcW w:w="3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362835" cy="175260"/>
                      <wp:effectExtent l="0" t="0" r="0" b="0"/>
                      <wp:wrapNone/>
                      <wp:docPr id="130" name="Frame130"/>
                      <a:graphic xmlns:a="http://schemas.openxmlformats.org/drawingml/2006/main">
                        <a:graphicData uri="http://schemas.microsoft.com/office/word/2010/wordprocessingShape">
                          <wps:wsp>
                            <wps:cNvSpPr txBox="1"/>
                            <wps:spPr>
                              <a:xfrm>
                                <a:off x="0" y="0"/>
                                <a:ext cx="2362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10235" cy="175260"/>
                      <wp:effectExtent l="0" t="0" r="0" b="0"/>
                      <wp:wrapNone/>
                      <wp:docPr id="132" name="Frame132"/>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53035" cy="175260"/>
                      <wp:effectExtent l="0" t="0" r="0" b="0"/>
                      <wp:wrapNone/>
                      <wp:docPr id="134" name="Frame134"/>
                      <a:graphic xmlns:a="http://schemas.openxmlformats.org/drawingml/2006/main">
                        <a:graphicData uri="http://schemas.microsoft.com/office/word/2010/wordprocessingShape">
                          <wps:wsp>
                            <wps:cNvSpPr txBox="1"/>
                            <wps:spPr>
                              <a:xfrm>
                                <a:off x="0" y="0"/>
                                <a:ext cx="153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27990" cy="175260"/>
                      <wp:effectExtent l="0" t="0" r="0" b="0"/>
                      <wp:wrapNone/>
                      <wp:docPr id="135" name="Frame135"/>
                      <a:graphic xmlns:a="http://schemas.openxmlformats.org/drawingml/2006/main">
                        <a:graphicData uri="http://schemas.microsoft.com/office/word/2010/wordprocessingShape">
                          <wps:wsp>
                            <wps:cNvSpPr txBox="1"/>
                            <wps:spPr>
                              <a:xfrm>
                                <a:off x="0" y="0"/>
                                <a:ext cx="4279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86435" cy="175260"/>
                      <wp:effectExtent l="0" t="0" r="0" b="0"/>
                      <wp:wrapNone/>
                      <wp:docPr id="137" name="Frame137"/>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41" w:type="dxa"/>
            <w:tcBorders/>
            <w:shd w:fill="auto" w:val="clear"/>
            <w:vAlign w:val="center"/>
          </w:tcPr>
          <w:p>
            <w:pPr>
              <w:pStyle w:val="TableContents"/>
              <w:spacing w:before="0" w:after="1"/>
              <w:ind w:left="0" w:right="0" w:hanging="0"/>
              <w:rPr/>
            </w:pPr>
            <w:r>
              <w:rPr/>
              <w:t>​</w:t>
            </w:r>
          </w:p>
        </w:tc>
        <w:tc>
          <w:tcPr>
            <w:tcW w:w="67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8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r>
      <w:tr>
        <w:trPr/>
        <w:tc>
          <w:tcPr>
            <w:tcW w:w="3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15"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shd w:fill="auto" w:val="clear"/>
            <w:vAlign w:val="center"/>
          </w:tcPr>
          <w:p>
            <w:pPr>
              <w:pStyle w:val="TableContents"/>
              <w:spacing w:before="0" w:after="1"/>
              <w:ind w:left="0" w:right="0" w:hanging="0"/>
              <w:jc w:val="center"/>
              <w:rPr/>
            </w:pPr>
            <w:r>
              <w:rPr/>
              <w:t>​</w:t>
            </w:r>
          </w:p>
        </w:tc>
        <w:tc>
          <w:tcPr>
            <w:tcW w:w="108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3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15"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shd w:fill="auto" w:val="clear"/>
            <w:vAlign w:val="center"/>
          </w:tcPr>
          <w:p>
            <w:pPr>
              <w:pStyle w:val="TableContents"/>
              <w:spacing w:before="0" w:after="1"/>
              <w:ind w:left="0" w:right="0" w:hanging="0"/>
              <w:jc w:val="center"/>
              <w:rPr/>
            </w:pPr>
            <w:r>
              <w:rPr/>
              <w:t>​</w:t>
            </w:r>
          </w:p>
        </w:tc>
        <w:tc>
          <w:tcPr>
            <w:tcW w:w="108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Remaining</w:t>
            </w:r>
          </w:p>
        </w:tc>
      </w:tr>
      <w:tr>
        <w:trPr/>
        <w:tc>
          <w:tcPr>
            <w:tcW w:w="3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26" w:type="dxa"/>
            <w:tcBorders/>
            <w:shd w:fill="auto" w:val="clear"/>
            <w:vAlign w:val="center"/>
          </w:tcPr>
          <w:p>
            <w:pPr>
              <w:pStyle w:val="TableContents"/>
              <w:spacing w:before="0" w:after="1"/>
              <w:ind w:left="0" w:right="0" w:hanging="0"/>
              <w:jc w:val="center"/>
              <w:rPr/>
            </w:pPr>
            <w:r>
              <w:rPr/>
              <w:t>​</w:t>
            </w:r>
          </w:p>
        </w:tc>
        <w:tc>
          <w:tcPr>
            <w:tcW w:w="915"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Exercise</w:t>
            </w:r>
          </w:p>
        </w:tc>
        <w:tc>
          <w:tcPr>
            <w:tcW w:w="326" w:type="dxa"/>
            <w:tcBorders/>
            <w:shd w:fill="auto" w:val="clear"/>
            <w:vAlign w:val="center"/>
          </w:tcPr>
          <w:p>
            <w:pPr>
              <w:pStyle w:val="TableContents"/>
              <w:spacing w:before="0" w:after="1"/>
              <w:ind w:left="0" w:right="0" w:hanging="0"/>
              <w:jc w:val="center"/>
              <w:rPr/>
            </w:pPr>
            <w:r>
              <w:rPr/>
              <w:t>​</w:t>
            </w:r>
          </w:p>
        </w:tc>
        <w:tc>
          <w:tcPr>
            <w:tcW w:w="108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Contractual</w:t>
            </w:r>
          </w:p>
        </w:tc>
      </w:tr>
      <w:tr>
        <w:trPr/>
        <w:tc>
          <w:tcPr>
            <w:tcW w:w="3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Awards</w:t>
            </w:r>
          </w:p>
        </w:tc>
        <w:tc>
          <w:tcPr>
            <w:tcW w:w="326" w:type="dxa"/>
            <w:tcBorders/>
            <w:shd w:fill="auto" w:val="clear"/>
            <w:vAlign w:val="center"/>
          </w:tcPr>
          <w:p>
            <w:pPr>
              <w:pStyle w:val="TableContents"/>
              <w:spacing w:before="0" w:after="1"/>
              <w:ind w:left="0" w:right="0" w:hanging="0"/>
              <w:jc w:val="center"/>
              <w:rPr/>
            </w:pPr>
            <w:r>
              <w:rPr/>
              <w:t>    </w:t>
            </w:r>
          </w:p>
        </w:tc>
        <w:tc>
          <w:tcPr>
            <w:tcW w:w="91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Price</w:t>
            </w:r>
          </w:p>
        </w:tc>
        <w:tc>
          <w:tcPr>
            <w:tcW w:w="326" w:type="dxa"/>
            <w:tcBorders/>
            <w:shd w:fill="auto" w:val="clear"/>
            <w:vAlign w:val="center"/>
          </w:tcPr>
          <w:p>
            <w:pPr>
              <w:pStyle w:val="TableContents"/>
              <w:spacing w:before="0" w:after="1"/>
              <w:ind w:left="0" w:right="0" w:hanging="0"/>
              <w:jc w:val="center"/>
              <w:rPr/>
            </w:pPr>
            <w:r>
              <w:rPr/>
              <w:t>    </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Term</w:t>
            </w:r>
          </w:p>
        </w:tc>
      </w:tr>
      <w:tr>
        <w:trPr/>
        <w:tc>
          <w:tcPr>
            <w:tcW w:w="372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Awards outstanding—December 31, 2022</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6,460,947</w:t>
            </w:r>
          </w:p>
        </w:tc>
        <w:tc>
          <w:tcPr>
            <w:tcW w:w="326" w:type="dxa"/>
            <w:tcBorders/>
            <w:shd w:fill="CCEEFF" w:val="clear"/>
            <w:vAlign w:val="center"/>
          </w:tcPr>
          <w:p>
            <w:pPr>
              <w:pStyle w:val="TableContents"/>
              <w:spacing w:before="0" w:after="1"/>
              <w:ind w:left="0" w:right="0" w:hanging="0"/>
              <w:rPr/>
            </w:pPr>
            <w:r>
              <w:rPr/>
              <w:t>​</w:t>
            </w:r>
          </w:p>
        </w:tc>
        <w:tc>
          <w:tcPr>
            <w:tcW w:w="2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74"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30.90</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7.86</w:t>
            </w:r>
          </w:p>
        </w:tc>
      </w:tr>
      <w:tr>
        <w:trPr/>
        <w:tc>
          <w:tcPr>
            <w:tcW w:w="372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Awards issued</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99,797</w:t>
            </w:r>
          </w:p>
        </w:tc>
        <w:tc>
          <w:tcPr>
            <w:tcW w:w="326" w:type="dxa"/>
            <w:tcBorders/>
            <w:shd w:fill="auto" w:val="clear"/>
            <w:vAlign w:val="center"/>
          </w:tcPr>
          <w:p>
            <w:pPr>
              <w:pStyle w:val="TableContents"/>
              <w:spacing w:before="0" w:after="1"/>
              <w:ind w:left="0" w:right="0" w:hanging="0"/>
              <w:rPr/>
            </w:pPr>
            <w:r>
              <w:rPr/>
              <w:t>​</w:t>
            </w:r>
          </w:p>
        </w:tc>
        <w:tc>
          <w:tcPr>
            <w:tcW w:w="24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74"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41.52</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pPr>
            <w:r>
              <w:rPr/>
              <w:t>  </w:t>
            </w:r>
          </w:p>
        </w:tc>
      </w:tr>
      <w:tr>
        <w:trPr/>
        <w:tc>
          <w:tcPr>
            <w:tcW w:w="372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Awards exercised</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(324,301)</w:t>
            </w:r>
          </w:p>
        </w:tc>
        <w:tc>
          <w:tcPr>
            <w:tcW w:w="326" w:type="dxa"/>
            <w:tcBorders/>
            <w:shd w:fill="CCEEFF" w:val="clear"/>
            <w:vAlign w:val="center"/>
          </w:tcPr>
          <w:p>
            <w:pPr>
              <w:pStyle w:val="TableContents"/>
              <w:spacing w:before="0" w:after="1"/>
              <w:ind w:left="0" w:right="0" w:hanging="0"/>
              <w:rPr/>
            </w:pPr>
            <w:r>
              <w:rPr/>
              <w:t>​</w:t>
            </w:r>
          </w:p>
        </w:tc>
        <w:tc>
          <w:tcPr>
            <w:tcW w:w="2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74"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12.06</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pPr>
            <w:r>
              <w:rPr/>
              <w:t>  </w:t>
            </w:r>
          </w:p>
        </w:tc>
      </w:tr>
      <w:tr>
        <w:trPr/>
        <w:tc>
          <w:tcPr>
            <w:tcW w:w="372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Awards forfeited</w:t>
            </w:r>
          </w:p>
        </w:tc>
        <w:tc>
          <w:tcPr>
            <w:tcW w:w="326" w:type="dxa"/>
            <w:tcBorders/>
            <w:shd w:fill="auto" w:val="clear"/>
            <w:vAlign w:val="center"/>
          </w:tcPr>
          <w:p>
            <w:pPr>
              <w:pStyle w:val="TableContents"/>
              <w:spacing w:before="0" w:after="1"/>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(158,798)</w:t>
            </w:r>
          </w:p>
        </w:tc>
        <w:tc>
          <w:tcPr>
            <w:tcW w:w="326" w:type="dxa"/>
            <w:tcBorders/>
            <w:shd w:fill="auto" w:val="clear"/>
            <w:vAlign w:val="center"/>
          </w:tcPr>
          <w:p>
            <w:pPr>
              <w:pStyle w:val="TableContents"/>
              <w:spacing w:before="0" w:after="1"/>
              <w:ind w:left="0" w:right="0" w:hanging="0"/>
              <w:rPr/>
            </w:pPr>
            <w:r>
              <w:rPr/>
              <w:t>​</w:t>
            </w:r>
          </w:p>
        </w:tc>
        <w:tc>
          <w:tcPr>
            <w:tcW w:w="24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74"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21.61</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pPr>
            <w:r>
              <w:rPr/>
              <w:t>  </w:t>
            </w:r>
          </w:p>
        </w:tc>
      </w:tr>
      <w:tr>
        <w:trPr/>
        <w:tc>
          <w:tcPr>
            <w:tcW w:w="372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Awards outstanding—March 31, 2023</w:t>
            </w:r>
          </w:p>
        </w:tc>
        <w:tc>
          <w:tcPr>
            <w:tcW w:w="326" w:type="dxa"/>
            <w:tcBorders/>
            <w:shd w:fill="CCEEFF" w:val="clear"/>
            <w:vAlign w:val="center"/>
          </w:tcPr>
          <w:p>
            <w:pPr>
              <w:pStyle w:val="TableContents"/>
              <w:spacing w:before="0" w:after="1"/>
              <w:ind w:left="0" w:right="0" w:hanging="0"/>
              <w:rPr/>
            </w:pPr>
            <w:r>
              <w:rPr/>
              <w:t> </w:t>
            </w:r>
          </w:p>
        </w:tc>
        <w:tc>
          <w:tcPr>
            <w:tcW w:w="9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6,077,645</w:t>
            </w:r>
          </w:p>
        </w:tc>
        <w:tc>
          <w:tcPr>
            <w:tcW w:w="326" w:type="dxa"/>
            <w:tcBorders/>
            <w:shd w:fill="CCEEFF" w:val="clear"/>
            <w:vAlign w:val="center"/>
          </w:tcPr>
          <w:p>
            <w:pPr>
              <w:pStyle w:val="TableContents"/>
              <w:spacing w:before="0" w:after="1"/>
              <w:ind w:left="0" w:right="0" w:hanging="0"/>
              <w:rPr/>
            </w:pPr>
            <w:r>
              <w:rPr/>
              <w:t>​</w:t>
            </w:r>
          </w:p>
        </w:tc>
        <w:tc>
          <w:tcPr>
            <w:tcW w:w="2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74"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32.32</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7.77</w:t>
            </w:r>
          </w:p>
        </w:tc>
      </w:tr>
    </w:tbl>
    <w:p>
      <w:pPr>
        <w:pStyle w:val="TextBody"/>
        <w:spacing w:before="0" w:after="240"/>
        <w:ind w:left="0" w:right="0" w:firstLine="72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Arial;Helvetica;sans-serif" w:hAnsi="Arial;Helvetica;sans-serif"/>
          <w:b/>
          <w:i w:val="false"/>
          <w:caps w:val="false"/>
          <w:smallCaps w:val="false"/>
          <w:sz w:val="20"/>
        </w:rPr>
      </w:pPr>
      <w:bookmarkStart w:id="749" w:name="Tc_4c8dRe_2WUGXTUDtTfIqXQ_10_4"/>
      <w:bookmarkStart w:id="750" w:name="Tc_gE_uOC-yzUOhQtw2d5WE3A_10_0"/>
      <w:bookmarkStart w:id="751" w:name="Tc_VQtTY86ZVU6l9QYeVQ-5nA_9_5"/>
      <w:bookmarkStart w:id="752" w:name="Tc_qIQAJZbLVEClfX5kv9uH7A_9_4"/>
      <w:bookmarkStart w:id="753" w:name="Tc_ajX8eK3mh0mcf7yUFuKxsg_9_2"/>
      <w:bookmarkStart w:id="754" w:name="Tc_CdkPlRTrgkWUi63HPop3AQ_9_0"/>
      <w:bookmarkStart w:id="755" w:name="Tc_dt62ptKUR02lXkE1FRoFQw_8_4"/>
      <w:bookmarkStart w:id="756" w:name="Tc_h_5tnWyu9kObX5p8-00bBw_8_0"/>
      <w:bookmarkStart w:id="757" w:name="Tc_GHUadSC_rEavH-BA_UI62A_7_5"/>
      <w:bookmarkStart w:id="758" w:name="Tc_pznbQRTjxky0Z-cdFVPsaQ_7_4"/>
      <w:bookmarkStart w:id="759" w:name="Tc_rskQj0BHl0-gqTJ_oISTdw_7_2"/>
      <w:bookmarkStart w:id="760" w:name="Tc_WjvCszQop0ahzz9fn9OQGQ_7_0"/>
      <w:bookmarkStart w:id="761" w:name="Tc_4bxpjBMC-ESAMz8HyLzY9Q_6_4"/>
      <w:bookmarkStart w:id="762" w:name="Tc_DU2gQpkJEUW4MTslwY-rgg_6_0"/>
      <w:bookmarkStart w:id="763" w:name="Tc_1b2pgWbyEUq2vCbnwfqSWA_5_7"/>
      <w:bookmarkStart w:id="764" w:name="Tc_iMIlWvkvaEaKHTr2IREx7w_5_4"/>
      <w:bookmarkStart w:id="765" w:name="Tc_o60J5GqUFk6jtSPEL0UMiw_5_2"/>
      <w:bookmarkStart w:id="766" w:name="Tc_cE_s1VdRJUu82MSpaf7Slg_4_7"/>
      <w:bookmarkStart w:id="767" w:name="Tc_ZKBR2sYvdkWFezKBuhxigQ_4_4"/>
      <w:bookmarkStart w:id="768" w:name="Tc_26Spq2VlR0eUIsCO_sZ8FQ_4_2"/>
      <w:bookmarkStart w:id="769" w:name="Tc_n9mRX3l9VkapV8_x-crqLA_3_7"/>
      <w:bookmarkStart w:id="770" w:name="Tc_-Z_9KqxgskixCx7VaZ5C6w_3_4"/>
      <w:bookmarkStart w:id="771" w:name="Tc_fmGt4qyH_0euM6eQN4Lg1w_2_7"/>
      <w:bookmarkStart w:id="772" w:name="Tc_BBbT40EOc0OkhAbAAgr54g_2_4"/>
      <w:bookmarkStart w:id="773" w:name="Tc_Nd7Y4dZ3EEybJyHoZtgjAg_1_7"/>
      <w:bookmarkStart w:id="774" w:name="_8f6e1010_78a1_4ac2_a715_9e1c41a7172e"/>
      <w:bookmarkStart w:id="775" w:name="Tc_48uFE3w7mUKW5xVQ-R06jA_10_4"/>
      <w:bookmarkStart w:id="776" w:name="Tc_VsUgVBvp0kyfppT5_YgU1Q_10_0"/>
      <w:bookmarkStart w:id="777" w:name="Tc_p8qqC1wzpUuEk8Uq0NZ8nA_9_5"/>
      <w:bookmarkStart w:id="778" w:name="Tc_g85E8LizY0Wn4HMMkgIAkQ_9_4"/>
      <w:bookmarkStart w:id="779" w:name="Tc_RGNEHuqaOEitCYiB0hK25A_9_2"/>
      <w:bookmarkStart w:id="780" w:name="Tc_LnS-yE0Y4E-0xR4EajJ1iw_9_0"/>
      <w:bookmarkStart w:id="781" w:name="Tc_879CHLaJP0molXUnHTwfaQ_8_5"/>
      <w:bookmarkStart w:id="782" w:name="Tc_iEYUj6k3mUy1nKFxkpmRcA_8_4"/>
      <w:bookmarkStart w:id="783" w:name="Tc_IfgoDpUpX0W6QfMFKOh2mw_8_2"/>
      <w:bookmarkStart w:id="784" w:name="Tc_rDl8x2knG0Srsbmi-g9aGQ_8_0"/>
      <w:bookmarkStart w:id="785" w:name="Tc_Y6KSjbTZEEqeKjyEHwdxfA_7_5"/>
      <w:bookmarkStart w:id="786" w:name="Tc__d1lzSixrEmWBd2amXRtdA_7_4"/>
      <w:bookmarkStart w:id="787" w:name="Tc_TBChzVE6Q0mpS-yF7sg-aA_7_2"/>
      <w:bookmarkStart w:id="788" w:name="Tc_8VXGBO66FUOVMV-GDplapw_7_0"/>
      <w:bookmarkStart w:id="789" w:name="Tc_KfSIx4PzMUq8nMAjTzX1BA_6_4"/>
      <w:bookmarkStart w:id="790" w:name="Tc_BfPIiHNMf0mvcPRyu5LRLA_6_0"/>
      <w:bookmarkStart w:id="791" w:name="Tc_eU3dxRE7QEOMv_1NCi70vA_5_7"/>
      <w:bookmarkStart w:id="792" w:name="Tc_tniLCo_ka06rNtYjXvtGyQ_5_4"/>
      <w:bookmarkStart w:id="793" w:name="Tc_CLR90PhoD0KgLUTu5MVM6A_5_2"/>
      <w:bookmarkStart w:id="794" w:name="Tc_n7WHLU7dREi1XfvMIJqEYA_4_7"/>
      <w:bookmarkStart w:id="795" w:name="Tc_RAz_FZqXL0GYqB029QzFJg_4_4"/>
      <w:bookmarkStart w:id="796" w:name="Tc_ou37ctxUqEKd-FcdORFQUw_4_2"/>
      <w:bookmarkStart w:id="797" w:name="Tc_PE9ZK0aV506q6yQ7_jheaw_3_7"/>
      <w:bookmarkStart w:id="798" w:name="Tc_a_4yALEWvESIyRZPzY2l_Q_3_4"/>
      <w:bookmarkStart w:id="799" w:name="Tc_WrAmp9GcrEW8KR-iFiyphQ_2_7"/>
      <w:bookmarkStart w:id="800" w:name="Tc_Ilh_8xafnECyvUSrSb_JFg_2_4"/>
      <w:bookmarkStart w:id="801" w:name="Tc_RpePp4e_R0SY9hNmsS4s7A_1_7"/>
      <w:bookmarkStart w:id="802" w:name="_06317ffa_23e7_469f_92de_bd11d1184371"/>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r>
        <w:rPr>
          <w:rFonts w:ascii="Arial;Helvetica;sans-serif" w:hAnsi="Arial;Helvetica;sans-serif"/>
          <w:b/>
          <w:i w:val="false"/>
          <w:caps w:val="false"/>
          <w:smallCaps w:val="false"/>
          <w:sz w:val="20"/>
        </w:rPr>
        <w:t>Stock Appreciation Rights</w:t>
      </w:r>
    </w:p>
    <w:p>
      <w:pPr>
        <w:pStyle w:val="TextBody"/>
        <w:spacing w:before="0" w:after="0"/>
        <w:ind w:left="0" w:right="0" w:firstLine="720"/>
        <w:rPr>
          <w:rFonts w:ascii="Arial;Helvetica;sans-serif" w:hAnsi="Arial;Helvetica;sans-serif"/>
          <w:sz w:val="20"/>
        </w:rPr>
      </w:pPr>
      <w:r>
        <w:rPr>
          <w:rFonts w:ascii="Arial;Helvetica;sans-serif" w:hAnsi="Arial;Helvetica;sans-serif"/>
          <w:sz w:val="20"/>
        </w:rPr>
        <w:t>The following table summarizes SARs activity for the three months ended March 31, 2023:</w:t>
      </w:r>
    </w:p>
    <w:p>
      <w:pPr>
        <w:pStyle w:val="TextBody"/>
        <w:spacing w:before="0" w:after="240"/>
        <w:ind w:left="0" w:right="0" w:firstLine="720"/>
        <w:rPr/>
      </w:pPr>
      <w:r>
        <w:rPr/>
        <w:t>​</w:t>
      </w:r>
    </w:p>
    <w:tbl>
      <w:tblPr>
        <w:tblW w:w="7641" w:type="dxa"/>
        <w:jc w:val="left"/>
        <w:tblInd w:w="0" w:type="dxa"/>
        <w:tblCellMar>
          <w:top w:w="0" w:type="dxa"/>
          <w:left w:w="0" w:type="dxa"/>
          <w:bottom w:w="0" w:type="dxa"/>
          <w:right w:w="0" w:type="dxa"/>
        </w:tblCellMar>
      </w:tblPr>
      <w:tblGrid>
        <w:gridCol w:w="3721"/>
        <w:gridCol w:w="326"/>
        <w:gridCol w:w="946"/>
        <w:gridCol w:w="326"/>
        <w:gridCol w:w="279"/>
        <w:gridCol w:w="636"/>
        <w:gridCol w:w="326"/>
        <w:gridCol w:w="1081"/>
      </w:tblGrid>
      <w:tr>
        <w:trPr/>
        <w:tc>
          <w:tcPr>
            <w:tcW w:w="3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362835" cy="175260"/>
                      <wp:effectExtent l="0" t="0" r="0" b="0"/>
                      <wp:wrapNone/>
                      <wp:docPr id="138" name="Frame138"/>
                      <a:graphic xmlns:a="http://schemas.openxmlformats.org/drawingml/2006/main">
                        <a:graphicData uri="http://schemas.microsoft.com/office/word/2010/wordprocessingShape">
                          <wps:wsp>
                            <wps:cNvSpPr txBox="1"/>
                            <wps:spPr>
                              <a:xfrm>
                                <a:off x="0" y="0"/>
                                <a:ext cx="2362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00710" cy="175260"/>
                      <wp:effectExtent l="0" t="0" r="0" b="0"/>
                      <wp:wrapNone/>
                      <wp:docPr id="140" name="Frame140"/>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77165" cy="175260"/>
                      <wp:effectExtent l="0" t="0" r="0" b="0"/>
                      <wp:wrapNone/>
                      <wp:docPr id="142" name="Frame142"/>
                      <a:graphic xmlns:a="http://schemas.openxmlformats.org/drawingml/2006/main">
                        <a:graphicData uri="http://schemas.microsoft.com/office/word/2010/wordprocessingShape">
                          <wps:wsp>
                            <wps:cNvSpPr txBox="1"/>
                            <wps:spPr>
                              <a:xfrm>
                                <a:off x="0" y="0"/>
                                <a:ext cx="1771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03860" cy="175260"/>
                      <wp:effectExtent l="0" t="0" r="0" b="0"/>
                      <wp:wrapNone/>
                      <wp:docPr id="143" name="Frame143"/>
                      <a:graphic xmlns:a="http://schemas.openxmlformats.org/drawingml/2006/main">
                        <a:graphicData uri="http://schemas.microsoft.com/office/word/2010/wordprocessingShape">
                          <wps:wsp>
                            <wps:cNvSpPr txBox="1"/>
                            <wps:spPr>
                              <a:xfrm>
                                <a:off x="0" y="0"/>
                                <a:ext cx="403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86435" cy="175260"/>
                      <wp:effectExtent l="0" t="0" r="0" b="0"/>
                      <wp:wrapNone/>
                      <wp:docPr id="145" name="Frame145"/>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79" w:type="dxa"/>
            <w:tcBorders/>
            <w:shd w:fill="auto" w:val="clear"/>
            <w:vAlign w:val="center"/>
          </w:tcPr>
          <w:p>
            <w:pPr>
              <w:pStyle w:val="TableContents"/>
              <w:spacing w:before="0" w:after="1"/>
              <w:ind w:left="0" w:right="0" w:hanging="0"/>
              <w:rPr/>
            </w:pPr>
            <w:r>
              <w:rPr/>
              <w:t>​</w:t>
            </w:r>
          </w:p>
        </w:tc>
        <w:tc>
          <w:tcPr>
            <w:tcW w:w="6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8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r>
      <w:tr>
        <w:trPr/>
        <w:tc>
          <w:tcPr>
            <w:tcW w:w="3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15"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shd w:fill="auto" w:val="clear"/>
            <w:vAlign w:val="center"/>
          </w:tcPr>
          <w:p>
            <w:pPr>
              <w:pStyle w:val="TableContents"/>
              <w:spacing w:before="0" w:after="1"/>
              <w:ind w:left="0" w:right="0" w:hanging="0"/>
              <w:jc w:val="center"/>
              <w:rPr/>
            </w:pPr>
            <w:r>
              <w:rPr/>
              <w:t>​</w:t>
            </w:r>
          </w:p>
        </w:tc>
        <w:tc>
          <w:tcPr>
            <w:tcW w:w="108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3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15"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shd w:fill="auto" w:val="clear"/>
            <w:vAlign w:val="center"/>
          </w:tcPr>
          <w:p>
            <w:pPr>
              <w:pStyle w:val="TableContents"/>
              <w:spacing w:before="0" w:after="1"/>
              <w:ind w:left="0" w:right="0" w:hanging="0"/>
              <w:jc w:val="center"/>
              <w:rPr/>
            </w:pPr>
            <w:r>
              <w:rPr/>
              <w:t>​</w:t>
            </w:r>
          </w:p>
        </w:tc>
        <w:tc>
          <w:tcPr>
            <w:tcW w:w="108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Remaining</w:t>
            </w:r>
          </w:p>
        </w:tc>
      </w:tr>
      <w:tr>
        <w:trPr/>
        <w:tc>
          <w:tcPr>
            <w:tcW w:w="3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26" w:type="dxa"/>
            <w:tcBorders/>
            <w:shd w:fill="auto" w:val="clear"/>
            <w:vAlign w:val="center"/>
          </w:tcPr>
          <w:p>
            <w:pPr>
              <w:pStyle w:val="TableContents"/>
              <w:spacing w:before="0" w:after="1"/>
              <w:ind w:left="0" w:right="0" w:hanging="0"/>
              <w:jc w:val="center"/>
              <w:rPr/>
            </w:pPr>
            <w:r>
              <w:rPr/>
              <w:t>​</w:t>
            </w:r>
          </w:p>
        </w:tc>
        <w:tc>
          <w:tcPr>
            <w:tcW w:w="915"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Exercise</w:t>
            </w:r>
          </w:p>
        </w:tc>
        <w:tc>
          <w:tcPr>
            <w:tcW w:w="326" w:type="dxa"/>
            <w:tcBorders/>
            <w:shd w:fill="auto" w:val="clear"/>
            <w:vAlign w:val="center"/>
          </w:tcPr>
          <w:p>
            <w:pPr>
              <w:pStyle w:val="TableContents"/>
              <w:spacing w:before="0" w:after="1"/>
              <w:ind w:left="0" w:right="0" w:hanging="0"/>
              <w:jc w:val="center"/>
              <w:rPr/>
            </w:pPr>
            <w:r>
              <w:rPr/>
              <w:t>​</w:t>
            </w:r>
          </w:p>
        </w:tc>
        <w:tc>
          <w:tcPr>
            <w:tcW w:w="108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Contractual</w:t>
            </w:r>
          </w:p>
        </w:tc>
      </w:tr>
      <w:tr>
        <w:trPr/>
        <w:tc>
          <w:tcPr>
            <w:tcW w:w="3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Awards</w:t>
            </w:r>
          </w:p>
        </w:tc>
        <w:tc>
          <w:tcPr>
            <w:tcW w:w="326" w:type="dxa"/>
            <w:tcBorders/>
            <w:shd w:fill="auto" w:val="clear"/>
            <w:vAlign w:val="center"/>
          </w:tcPr>
          <w:p>
            <w:pPr>
              <w:pStyle w:val="TableContents"/>
              <w:spacing w:before="0" w:after="1"/>
              <w:ind w:left="0" w:right="0" w:hanging="0"/>
              <w:jc w:val="center"/>
              <w:rPr/>
            </w:pPr>
            <w:r>
              <w:rPr/>
              <w:t>    </w:t>
            </w:r>
          </w:p>
        </w:tc>
        <w:tc>
          <w:tcPr>
            <w:tcW w:w="91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Price</w:t>
            </w:r>
          </w:p>
        </w:tc>
        <w:tc>
          <w:tcPr>
            <w:tcW w:w="326" w:type="dxa"/>
            <w:tcBorders/>
            <w:shd w:fill="auto" w:val="clear"/>
            <w:vAlign w:val="center"/>
          </w:tcPr>
          <w:p>
            <w:pPr>
              <w:pStyle w:val="TableContents"/>
              <w:spacing w:before="0" w:after="1"/>
              <w:ind w:left="0" w:right="0" w:hanging="0"/>
              <w:jc w:val="center"/>
              <w:rPr/>
            </w:pPr>
            <w:r>
              <w:rPr/>
              <w:t>    </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Term</w:t>
            </w:r>
          </w:p>
        </w:tc>
      </w:tr>
      <w:tr>
        <w:trPr/>
        <w:tc>
          <w:tcPr>
            <w:tcW w:w="372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Awards outstanding—December 31, 2022</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43,208</w:t>
            </w:r>
          </w:p>
        </w:tc>
        <w:tc>
          <w:tcPr>
            <w:tcW w:w="326" w:type="dxa"/>
            <w:tcBorders/>
            <w:shd w:fill="CCEEFF" w:val="clear"/>
            <w:vAlign w:val="center"/>
          </w:tcPr>
          <w:p>
            <w:pPr>
              <w:pStyle w:val="TableContents"/>
              <w:spacing w:before="0" w:after="1"/>
              <w:ind w:left="0" w:right="0" w:hanging="0"/>
              <w:rPr/>
            </w:pPr>
            <w:r>
              <w:rPr/>
              <w:t>​</w:t>
            </w:r>
          </w:p>
        </w:tc>
        <w:tc>
          <w:tcPr>
            <w:tcW w:w="2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3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9.38</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6.32</w:t>
            </w:r>
          </w:p>
        </w:tc>
      </w:tr>
      <w:tr>
        <w:trPr/>
        <w:tc>
          <w:tcPr>
            <w:tcW w:w="372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Awards issued</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pPr>
            <w:r>
              <w:rPr/>
              <w:t>  </w:t>
            </w:r>
          </w:p>
        </w:tc>
      </w:tr>
      <w:tr>
        <w:trPr/>
        <w:tc>
          <w:tcPr>
            <w:tcW w:w="372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Awards exercised</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pPr>
            <w:r>
              <w:rPr/>
              <w:t>  </w:t>
            </w:r>
          </w:p>
        </w:tc>
      </w:tr>
      <w:tr>
        <w:trPr/>
        <w:tc>
          <w:tcPr>
            <w:tcW w:w="372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Awards forfeited</w:t>
            </w:r>
          </w:p>
        </w:tc>
        <w:tc>
          <w:tcPr>
            <w:tcW w:w="326" w:type="dxa"/>
            <w:tcBorders/>
            <w:shd w:fill="auto" w:val="clear"/>
            <w:vAlign w:val="center"/>
          </w:tcPr>
          <w:p>
            <w:pPr>
              <w:pStyle w:val="TableContents"/>
              <w:spacing w:before="0" w:after="1"/>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pPr>
            <w:r>
              <w:rPr/>
              <w:t>  </w:t>
            </w:r>
          </w:p>
        </w:tc>
      </w:tr>
      <w:tr>
        <w:trPr/>
        <w:tc>
          <w:tcPr>
            <w:tcW w:w="372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Awards outstanding—March 31, 2023</w:t>
            </w:r>
          </w:p>
        </w:tc>
        <w:tc>
          <w:tcPr>
            <w:tcW w:w="326" w:type="dxa"/>
            <w:tcBorders/>
            <w:shd w:fill="CCEEFF" w:val="clear"/>
            <w:vAlign w:val="center"/>
          </w:tcPr>
          <w:p>
            <w:pPr>
              <w:pStyle w:val="TableContents"/>
              <w:spacing w:before="0" w:after="1"/>
              <w:ind w:left="0" w:right="0" w:hanging="0"/>
              <w:rPr/>
            </w:pPr>
            <w:r>
              <w:rPr/>
              <w:t> </w:t>
            </w:r>
          </w:p>
        </w:tc>
        <w:tc>
          <w:tcPr>
            <w:tcW w:w="9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43,208</w:t>
            </w:r>
          </w:p>
        </w:tc>
        <w:tc>
          <w:tcPr>
            <w:tcW w:w="326" w:type="dxa"/>
            <w:tcBorders/>
            <w:shd w:fill="CCEEFF" w:val="clear"/>
            <w:vAlign w:val="center"/>
          </w:tcPr>
          <w:p>
            <w:pPr>
              <w:pStyle w:val="TableContents"/>
              <w:spacing w:before="0" w:after="1"/>
              <w:ind w:left="0" w:right="0" w:hanging="0"/>
              <w:rPr/>
            </w:pPr>
            <w:r>
              <w:rPr/>
              <w:t>​</w:t>
            </w:r>
          </w:p>
        </w:tc>
        <w:tc>
          <w:tcPr>
            <w:tcW w:w="2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3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9.38</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6.08</w:t>
            </w:r>
          </w:p>
        </w:tc>
      </w:tr>
    </w:tbl>
    <w:p>
      <w:pPr>
        <w:pStyle w:val="TextBody"/>
        <w:spacing w:before="0" w:after="240"/>
        <w:ind w:left="0" w:right="0" w:firstLine="720"/>
        <w:rPr/>
      </w:pPr>
      <w:r>
        <w:rPr/>
        <w:t>​</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Restricted Stock Units</w:t>
      </w:r>
    </w:p>
    <w:p>
      <w:pPr>
        <w:pStyle w:val="TextBody"/>
        <w:spacing w:before="0" w:after="0"/>
        <w:ind w:left="0" w:right="0" w:firstLine="720"/>
        <w:rPr>
          <w:rFonts w:ascii="Arial;Helvetica;sans-serif" w:hAnsi="Arial;Helvetica;sans-serif"/>
          <w:sz w:val="20"/>
        </w:rPr>
      </w:pPr>
      <w:r>
        <w:rPr>
          <w:rFonts w:ascii="Arial;Helvetica;sans-serif" w:hAnsi="Arial;Helvetica;sans-serif"/>
          <w:sz w:val="20"/>
        </w:rPr>
        <w:t>The following table summarizes RSU activity for the three months ended March 31, 2023:</w:t>
      </w:r>
    </w:p>
    <w:p>
      <w:pPr>
        <w:pStyle w:val="TextBody"/>
        <w:spacing w:before="0" w:after="240"/>
        <w:ind w:left="0" w:right="0" w:firstLine="720"/>
        <w:rPr/>
      </w:pPr>
      <w:r>
        <w:rPr/>
        <w:t>​</w:t>
      </w:r>
    </w:p>
    <w:tbl>
      <w:tblPr>
        <w:tblW w:w="7686" w:type="dxa"/>
        <w:jc w:val="left"/>
        <w:tblInd w:w="0" w:type="dxa"/>
        <w:tblCellMar>
          <w:top w:w="0" w:type="dxa"/>
          <w:left w:w="0" w:type="dxa"/>
          <w:bottom w:w="0" w:type="dxa"/>
          <w:right w:w="0" w:type="dxa"/>
        </w:tblCellMar>
      </w:tblPr>
      <w:tblGrid>
        <w:gridCol w:w="3721"/>
        <w:gridCol w:w="326"/>
        <w:gridCol w:w="946"/>
        <w:gridCol w:w="326"/>
        <w:gridCol w:w="253"/>
        <w:gridCol w:w="707"/>
        <w:gridCol w:w="326"/>
        <w:gridCol w:w="1081"/>
      </w:tblGrid>
      <w:tr>
        <w:trPr/>
        <w:tc>
          <w:tcPr>
            <w:tcW w:w="3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362835" cy="175260"/>
                      <wp:effectExtent l="0" t="0" r="0" b="0"/>
                      <wp:wrapNone/>
                      <wp:docPr id="146" name="Frame146"/>
                      <a:graphic xmlns:a="http://schemas.openxmlformats.org/drawingml/2006/main">
                        <a:graphicData uri="http://schemas.microsoft.com/office/word/2010/wordprocessingShape">
                          <wps:wsp>
                            <wps:cNvSpPr txBox="1"/>
                            <wps:spPr>
                              <a:xfrm>
                                <a:off x="0" y="0"/>
                                <a:ext cx="2362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00710" cy="175260"/>
                      <wp:effectExtent l="0" t="0" r="0" b="0"/>
                      <wp:wrapNone/>
                      <wp:docPr id="148" name="Frame148"/>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60655" cy="175260"/>
                      <wp:effectExtent l="0" t="0" r="0" b="0"/>
                      <wp:wrapNone/>
                      <wp:docPr id="150" name="Frame150"/>
                      <a:graphic xmlns:a="http://schemas.openxmlformats.org/drawingml/2006/main">
                        <a:graphicData uri="http://schemas.microsoft.com/office/word/2010/wordprocessingShape">
                          <wps:wsp>
                            <wps:cNvSpPr txBox="1"/>
                            <wps:spPr>
                              <a:xfrm>
                                <a:off x="0" y="0"/>
                                <a:ext cx="1606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48945" cy="175260"/>
                      <wp:effectExtent l="0" t="0" r="0" b="0"/>
                      <wp:wrapNone/>
                      <wp:docPr id="151" name="Frame151"/>
                      <a:graphic xmlns:a="http://schemas.openxmlformats.org/drawingml/2006/main">
                        <a:graphicData uri="http://schemas.microsoft.com/office/word/2010/wordprocessingShape">
                          <wps:wsp>
                            <wps:cNvSpPr txBox="1"/>
                            <wps:spPr>
                              <a:xfrm>
                                <a:off x="0" y="0"/>
                                <a:ext cx="4489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86435" cy="175260"/>
                      <wp:effectExtent l="0" t="0" r="0" b="0"/>
                      <wp:wrapNone/>
                      <wp:docPr id="153" name="Frame153"/>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53"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8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r>
      <w:tr>
        <w:trPr/>
        <w:tc>
          <w:tcPr>
            <w:tcW w:w="3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60"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shd w:fill="auto" w:val="clear"/>
            <w:vAlign w:val="center"/>
          </w:tcPr>
          <w:p>
            <w:pPr>
              <w:pStyle w:val="TableContents"/>
              <w:spacing w:before="0" w:after="0"/>
              <w:ind w:left="0" w:right="0" w:hanging="0"/>
              <w:jc w:val="center"/>
              <w:rPr/>
            </w:pPr>
            <w:r>
              <w:rPr/>
              <w:t>​</w:t>
            </w:r>
          </w:p>
        </w:tc>
        <w:tc>
          <w:tcPr>
            <w:tcW w:w="108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3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60"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shd w:fill="auto" w:val="clear"/>
            <w:vAlign w:val="center"/>
          </w:tcPr>
          <w:p>
            <w:pPr>
              <w:pStyle w:val="TableContents"/>
              <w:spacing w:before="0" w:after="0"/>
              <w:ind w:left="0" w:right="0" w:hanging="0"/>
              <w:jc w:val="center"/>
              <w:rPr/>
            </w:pPr>
            <w:r>
              <w:rPr/>
              <w:t>​</w:t>
            </w:r>
          </w:p>
        </w:tc>
        <w:tc>
          <w:tcPr>
            <w:tcW w:w="108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Remaining</w:t>
            </w:r>
          </w:p>
        </w:tc>
      </w:tr>
      <w:tr>
        <w:trPr/>
        <w:tc>
          <w:tcPr>
            <w:tcW w:w="3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26" w:type="dxa"/>
            <w:tcBorders/>
            <w:shd w:fill="auto" w:val="clear"/>
            <w:vAlign w:val="center"/>
          </w:tcPr>
          <w:p>
            <w:pPr>
              <w:pStyle w:val="TableContents"/>
              <w:spacing w:before="0" w:after="0"/>
              <w:ind w:left="0" w:right="0" w:hanging="0"/>
              <w:jc w:val="center"/>
              <w:rPr/>
            </w:pPr>
            <w:r>
              <w:rPr/>
              <w:t>​</w:t>
            </w:r>
          </w:p>
        </w:tc>
        <w:tc>
          <w:tcPr>
            <w:tcW w:w="960"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Grant Date</w:t>
            </w:r>
          </w:p>
        </w:tc>
        <w:tc>
          <w:tcPr>
            <w:tcW w:w="326" w:type="dxa"/>
            <w:tcBorders/>
            <w:shd w:fill="auto" w:val="clear"/>
            <w:vAlign w:val="center"/>
          </w:tcPr>
          <w:p>
            <w:pPr>
              <w:pStyle w:val="TableContents"/>
              <w:spacing w:before="0" w:after="0"/>
              <w:ind w:left="0" w:right="0" w:hanging="0"/>
              <w:jc w:val="center"/>
              <w:rPr/>
            </w:pPr>
            <w:r>
              <w:rPr/>
              <w:t>​</w:t>
            </w:r>
          </w:p>
        </w:tc>
        <w:tc>
          <w:tcPr>
            <w:tcW w:w="108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Contractual</w:t>
            </w:r>
          </w:p>
        </w:tc>
      </w:tr>
      <w:tr>
        <w:trPr/>
        <w:tc>
          <w:tcPr>
            <w:tcW w:w="3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Awards</w:t>
            </w:r>
          </w:p>
        </w:tc>
        <w:tc>
          <w:tcPr>
            <w:tcW w:w="326" w:type="dxa"/>
            <w:tcBorders/>
            <w:shd w:fill="auto" w:val="clear"/>
            <w:vAlign w:val="center"/>
          </w:tcPr>
          <w:p>
            <w:pPr>
              <w:pStyle w:val="TableContents"/>
              <w:spacing w:before="0" w:after="0"/>
              <w:ind w:left="0" w:right="0" w:hanging="0"/>
              <w:jc w:val="center"/>
              <w:rPr/>
            </w:pPr>
            <w:r>
              <w:rPr/>
              <w:t>    </w:t>
            </w:r>
          </w:p>
        </w:tc>
        <w:tc>
          <w:tcPr>
            <w:tcW w:w="9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26" w:type="dxa"/>
            <w:tcBorders/>
            <w:shd w:fill="auto" w:val="clear"/>
            <w:vAlign w:val="center"/>
          </w:tcPr>
          <w:p>
            <w:pPr>
              <w:pStyle w:val="TableContents"/>
              <w:spacing w:before="0" w:after="0"/>
              <w:ind w:left="0" w:right="0" w:hanging="0"/>
              <w:jc w:val="center"/>
              <w:rPr/>
            </w:pPr>
            <w:r>
              <w:rPr/>
              <w:t>    </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Term</w:t>
            </w:r>
          </w:p>
        </w:tc>
      </w:tr>
      <w:tr>
        <w:trPr/>
        <w:tc>
          <w:tcPr>
            <w:tcW w:w="372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Awards outstanding—December 31, 2022</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60,000</w:t>
            </w:r>
          </w:p>
        </w:tc>
        <w:tc>
          <w:tcPr>
            <w:tcW w:w="326"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07"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29.03</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8.24</w:t>
            </w:r>
          </w:p>
        </w:tc>
      </w:tr>
      <w:tr>
        <w:trPr/>
        <w:tc>
          <w:tcPr>
            <w:tcW w:w="372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Awards issued</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0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pPr>
            <w:r>
              <w:rPr/>
              <w:t>  </w:t>
            </w:r>
          </w:p>
        </w:tc>
      </w:tr>
      <w:tr>
        <w:trPr/>
        <w:tc>
          <w:tcPr>
            <w:tcW w:w="372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Awards vested</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(30,000)</w:t>
            </w:r>
          </w:p>
        </w:tc>
        <w:tc>
          <w:tcPr>
            <w:tcW w:w="326"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07"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29.03</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pPr>
            <w:r>
              <w:rPr/>
              <w:t>  </w:t>
            </w:r>
          </w:p>
        </w:tc>
      </w:tr>
      <w:tr>
        <w:trPr/>
        <w:tc>
          <w:tcPr>
            <w:tcW w:w="372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Awards forfeited</w:t>
            </w:r>
          </w:p>
        </w:tc>
        <w:tc>
          <w:tcPr>
            <w:tcW w:w="326" w:type="dxa"/>
            <w:tcBorders/>
            <w:shd w:fill="auto" w:val="clear"/>
            <w:vAlign w:val="center"/>
          </w:tcPr>
          <w:p>
            <w:pPr>
              <w:pStyle w:val="TableContents"/>
              <w:spacing w:before="0" w:after="0"/>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0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pPr>
            <w:r>
              <w:rPr/>
              <w:t>  </w:t>
            </w:r>
          </w:p>
        </w:tc>
      </w:tr>
      <w:tr>
        <w:trPr/>
        <w:tc>
          <w:tcPr>
            <w:tcW w:w="372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Awards outstanding—March 31, 2023</w:t>
            </w:r>
          </w:p>
        </w:tc>
        <w:tc>
          <w:tcPr>
            <w:tcW w:w="326" w:type="dxa"/>
            <w:tcBorders/>
            <w:shd w:fill="CCEEFF" w:val="clear"/>
            <w:vAlign w:val="center"/>
          </w:tcPr>
          <w:p>
            <w:pPr>
              <w:pStyle w:val="TableContents"/>
              <w:spacing w:before="0" w:after="0"/>
              <w:ind w:left="0" w:right="0" w:hanging="0"/>
              <w:rPr/>
            </w:pPr>
            <w:r>
              <w:rPr/>
              <w:t> </w:t>
            </w:r>
          </w:p>
        </w:tc>
        <w:tc>
          <w:tcPr>
            <w:tcW w:w="9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30,000</w:t>
            </w:r>
          </w:p>
        </w:tc>
        <w:tc>
          <w:tcPr>
            <w:tcW w:w="326"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07"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29.03</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60" w:hanging="0"/>
              <w:jc w:val="right"/>
              <w:rPr>
                <w:rFonts w:ascii="Arial;Helvetica;sans-serif" w:hAnsi="Arial;Helvetica;sans-serif"/>
                <w:sz w:val="20"/>
              </w:rPr>
            </w:pPr>
            <w:r>
              <w:rPr>
                <w:rFonts w:ascii="Arial;Helvetica;sans-serif" w:hAnsi="Arial;Helvetica;sans-serif"/>
                <w:sz w:val="20"/>
              </w:rPr>
              <w:t>7.99</w:t>
            </w:r>
          </w:p>
        </w:tc>
      </w:tr>
    </w:tbl>
    <w:p>
      <w:pPr>
        <w:pStyle w:val="TextBody"/>
        <w:spacing w:before="0" w:after="0"/>
        <w:ind w:left="0" w:right="0" w:hanging="0"/>
        <w:rPr/>
      </w:pPr>
      <w:r>
        <w:rPr/>
        <w:t>​</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As of March 31, 2023 and December 31, 2022, stock awards issued under the 2017 and 2020 Plans of 2,219,090 and 1,818,045 shares of common stock, respectively, were vested. </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Value of Stock Options and SARs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The Company values options and SARs using the Black-Scholes option-pricing model. The Company lacks sufficient historical company-specific volatility information. Therefore, the Company estimates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An expected dividend yield of 0% is based on the fact that the Company has never paid cash dividends and does not expect to do so in the foreseeable future.</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jc w:val="both"/>
        <w:rPr>
          <w:rFonts w:ascii="Arial;Helvetica;sans-serif" w:hAnsi="Arial;Helvetica;sans-serif"/>
          <w:sz w:val="20"/>
        </w:rPr>
      </w:pPr>
      <w:bookmarkStart w:id="803" w:name="Tc_u7vO1n2Hx0Wk7YZVcVS7aA_6_5"/>
      <w:bookmarkStart w:id="804" w:name="Tc_5cq97X838Eq6YcFStGc3NA_6_2"/>
      <w:bookmarkStart w:id="805" w:name="Tc_QY2nUcXYK0yx_imvYFd73w_5_0"/>
      <w:bookmarkStart w:id="806" w:name="Tc_zPSS_IXUK0CCJ6KsMcvGBA_4_0"/>
      <w:bookmarkStart w:id="807" w:name="Tc_TJcVKoegGU2iZ1ghi6KjUA_3_5"/>
      <w:bookmarkStart w:id="808" w:name="Tc_OyH8wAF5F0KdpTKDSmNiDw_3_2"/>
      <w:bookmarkStart w:id="809" w:name="Tc_xhoa9-mqGk6rHBsQRxE2KA_3_0"/>
      <w:bookmarkStart w:id="810" w:name="Tc_0qS4Cg3dL0mupddIZp-9mg_2_5"/>
      <w:bookmarkStart w:id="811" w:name="Tc_CtF6qqvfBEyEJGIAxoHeiQ_2_2"/>
      <w:bookmarkStart w:id="812" w:name="Tc_kTXjSS8wC0CCzcVN1JrZaQ_1_2"/>
      <w:bookmarkStart w:id="813" w:name="_44d83b32_f04d_4772_ae71_80d753976d01"/>
      <w:bookmarkStart w:id="814" w:name="Tc_9aSp3QR65kGb68o5325qTA_8_4"/>
      <w:bookmarkStart w:id="815" w:name="Tc_QRBZ0eSBo0KGbEigLQyYIg_8_2"/>
      <w:bookmarkStart w:id="816" w:name="Tc_WbZleCMvLECuW3qh5KPDuQ_8_0"/>
      <w:bookmarkStart w:id="817" w:name="Tc_Xp2zDmZldEyOBw4bsGzoOw_7_5"/>
      <w:bookmarkStart w:id="818" w:name="Tc_e3WCzOJ0DUim6F3m06idGw_7_3"/>
      <w:bookmarkStart w:id="819" w:name="Tc_knszrB6e1E66g9K98Fq37Q_7_0"/>
      <w:bookmarkStart w:id="820" w:name="Tc_n5xo4pVz_Ua8ke-tKMfh2A_6_5"/>
      <w:bookmarkStart w:id="821" w:name="Tc_GXaW-NmqCkqXxlfZ5XshxQ_6_4"/>
      <w:bookmarkStart w:id="822" w:name="Tc_f4mJbnufb0me8OsJRsA0ng_6_3"/>
      <w:bookmarkStart w:id="823" w:name="Tc_4-zpfWWFOkKAdGhTHIIQvQ_6_2"/>
      <w:bookmarkStart w:id="824" w:name="Tc_8qxTmpsF8E6qyUmSzj08Lw_6_0"/>
      <w:bookmarkStart w:id="825" w:name="Tc_EBDdptspDUeL61Y5H8TXkg_5_5"/>
      <w:bookmarkStart w:id="826" w:name="Tc_FlvNUHPIdUuLrIBsjcxKuQ_5_4"/>
      <w:bookmarkStart w:id="827" w:name="Tc__5D6LTddvE-oSp1Q7Tb6rA_5_3"/>
      <w:bookmarkStart w:id="828" w:name="Tc_cqRw_TOUMUqSLxxd-UDqKQ_5_0"/>
      <w:bookmarkStart w:id="829" w:name="Tc_gkZymM0cok6Fm6xcIT78pw_4_5"/>
      <w:bookmarkStart w:id="830" w:name="Tc_0O6w-HPhkkuZHRyZEjdosg_4_3"/>
      <w:bookmarkStart w:id="831" w:name="Tc_ODxbWYLeE0Sa--gitu4BVw_4_0"/>
      <w:bookmarkStart w:id="832" w:name="Tc_hhHGV9xy5k2nn5uCBcKx8Q_3_4"/>
      <w:bookmarkStart w:id="833" w:name="Tc_pz3TPLZOnkeTR8K0BGAKmw_3_2"/>
      <w:bookmarkStart w:id="834" w:name="Tc_HjSL0QgngE-UWtBuxym0sw_2_4"/>
      <w:bookmarkStart w:id="835" w:name="Tc_9WNBffvSfk6wEQZzc-MxCg_2_2"/>
      <w:bookmarkStart w:id="836" w:name="Tc_Qm_UoTzQj0O9TEhh8P74xQ_1_2"/>
      <w:bookmarkStart w:id="837" w:name="_ce8999ac_071f_471b_9435_678b6afd99fe"/>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r>
        <w:rPr>
          <w:rFonts w:ascii="Arial;Helvetica;sans-serif" w:hAnsi="Arial;Helvetica;sans-serif"/>
          <w:sz w:val="20"/>
        </w:rPr>
        <w:t>The assumptions used to value the awards are summarized in the following table.</w:t>
      </w:r>
    </w:p>
    <w:p>
      <w:pPr>
        <w:pStyle w:val="TextBody"/>
        <w:spacing w:before="0" w:after="240"/>
        <w:ind w:left="0" w:right="0" w:firstLine="720"/>
        <w:rPr/>
      </w:pPr>
      <w:r>
        <w:rPr/>
        <w:t>​</w:t>
      </w:r>
    </w:p>
    <w:tbl>
      <w:tblPr>
        <w:tblW w:w="6076" w:type="dxa"/>
        <w:jc w:val="left"/>
        <w:tblInd w:w="0" w:type="dxa"/>
        <w:tblCellMar>
          <w:top w:w="0" w:type="dxa"/>
          <w:left w:w="0" w:type="dxa"/>
          <w:bottom w:w="0" w:type="dxa"/>
          <w:right w:w="0" w:type="dxa"/>
        </w:tblCellMar>
      </w:tblPr>
      <w:tblGrid>
        <w:gridCol w:w="2731"/>
        <w:gridCol w:w="326"/>
        <w:gridCol w:w="1036"/>
        <w:gridCol w:w="406"/>
        <w:gridCol w:w="1246"/>
        <w:gridCol w:w="331"/>
      </w:tblGrid>
      <w:tr>
        <w:trPr/>
        <w:tc>
          <w:tcPr>
            <w:tcW w:w="2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734185" cy="175260"/>
                      <wp:effectExtent l="0" t="0" r="0" b="0"/>
                      <wp:wrapNone/>
                      <wp:docPr id="154" name="Frame154"/>
                      <a:graphic xmlns:a="http://schemas.openxmlformats.org/drawingml/2006/main">
                        <a:graphicData uri="http://schemas.microsoft.com/office/word/2010/wordprocessingShape">
                          <wps:wsp>
                            <wps:cNvSpPr txBox="1"/>
                            <wps:spPr>
                              <a:xfrm>
                                <a:off x="0" y="0"/>
                                <a:ext cx="1734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57860" cy="175260"/>
                      <wp:effectExtent l="0" t="0" r="0" b="0"/>
                      <wp:wrapNone/>
                      <wp:docPr id="156" name="Frame156"/>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57810" cy="175260"/>
                      <wp:effectExtent l="0" t="0" r="0" b="0"/>
                      <wp:wrapNone/>
                      <wp:docPr id="157" name="Frame157"/>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791210" cy="175260"/>
                      <wp:effectExtent l="0" t="0" r="0" b="0"/>
                      <wp:wrapNone/>
                      <wp:docPr id="158" name="Frame158"/>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0185" cy="175260"/>
                      <wp:effectExtent l="0" t="0" r="0" b="0"/>
                      <wp:wrapNone/>
                      <wp:docPr id="159" name="Frame159"/>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01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As of</w:t>
            </w:r>
          </w:p>
        </w:tc>
      </w:tr>
      <w:tr>
        <w:trPr/>
        <w:tc>
          <w:tcPr>
            <w:tcW w:w="2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406"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31" w:type="dxa"/>
            <w:tcBorders/>
            <w:shd w:fill="auto" w:val="clear"/>
            <w:vAlign w:val="center"/>
          </w:tcPr>
          <w:p>
            <w:pPr>
              <w:pStyle w:val="TableContents"/>
              <w:spacing w:before="0" w:after="0"/>
              <w:ind w:left="0" w:right="0" w:hanging="0"/>
              <w:rPr/>
            </w:pPr>
            <w:r>
              <w:rPr/>
              <w:t>​</w:t>
            </w:r>
          </w:p>
        </w:tc>
      </w:tr>
      <w:tr>
        <w:trPr/>
        <w:tc>
          <w:tcPr>
            <w:tcW w:w="2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shd w:fill="auto" w:val="clear"/>
            <w:vAlign w:val="center"/>
          </w:tcPr>
          <w:p>
            <w:pPr>
              <w:pStyle w:val="TableContents"/>
              <w:spacing w:before="0" w:after="0"/>
              <w:ind w:left="0" w:right="0" w:hanging="0"/>
              <w:rPr/>
            </w:pPr>
            <w:r>
              <w:rPr/>
              <w:t>    </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shd w:fill="auto" w:val="clear"/>
            <w:vAlign w:val="center"/>
          </w:tcPr>
          <w:p>
            <w:pPr>
              <w:pStyle w:val="TableContents"/>
              <w:spacing w:before="0" w:after="0"/>
              <w:ind w:left="0" w:right="0" w:hanging="0"/>
              <w:rPr/>
            </w:pPr>
            <w:r>
              <w:rPr/>
              <w:t>​</w:t>
            </w:r>
          </w:p>
        </w:tc>
      </w:tr>
      <w:tr>
        <w:trPr/>
        <w:tc>
          <w:tcPr>
            <w:tcW w:w="27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Dividend yield</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0.00</w:t>
            </w:r>
          </w:p>
        </w:tc>
        <w:tc>
          <w:tcPr>
            <w:tcW w:w="4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124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0.00</w:t>
            </w:r>
          </w:p>
        </w:tc>
        <w:tc>
          <w:tcPr>
            <w:tcW w:w="3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27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Expected volatility</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76.32</w:t>
            </w:r>
          </w:p>
        </w:tc>
        <w:tc>
          <w:tcPr>
            <w:tcW w:w="4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124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72.57 - 77.08</w:t>
            </w:r>
          </w:p>
        </w:tc>
        <w:tc>
          <w:tcPr>
            <w:tcW w:w="3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27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Risk-free interest rate</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3.55 - 3.63</w:t>
            </w:r>
          </w:p>
        </w:tc>
        <w:tc>
          <w:tcPr>
            <w:tcW w:w="4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124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1.99 - 4.05</w:t>
            </w:r>
          </w:p>
        </w:tc>
        <w:tc>
          <w:tcPr>
            <w:tcW w:w="3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27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Lack of marketability discount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0.00</w:t>
            </w:r>
          </w:p>
        </w:tc>
        <w:tc>
          <w:tcPr>
            <w:tcW w:w="4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124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0.00</w:t>
            </w:r>
          </w:p>
        </w:tc>
        <w:tc>
          <w:tcPr>
            <w:tcW w:w="3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27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Expected term (years)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2.9 - 6.3</w:t>
            </w:r>
          </w:p>
        </w:tc>
        <w:tc>
          <w:tcPr>
            <w:tcW w:w="406" w:type="dxa"/>
            <w:tcBorders/>
            <w:shd w:fill="CCEEFF" w:val="clear"/>
            <w:vAlign w:val="center"/>
          </w:tcPr>
          <w:p>
            <w:pPr>
              <w:pStyle w:val="TableContents"/>
              <w:spacing w:before="0" w:after="0"/>
              <w:ind w:left="0" w:right="0" w:hanging="0"/>
              <w:rPr/>
            </w:pPr>
            <w:r>
              <w:rPr/>
              <w:t> </w:t>
            </w:r>
          </w:p>
        </w:tc>
        <w:tc>
          <w:tcPr>
            <w:tcW w:w="124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3.1 - 6.3</w:t>
            </w:r>
          </w:p>
        </w:tc>
        <w:tc>
          <w:tcPr>
            <w:tcW w:w="331" w:type="dxa"/>
            <w:tcBorders/>
            <w:shd w:fill="CCEEFF"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Value of RSUs</w:t>
      </w:r>
    </w:p>
    <w:p>
      <w:pPr>
        <w:pStyle w:val="TextBody"/>
        <w:spacing w:before="0" w:after="240"/>
        <w:ind w:left="0" w:right="0" w:firstLine="720"/>
        <w:rPr>
          <w:rFonts w:ascii="Arial;Helvetica;sans-serif" w:hAnsi="Arial;Helvetica;sans-serif"/>
          <w:sz w:val="20"/>
        </w:rPr>
      </w:pPr>
      <w:r>
        <w:rPr>
          <w:rFonts w:ascii="Arial;Helvetica;sans-serif" w:hAnsi="Arial;Helvetica;sans-serif"/>
          <w:sz w:val="20"/>
        </w:rPr>
        <w:t>The fair value of RSUs is equal to the value of the Company’s common stock on the grant date.</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The weighted average per share fair value of awards issued under the 2017 Plan and 2020 Plan was $19.83 and $18.88 on March 31, 2023 and December 31, 2022, respectively.</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Stock-Based Compensation Expense</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sz w:val="20"/>
        </w:rPr>
        <w:t>Stock-based compensation expense, net for the three months ended March 31, 2023 and 2022, was recorded in the unaudited condensed consolidated statements of operations and comprehensive income in the following line items:</w:t>
      </w:r>
    </w:p>
    <w:p>
      <w:pPr>
        <w:pStyle w:val="TextBody"/>
        <w:spacing w:before="0" w:after="240"/>
        <w:ind w:left="0" w:right="0" w:firstLine="720"/>
        <w:rPr/>
      </w:pPr>
      <w:r>
        <w:rPr/>
        <w:t>​</w:t>
      </w:r>
    </w:p>
    <w:tbl>
      <w:tblPr>
        <w:tblW w:w="6252" w:type="dxa"/>
        <w:jc w:val="left"/>
        <w:tblInd w:w="0" w:type="dxa"/>
        <w:tblCellMar>
          <w:top w:w="0" w:type="dxa"/>
          <w:left w:w="0" w:type="dxa"/>
          <w:bottom w:w="0" w:type="dxa"/>
          <w:right w:w="0" w:type="dxa"/>
        </w:tblCellMar>
      </w:tblPr>
      <w:tblGrid>
        <w:gridCol w:w="3286"/>
        <w:gridCol w:w="326"/>
        <w:gridCol w:w="275"/>
        <w:gridCol w:w="764"/>
        <w:gridCol w:w="425"/>
        <w:gridCol w:w="275"/>
        <w:gridCol w:w="901"/>
      </w:tblGrid>
      <w:tr>
        <w:trPr/>
        <w:tc>
          <w:tcPr>
            <w:tcW w:w="32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64" w:type="dxa"/>
            <w:tcBorders/>
            <w:shd w:fill="auto" w:val="clear"/>
            <w:vAlign w:val="center"/>
          </w:tcPr>
          <w:p>
            <w:pPr>
              <w:pStyle w:val="TableContents"/>
              <w:spacing w:before="0" w:after="0"/>
              <w:ind w:left="0" w:right="0" w:hanging="0"/>
              <w:rPr/>
            </w:pPr>
            <w:r>
              <w:rPr/>
              <w:t>​</w:t>
            </w:r>
          </w:p>
        </w:tc>
        <w:tc>
          <w:tcPr>
            <w:tcW w:w="425"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r>
              <w:rPr/>
              <w:t>​</w:t>
            </w:r>
          </w:p>
        </w:tc>
      </w:tr>
      <w:tr>
        <w:trPr/>
        <w:tc>
          <w:tcPr>
            <w:tcW w:w="32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6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32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3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25" w:type="dxa"/>
            <w:tcBorders/>
            <w:shd w:fill="auto" w:val="clear"/>
            <w:vAlign w:val="center"/>
          </w:tcPr>
          <w:p>
            <w:pPr>
              <w:pStyle w:val="TableContents"/>
              <w:spacing w:before="0" w:after="0"/>
              <w:ind w:left="0" w:right="0" w:hanging="0"/>
              <w:jc w:val="center"/>
              <w:rPr/>
            </w:pPr>
            <w:r>
              <w:rPr/>
              <w:t>    </w:t>
            </w:r>
          </w:p>
        </w:tc>
        <w:tc>
          <w:tcPr>
            <w:tcW w:w="117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28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Research and development expense</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64"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976</w:t>
            </w:r>
          </w:p>
        </w:tc>
        <w:tc>
          <w:tcPr>
            <w:tcW w:w="425"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518</w:t>
            </w:r>
          </w:p>
        </w:tc>
      </w:tr>
      <w:tr>
        <w:trPr/>
        <w:tc>
          <w:tcPr>
            <w:tcW w:w="328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Sales and marketing expense</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 </w:t>
            </w:r>
          </w:p>
        </w:tc>
        <w:tc>
          <w:tcPr>
            <w:tcW w:w="764"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1,073</w:t>
            </w:r>
          </w:p>
        </w:tc>
        <w:tc>
          <w:tcPr>
            <w:tcW w:w="425"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976</w:t>
            </w:r>
          </w:p>
        </w:tc>
      </w:tr>
      <w:tr>
        <w:trPr/>
        <w:tc>
          <w:tcPr>
            <w:tcW w:w="328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General and administrative expense</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6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4,512</w:t>
            </w:r>
          </w:p>
        </w:tc>
        <w:tc>
          <w:tcPr>
            <w:tcW w:w="425"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3,402</w:t>
            </w:r>
          </w:p>
        </w:tc>
      </w:tr>
      <w:tr>
        <w:trPr/>
        <w:tc>
          <w:tcPr>
            <w:tcW w:w="32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6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6,561</w:t>
            </w:r>
          </w:p>
        </w:tc>
        <w:tc>
          <w:tcPr>
            <w:tcW w:w="425"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Arial;Helvetica;sans-serif" w:hAnsi="Arial;Helvetica;sans-serif"/>
                <w:sz w:val="20"/>
              </w:rPr>
            </w:pPr>
            <w:r>
              <w:rPr>
                <w:rFonts w:ascii="Arial;Helvetica;sans-serif" w:hAnsi="Arial;Helvetica;sans-serif"/>
                <w:sz w:val="20"/>
              </w:rPr>
              <w:t>4,896</w:t>
            </w:r>
          </w:p>
        </w:tc>
      </w:tr>
    </w:tbl>
    <w:p>
      <w:pPr>
        <w:pStyle w:val="TextBody"/>
        <w:spacing w:before="0" w:after="0"/>
        <w:ind w:left="0" w:right="0" w:hanging="0"/>
        <w:rPr/>
      </w:pPr>
      <w:r>
        <w:rPr/>
        <w:t>​</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sz w:val="20"/>
        </w:rPr>
        <w:t xml:space="preserve">Stock-based compensation expense, net related to options and RSUs issued under the 2017 Plan and 2020 Plan is included in stockholder’s equity, and a liability for SARs is included in other non-current liabilities, in the Company’s unaudited condensed consolidated balance sheet. As of March 31, 2023, the total unrecognized stock-based compensation expense related to options and RSUs was $77,333. Such amount will be recognized in the Company’s consolidated statement of operations over a weighted average period of 2.8 years. </w:t>
      </w:r>
    </w:p>
    <w:p>
      <w:pPr>
        <w:pStyle w:val="TextBody"/>
        <w:spacing w:before="0" w:after="240"/>
        <w:ind w:left="0" w:right="0" w:firstLine="720"/>
        <w:jc w:val="both"/>
        <w:rPr/>
      </w:pPr>
      <w:r>
        <w:rPr/>
        <w:t>​</w:t>
      </w:r>
    </w:p>
    <w:p>
      <w:pPr>
        <w:pStyle w:val="TextBody"/>
        <w:spacing w:before="0" w:after="240"/>
        <w:ind w:left="72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Employee Stock Purchase Plan</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The 2020 Employee Stock Purchase Plan (“ESPP”) was adopted by the Company’s Board of Directors on April 30,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will automatically increase on January 1 of each year in an amount equal to the lesser of (i) 1.0% of the shares of the Company’s common stock outstanding on December 31 of the preceding year or (ii) an amount determined by the Company’s board of directors. It is intended that the ESPP meet the requirements for an “employee stock purchase plan” under Section 423 of the Internal Revenue Code. There were no shares issued under the ESPP for each of the three months ended March 31, 2023 and 2022. The discount on the ESPP was $105 and $94 for the three months ended March 31, 2023 and 2022, respectively, and is recorded within stock-based compensation expense.</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sz w:val="20"/>
        </w:rPr>
      </w:pPr>
      <w:bookmarkStart w:id="838" w:name="Tc_o2DvXtoUYUes43mbCzaUGg_3_0"/>
      <w:bookmarkStart w:id="839" w:name="Tc_jrjHqgveW0idgLMouE3IXw_2_5"/>
      <w:bookmarkStart w:id="840" w:name="Tc_xbcgd1k3lEeAna9kW1bEVg_2_2"/>
      <w:bookmarkStart w:id="841" w:name="Tc__VtMa_0ezUie5R8diOd6Qw_1_2"/>
      <w:bookmarkStart w:id="842" w:name="_dc142a7c_8c9e_4b5e_9c6c_ec1ff767432b"/>
      <w:bookmarkStart w:id="843" w:name="Tc_JYszyWBWGkSV5a8IjaUNjA_3_0"/>
      <w:bookmarkStart w:id="844" w:name="Tc_pNRhtWsQxEuNaVX4awd5Pw_2_5"/>
      <w:bookmarkStart w:id="845" w:name="Tc_7hWjs9AngUmJR_uX-mLKtg_2_2"/>
      <w:bookmarkStart w:id="846" w:name="Tc_KNEw3Tkl10aCzmKEi2yPxQ_1_2"/>
      <w:bookmarkStart w:id="847" w:name="_8376b217_ea6a_4d29_a076_3e52e6d0b46b"/>
      <w:bookmarkStart w:id="848" w:name="Tc_5e8O-I9ZKkuVQEPpA-RWlw_9_0"/>
      <w:bookmarkStart w:id="849" w:name="Tc_n2R3pNfh00ydT8OWGnsFyw_8_0"/>
      <w:bookmarkStart w:id="850" w:name="Tc_u8A-v0AYxE2OmQSU6CS-1A_7_5"/>
      <w:bookmarkStart w:id="851" w:name="Tc_w6bTxJkbFUqWV2S1uB030w_7_2"/>
      <w:bookmarkStart w:id="852" w:name="Tc_u_deOMsnkka01l4HjQ1VgQ_7_0"/>
      <w:bookmarkStart w:id="853" w:name="Tc_-t50jLUOhk2HmbPpvG7FOA_6_5"/>
      <w:bookmarkStart w:id="854" w:name="Tc_C521Pvle_ESFwWxx3Yo5Tw_6_2"/>
      <w:bookmarkStart w:id="855" w:name="Tc_kjoKywI83kSUFw2f-Kpdkg_6_0"/>
      <w:bookmarkStart w:id="856" w:name="Tc_R735HUmTTkui1goCVHmT7g_5_0"/>
      <w:bookmarkStart w:id="857" w:name="Tc_GJ6jwTXXCEmy21dpcYRhaQ_4_5"/>
      <w:bookmarkStart w:id="858" w:name="Tc_qYJlqDIizkqF6Hkl1BByVQ_4_2"/>
      <w:bookmarkStart w:id="859" w:name="Tc_-2bAliOHF0qWQAzAuh9_Cw_4_0"/>
      <w:bookmarkStart w:id="860" w:name="Tc_W0J49BXLck2ApuWxxLbc2A_3_0"/>
      <w:bookmarkStart w:id="861" w:name="Tc_AjAQHQfOXECEk52m_gw6jQ_2_5"/>
      <w:bookmarkStart w:id="862" w:name="Tc_dFR9oahR_UWFX_h3zXLu0A_2_2"/>
      <w:bookmarkStart w:id="863" w:name="Tc_iCJDd11nEkOxbh5FT-AqRg_1_2"/>
      <w:bookmarkStart w:id="864" w:name="_b7d39f79_3556_485e_8175_0e97e5bb0c50"/>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r>
        <w:rPr>
          <w:rFonts w:ascii="Arial;Helvetica;sans-serif" w:hAnsi="Arial;Helvetica;sans-serif"/>
          <w:b/>
          <w:sz w:val="20"/>
        </w:rPr>
        <w:t>15. EARNINGS PER SHARE</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Basic earnings per share is calculated by dividing net income by the weighted average number of shares of common stock outstanding. Diluted net income per common share is computed under the treasury stock method by using the weighted average number of shares of common stock outstanding, plus, for periods with net income, the potential dilutive effects of stock options, stock appreciation rights and restricted stock units.</w:t>
      </w:r>
    </w:p>
    <w:p>
      <w:pPr>
        <w:pStyle w:val="TextBody"/>
        <w:spacing w:before="0" w:after="0"/>
        <w:ind w:left="0" w:right="0" w:firstLine="720"/>
        <w:rPr>
          <w:rFonts w:ascii="Arial;Helvetica;sans-serif" w:hAnsi="Arial;Helvetica;sans-serif"/>
          <w:sz w:val="20"/>
        </w:rPr>
      </w:pPr>
      <w:r>
        <w:rPr>
          <w:rFonts w:ascii="Arial;Helvetica;sans-serif" w:hAnsi="Arial;Helvetica;sans-serif"/>
          <w:sz w:val="20"/>
        </w:rPr>
        <w:t>The following table sets forth the computation of basic and diluted net income per share:</w:t>
      </w:r>
    </w:p>
    <w:p>
      <w:pPr>
        <w:pStyle w:val="TextBody"/>
        <w:spacing w:before="0" w:after="240"/>
        <w:ind w:left="0" w:right="0" w:firstLine="720"/>
        <w:rPr/>
      </w:pPr>
      <w:r>
        <w:rPr/>
        <w:t>​</w:t>
      </w:r>
    </w:p>
    <w:tbl>
      <w:tblPr>
        <w:tblW w:w="8892" w:type="dxa"/>
        <w:jc w:val="left"/>
        <w:tblInd w:w="0" w:type="dxa"/>
        <w:tblCellMar>
          <w:top w:w="0" w:type="dxa"/>
          <w:left w:w="0" w:type="dxa"/>
          <w:bottom w:w="0" w:type="dxa"/>
          <w:right w:w="0" w:type="dxa"/>
        </w:tblCellMar>
      </w:tblPr>
      <w:tblGrid>
        <w:gridCol w:w="5581"/>
        <w:gridCol w:w="326"/>
        <w:gridCol w:w="211"/>
        <w:gridCol w:w="1066"/>
        <w:gridCol w:w="326"/>
        <w:gridCol w:w="211"/>
        <w:gridCol w:w="1171"/>
      </w:tblGrid>
      <w:tr>
        <w:trPr/>
        <w:tc>
          <w:tcPr>
            <w:tcW w:w="55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71" w:type="dxa"/>
            <w:tcBorders/>
            <w:shd w:fill="auto" w:val="clear"/>
            <w:vAlign w:val="center"/>
          </w:tcPr>
          <w:p>
            <w:pPr>
              <w:pStyle w:val="TableContents"/>
              <w:spacing w:before="0" w:after="0"/>
              <w:ind w:left="0" w:right="0" w:hanging="0"/>
              <w:rPr/>
            </w:pPr>
            <w:r>
              <w:rPr/>
              <w:t>​</w:t>
            </w:r>
          </w:p>
        </w:tc>
      </w:tr>
      <w:tr>
        <w:trPr/>
        <w:tc>
          <w:tcPr>
            <w:tcW w:w="55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8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55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7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shd w:fill="auto" w:val="clear"/>
            <w:vAlign w:val="center"/>
          </w:tcPr>
          <w:p>
            <w:pPr>
              <w:pStyle w:val="TableContents"/>
              <w:spacing w:before="0" w:after="0"/>
              <w:ind w:left="0" w:right="0" w:hanging="0"/>
              <w:rPr/>
            </w:pPr>
            <w:r>
              <w:rPr/>
              <w:t>    </w:t>
            </w:r>
          </w:p>
        </w:tc>
        <w:tc>
          <w:tcPr>
            <w:tcW w:w="13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558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Numerator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171" w:type="dxa"/>
            <w:tcBorders/>
            <w:shd w:fill="CCEEFF" w:val="clear"/>
            <w:vAlign w:val="center"/>
          </w:tcPr>
          <w:p>
            <w:pPr>
              <w:pStyle w:val="TableContents"/>
              <w:spacing w:before="0" w:after="0"/>
              <w:ind w:left="0" w:right="0" w:hanging="0"/>
              <w:jc w:val="right"/>
              <w:rPr/>
            </w:pPr>
            <w:r>
              <w:rPr/>
              <w:t>  </w:t>
            </w:r>
          </w:p>
        </w:tc>
      </w:tr>
      <w:tr>
        <w:trPr/>
        <w:tc>
          <w:tcPr>
            <w:tcW w:w="558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xml:space="preserve">Net income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29,485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17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21,485</w:t>
            </w:r>
          </w:p>
        </w:tc>
      </w:tr>
      <w:tr>
        <w:trPr/>
        <w:tc>
          <w:tcPr>
            <w:tcW w:w="558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Denominator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71" w:type="dxa"/>
            <w:tcBorders/>
            <w:shd w:fill="CCEEFF" w:val="clear"/>
            <w:vAlign w:val="center"/>
          </w:tcPr>
          <w:p>
            <w:pPr>
              <w:pStyle w:val="TableContents"/>
              <w:spacing w:before="0" w:after="0"/>
              <w:ind w:left="0" w:right="0" w:hanging="0"/>
              <w:jc w:val="right"/>
              <w:rPr/>
            </w:pPr>
            <w:r>
              <w:rPr/>
              <w:t>  </w:t>
            </w:r>
          </w:p>
        </w:tc>
      </w:tr>
      <w:tr>
        <w:trPr/>
        <w:tc>
          <w:tcPr>
            <w:tcW w:w="558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Net income per common share - basic</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0.49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17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0.36</w:t>
            </w:r>
          </w:p>
        </w:tc>
      </w:tr>
      <w:tr>
        <w:trPr/>
        <w:tc>
          <w:tcPr>
            <w:tcW w:w="558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Net income per common share - diluted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0.48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17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0.35</w:t>
            </w:r>
          </w:p>
        </w:tc>
      </w:tr>
      <w:tr>
        <w:trPr/>
        <w:tc>
          <w:tcPr>
            <w:tcW w:w="558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Weighted average number of shares of common stock - basic</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59,732,157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7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58,908,526</w:t>
            </w:r>
          </w:p>
        </w:tc>
      </w:tr>
      <w:tr>
        <w:trPr/>
        <w:tc>
          <w:tcPr>
            <w:tcW w:w="558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Weighted average number of shares of common stock - diluted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61,221,511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71" w:type="dxa"/>
            <w:tcBorders/>
            <w:shd w:fill="CCEEFF" w:val="clear"/>
            <w:vAlign w:val="center"/>
          </w:tcPr>
          <w:p>
            <w:pPr>
              <w:pStyle w:val="TableContents"/>
              <w:spacing w:before="0" w:after="0"/>
              <w:ind w:left="0" w:right="60" w:hanging="0"/>
              <w:jc w:val="right"/>
              <w:rPr>
                <w:rFonts w:ascii="Arial;Helvetica;sans-serif" w:hAnsi="Arial;Helvetica;sans-serif"/>
                <w:sz w:val="20"/>
              </w:rPr>
            </w:pPr>
            <w:r>
              <w:rPr>
                <w:rFonts w:ascii="Arial;Helvetica;sans-serif" w:hAnsi="Arial;Helvetica;sans-serif"/>
                <w:sz w:val="20"/>
              </w:rPr>
              <w:t>60,586,875</w:t>
            </w:r>
          </w:p>
        </w:tc>
      </w:tr>
    </w:tbl>
    <w:p>
      <w:pPr>
        <w:pStyle w:val="TextBody"/>
        <w:spacing w:before="0" w:after="0"/>
        <w:ind w:left="0" w:right="0" w:hanging="0"/>
        <w:rPr/>
      </w:pPr>
      <w:r>
        <w:rPr/>
        <w:t>​</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sz w:val="20"/>
        </w:rPr>
        <w:t>Securities outstanding that were included in the computation above, utilizing the treasury stock method are as follows:</w:t>
      </w:r>
    </w:p>
    <w:p>
      <w:pPr>
        <w:pStyle w:val="TextBody"/>
        <w:spacing w:before="0" w:after="240"/>
        <w:ind w:left="0" w:right="0" w:firstLine="720"/>
        <w:rPr/>
      </w:pPr>
      <w:r>
        <w:rPr/>
        <w:t>​</w:t>
      </w:r>
    </w:p>
    <w:tbl>
      <w:tblPr>
        <w:tblW w:w="8350" w:type="dxa"/>
        <w:jc w:val="left"/>
        <w:tblInd w:w="0" w:type="dxa"/>
        <w:tblCellMar>
          <w:top w:w="0" w:type="dxa"/>
          <w:left w:w="0" w:type="dxa"/>
          <w:bottom w:w="0" w:type="dxa"/>
          <w:right w:w="0" w:type="dxa"/>
        </w:tblCellMar>
      </w:tblPr>
      <w:tblGrid>
        <w:gridCol w:w="5386"/>
        <w:gridCol w:w="326"/>
        <w:gridCol w:w="111"/>
        <w:gridCol w:w="987"/>
        <w:gridCol w:w="334"/>
        <w:gridCol w:w="111"/>
        <w:gridCol w:w="1095"/>
      </w:tblGrid>
      <w:tr>
        <w:trPr/>
        <w:tc>
          <w:tcPr>
            <w:tcW w:w="5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420110" cy="175260"/>
                      <wp:effectExtent l="0" t="0" r="0" b="0"/>
                      <wp:wrapNone/>
                      <wp:docPr id="160" name="Frame160"/>
                      <a:graphic xmlns:a="http://schemas.openxmlformats.org/drawingml/2006/main">
                        <a:graphicData uri="http://schemas.microsoft.com/office/word/2010/wordprocessingShape">
                          <wps:wsp>
                            <wps:cNvSpPr txBox="1"/>
                            <wps:spPr>
                              <a:xfrm>
                                <a:off x="0" y="0"/>
                                <a:ext cx="3420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70485" cy="175260"/>
                      <wp:effectExtent l="0" t="0" r="0" b="0"/>
                      <wp:wrapNone/>
                      <wp:docPr id="162" name="Frame162"/>
                      <a:graphic xmlns:a="http://schemas.openxmlformats.org/drawingml/2006/main">
                        <a:graphicData uri="http://schemas.microsoft.com/office/word/2010/wordprocessingShape">
                          <wps:wsp>
                            <wps:cNvSpPr txBox="1"/>
                            <wps:spPr>
                              <a:xfrm>
                                <a:off x="0" y="0"/>
                                <a:ext cx="70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26745" cy="175260"/>
                      <wp:effectExtent l="0" t="0" r="0" b="0"/>
                      <wp:wrapNone/>
                      <wp:docPr id="163" name="Frame163"/>
                      <a:graphic xmlns:a="http://schemas.openxmlformats.org/drawingml/2006/main">
                        <a:graphicData uri="http://schemas.microsoft.com/office/word/2010/wordprocessingShape">
                          <wps:wsp>
                            <wps:cNvSpPr txBox="1"/>
                            <wps:spPr>
                              <a:xfrm>
                                <a:off x="0" y="0"/>
                                <a:ext cx="6267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2090" cy="175260"/>
                      <wp:effectExtent l="0" t="0" r="0" b="0"/>
                      <wp:wrapNone/>
                      <wp:docPr id="164" name="Frame164"/>
                      <a:graphic xmlns:a="http://schemas.openxmlformats.org/drawingml/2006/main">
                        <a:graphicData uri="http://schemas.microsoft.com/office/word/2010/wordprocessingShape">
                          <wps:wsp>
                            <wps:cNvSpPr txBox="1"/>
                            <wps:spPr>
                              <a:xfrm>
                                <a:off x="0" y="0"/>
                                <a:ext cx="2120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0485" cy="175260"/>
                      <wp:effectExtent l="0" t="0" r="0" b="0"/>
                      <wp:wrapNone/>
                      <wp:docPr id="165" name="Frame165"/>
                      <a:graphic xmlns:a="http://schemas.openxmlformats.org/drawingml/2006/main">
                        <a:graphicData uri="http://schemas.microsoft.com/office/word/2010/wordprocessingShape">
                          <wps:wsp>
                            <wps:cNvSpPr txBox="1"/>
                            <wps:spPr>
                              <a:xfrm>
                                <a:off x="0" y="0"/>
                                <a:ext cx="70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5325" cy="175260"/>
                      <wp:effectExtent l="0" t="0" r="0" b="0"/>
                      <wp:wrapNone/>
                      <wp:docPr id="166" name="Frame166"/>
                      <a:graphic xmlns:a="http://schemas.openxmlformats.org/drawingml/2006/main">
                        <a:graphicData uri="http://schemas.microsoft.com/office/word/2010/wordprocessingShape">
                          <wps:wsp>
                            <wps:cNvSpPr txBox="1"/>
                            <wps:spPr>
                              <a:xfrm>
                                <a:off x="0" y="0"/>
                                <a:ext cx="6953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3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3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53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9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34" w:type="dxa"/>
            <w:tcBorders/>
            <w:shd w:fill="auto" w:val="clear"/>
            <w:vAlign w:val="center"/>
          </w:tcPr>
          <w:p>
            <w:pPr>
              <w:pStyle w:val="TableContents"/>
              <w:spacing w:before="0" w:after="0"/>
              <w:ind w:left="0" w:right="0" w:hanging="0"/>
              <w:rPr/>
            </w:pPr>
            <w:r>
              <w:rPr/>
              <w:t>    </w:t>
            </w:r>
          </w:p>
        </w:tc>
        <w:tc>
          <w:tcPr>
            <w:tcW w:w="12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538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Stock options, SARs, and RSUs to purchase common stock</w:t>
            </w:r>
          </w:p>
        </w:tc>
        <w:tc>
          <w:tcPr>
            <w:tcW w:w="326" w:type="dxa"/>
            <w:tcBorders/>
            <w:shd w:fill="CCEEFF" w:val="clear"/>
            <w:vAlign w:val="center"/>
          </w:tcPr>
          <w:p>
            <w:pPr>
              <w:pStyle w:val="TableContents"/>
              <w:spacing w:before="0" w:after="0"/>
              <w:ind w:left="0" w:right="0" w:hanging="0"/>
              <w:rPr/>
            </w:pPr>
            <w:r>
              <w:rPr/>
              <w:t>​</w:t>
            </w:r>
          </w:p>
        </w:tc>
        <w:tc>
          <w:tcPr>
            <w:tcW w:w="111" w:type="dxa"/>
            <w:tcBorders/>
            <w:shd w:fill="CCEEFF" w:val="clear"/>
            <w:vAlign w:val="center"/>
          </w:tcPr>
          <w:p>
            <w:pPr>
              <w:pStyle w:val="TableContents"/>
              <w:spacing w:before="0" w:after="0"/>
              <w:ind w:left="0" w:right="0" w:hanging="0"/>
              <w:rPr/>
            </w:pPr>
            <w:r>
              <w:rPr/>
              <w:t>​</w:t>
            </w:r>
          </w:p>
        </w:tc>
        <w:tc>
          <w:tcPr>
            <w:tcW w:w="987"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1,489,354</w:t>
            </w:r>
          </w:p>
        </w:tc>
        <w:tc>
          <w:tcPr>
            <w:tcW w:w="334" w:type="dxa"/>
            <w:tcBorders/>
            <w:shd w:fill="CCEEFF" w:val="clear"/>
            <w:vAlign w:val="center"/>
          </w:tcPr>
          <w:p>
            <w:pPr>
              <w:pStyle w:val="TableContents"/>
              <w:spacing w:before="0" w:after="0"/>
              <w:ind w:left="0" w:right="0" w:hanging="0"/>
              <w:rPr/>
            </w:pPr>
            <w:r>
              <w:rPr/>
              <w:t>​</w:t>
            </w:r>
          </w:p>
        </w:tc>
        <w:tc>
          <w:tcPr>
            <w:tcW w:w="111" w:type="dxa"/>
            <w:tcBorders/>
            <w:shd w:fill="CCEEFF" w:val="clear"/>
            <w:vAlign w:val="center"/>
          </w:tcPr>
          <w:p>
            <w:pPr>
              <w:pStyle w:val="TableContents"/>
              <w:spacing w:before="0" w:after="0"/>
              <w:ind w:left="0" w:right="0" w:hanging="0"/>
              <w:rPr/>
            </w:pPr>
            <w:r>
              <w:rPr/>
              <w:t>​</w:t>
            </w:r>
          </w:p>
        </w:tc>
        <w:tc>
          <w:tcPr>
            <w:tcW w:w="1095" w:type="dxa"/>
            <w:tcBorders/>
            <w:shd w:fill="CCEEFF" w:val="clear"/>
            <w:vAlign w:val="center"/>
          </w:tcPr>
          <w:p>
            <w:pPr>
              <w:pStyle w:val="TableContents"/>
              <w:spacing w:before="0" w:after="0"/>
              <w:ind w:left="0" w:right="60" w:hanging="0"/>
              <w:jc w:val="right"/>
              <w:rPr>
                <w:rFonts w:ascii="Arial;Helvetica;sans-serif" w:hAnsi="Arial;Helvetica;sans-serif"/>
                <w:sz w:val="20"/>
              </w:rPr>
            </w:pPr>
            <w:r>
              <w:rPr>
                <w:rFonts w:ascii="Arial;Helvetica;sans-serif" w:hAnsi="Arial;Helvetica;sans-serif"/>
                <w:sz w:val="20"/>
              </w:rPr>
              <w:t>1,678,349</w:t>
            </w:r>
          </w:p>
        </w:tc>
      </w:tr>
    </w:tbl>
    <w:p>
      <w:pPr>
        <w:pStyle w:val="TextBody"/>
        <w:spacing w:before="0" w:after="0"/>
        <w:ind w:left="0" w:right="0" w:hanging="0"/>
        <w:rPr/>
      </w:pPr>
      <w:r>
        <w:rPr/>
        <w:t>​</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sz w:val="20"/>
        </w:rPr>
        <w:t>Potential shares of common stock issuable that were excluded from the computation of diluted weighted-average shares outstanding excluded from the numerator, are as follows:</w:t>
      </w:r>
    </w:p>
    <w:p>
      <w:pPr>
        <w:pStyle w:val="TextBody"/>
        <w:spacing w:before="0" w:after="240"/>
        <w:ind w:left="0" w:right="0" w:firstLine="720"/>
        <w:rPr/>
      </w:pPr>
      <w:r>
        <w:rPr/>
        <w:t>​</w:t>
      </w:r>
    </w:p>
    <w:tbl>
      <w:tblPr>
        <w:tblW w:w="8350" w:type="dxa"/>
        <w:jc w:val="left"/>
        <w:tblInd w:w="0" w:type="dxa"/>
        <w:tblCellMar>
          <w:top w:w="0" w:type="dxa"/>
          <w:left w:w="0" w:type="dxa"/>
          <w:bottom w:w="0" w:type="dxa"/>
          <w:right w:w="0" w:type="dxa"/>
        </w:tblCellMar>
      </w:tblPr>
      <w:tblGrid>
        <w:gridCol w:w="5386"/>
        <w:gridCol w:w="326"/>
        <w:gridCol w:w="111"/>
        <w:gridCol w:w="987"/>
        <w:gridCol w:w="334"/>
        <w:gridCol w:w="111"/>
        <w:gridCol w:w="1095"/>
      </w:tblGrid>
      <w:tr>
        <w:trPr/>
        <w:tc>
          <w:tcPr>
            <w:tcW w:w="5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420110" cy="175260"/>
                      <wp:effectExtent l="0" t="0" r="0" b="0"/>
                      <wp:wrapNone/>
                      <wp:docPr id="167" name="Frame167"/>
                      <a:graphic xmlns:a="http://schemas.openxmlformats.org/drawingml/2006/main">
                        <a:graphicData uri="http://schemas.microsoft.com/office/word/2010/wordprocessingShape">
                          <wps:wsp>
                            <wps:cNvSpPr txBox="1"/>
                            <wps:spPr>
                              <a:xfrm>
                                <a:off x="0" y="0"/>
                                <a:ext cx="3420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70485" cy="175260"/>
                      <wp:effectExtent l="0" t="0" r="0" b="0"/>
                      <wp:wrapNone/>
                      <wp:docPr id="169" name="Frame169"/>
                      <a:graphic xmlns:a="http://schemas.openxmlformats.org/drawingml/2006/main">
                        <a:graphicData uri="http://schemas.microsoft.com/office/word/2010/wordprocessingShape">
                          <wps:wsp>
                            <wps:cNvSpPr txBox="1"/>
                            <wps:spPr>
                              <a:xfrm>
                                <a:off x="0" y="0"/>
                                <a:ext cx="70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26745" cy="175260"/>
                      <wp:effectExtent l="0" t="0" r="0" b="0"/>
                      <wp:wrapNone/>
                      <wp:docPr id="170" name="Frame170"/>
                      <a:graphic xmlns:a="http://schemas.openxmlformats.org/drawingml/2006/main">
                        <a:graphicData uri="http://schemas.microsoft.com/office/word/2010/wordprocessingShape">
                          <wps:wsp>
                            <wps:cNvSpPr txBox="1"/>
                            <wps:spPr>
                              <a:xfrm>
                                <a:off x="0" y="0"/>
                                <a:ext cx="6267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2090" cy="175260"/>
                      <wp:effectExtent l="0" t="0" r="0" b="0"/>
                      <wp:wrapNone/>
                      <wp:docPr id="171" name="Frame171"/>
                      <a:graphic xmlns:a="http://schemas.openxmlformats.org/drawingml/2006/main">
                        <a:graphicData uri="http://schemas.microsoft.com/office/word/2010/wordprocessingShape">
                          <wps:wsp>
                            <wps:cNvSpPr txBox="1"/>
                            <wps:spPr>
                              <a:xfrm>
                                <a:off x="0" y="0"/>
                                <a:ext cx="2120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70485" cy="175260"/>
                      <wp:effectExtent l="0" t="0" r="0" b="0"/>
                      <wp:wrapNone/>
                      <wp:docPr id="172" name="Frame172"/>
                      <a:graphic xmlns:a="http://schemas.openxmlformats.org/drawingml/2006/main">
                        <a:graphicData uri="http://schemas.microsoft.com/office/word/2010/wordprocessingShape">
                          <wps:wsp>
                            <wps:cNvSpPr txBox="1"/>
                            <wps:spPr>
                              <a:xfrm>
                                <a:off x="0" y="0"/>
                                <a:ext cx="70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5325" cy="175260"/>
                      <wp:effectExtent l="0" t="0" r="0" b="0"/>
                      <wp:wrapNone/>
                      <wp:docPr id="173" name="Frame173"/>
                      <a:graphic xmlns:a="http://schemas.openxmlformats.org/drawingml/2006/main">
                        <a:graphicData uri="http://schemas.microsoft.com/office/word/2010/wordprocessingShape">
                          <wps:wsp>
                            <wps:cNvSpPr txBox="1"/>
                            <wps:spPr>
                              <a:xfrm>
                                <a:off x="0" y="0"/>
                                <a:ext cx="6953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3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3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53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9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34" w:type="dxa"/>
            <w:tcBorders/>
            <w:shd w:fill="auto" w:val="clear"/>
            <w:vAlign w:val="center"/>
          </w:tcPr>
          <w:p>
            <w:pPr>
              <w:pStyle w:val="TableContents"/>
              <w:spacing w:before="0" w:after="1"/>
              <w:ind w:left="0" w:right="0" w:hanging="0"/>
              <w:rPr/>
            </w:pPr>
            <w:r>
              <w:rPr/>
              <w:t>    </w:t>
            </w:r>
          </w:p>
        </w:tc>
        <w:tc>
          <w:tcPr>
            <w:tcW w:w="120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538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Stock options, SARs, and RSUs to purchase common stock</w:t>
            </w:r>
          </w:p>
        </w:tc>
        <w:tc>
          <w:tcPr>
            <w:tcW w:w="326" w:type="dxa"/>
            <w:tcBorders/>
            <w:shd w:fill="CCEEFF" w:val="clear"/>
            <w:vAlign w:val="center"/>
          </w:tcPr>
          <w:p>
            <w:pPr>
              <w:pStyle w:val="TableContents"/>
              <w:spacing w:before="0" w:after="1"/>
              <w:ind w:left="0" w:right="0" w:hanging="0"/>
              <w:rPr/>
            </w:pPr>
            <w:r>
              <w:rPr/>
              <w:t>​</w:t>
            </w:r>
          </w:p>
        </w:tc>
        <w:tc>
          <w:tcPr>
            <w:tcW w:w="111" w:type="dxa"/>
            <w:tcBorders/>
            <w:shd w:fill="CCEEFF" w:val="clear"/>
            <w:vAlign w:val="center"/>
          </w:tcPr>
          <w:p>
            <w:pPr>
              <w:pStyle w:val="TableContents"/>
              <w:spacing w:before="0" w:after="1"/>
              <w:ind w:left="0" w:right="0" w:hanging="0"/>
              <w:rPr/>
            </w:pPr>
            <w:r>
              <w:rPr/>
              <w:t>​</w:t>
            </w:r>
          </w:p>
        </w:tc>
        <w:tc>
          <w:tcPr>
            <w:tcW w:w="987"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4,661,499</w:t>
            </w:r>
          </w:p>
        </w:tc>
        <w:tc>
          <w:tcPr>
            <w:tcW w:w="334" w:type="dxa"/>
            <w:tcBorders/>
            <w:shd w:fill="CCEEFF" w:val="clear"/>
            <w:vAlign w:val="center"/>
          </w:tcPr>
          <w:p>
            <w:pPr>
              <w:pStyle w:val="TableContents"/>
              <w:spacing w:before="0" w:after="1"/>
              <w:ind w:left="0" w:right="0" w:hanging="0"/>
              <w:rPr/>
            </w:pPr>
            <w:r>
              <w:rPr/>
              <w:t> </w:t>
            </w:r>
          </w:p>
        </w:tc>
        <w:tc>
          <w:tcPr>
            <w:tcW w:w="111" w:type="dxa"/>
            <w:tcBorders/>
            <w:shd w:fill="CCEEFF" w:val="clear"/>
            <w:vAlign w:val="center"/>
          </w:tcPr>
          <w:p>
            <w:pPr>
              <w:pStyle w:val="TableContents"/>
              <w:spacing w:before="0" w:after="1"/>
              <w:ind w:left="0" w:right="0" w:hanging="0"/>
              <w:rPr/>
            </w:pPr>
            <w:r>
              <w:rPr/>
              <w:t>​</w:t>
            </w:r>
          </w:p>
        </w:tc>
        <w:tc>
          <w:tcPr>
            <w:tcW w:w="1095" w:type="dxa"/>
            <w:tcBorders/>
            <w:shd w:fill="CCEEFF" w:val="cle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5,249,666</w:t>
            </w:r>
          </w:p>
        </w:tc>
      </w:tr>
    </w:tbl>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b/>
          <w:sz w:val="20"/>
        </w:rPr>
      </w:pPr>
      <w:bookmarkStart w:id="865" w:name="Tc_LPS0jsnOkkyHYuLHc__ENg_9_5"/>
      <w:bookmarkStart w:id="866" w:name="Tc_r4xqjYrbcEKMKznddCKFyA_9_3"/>
      <w:bookmarkStart w:id="867" w:name="Tc_zhhK8AHV2kerEDSMwO5mLg_9_0"/>
      <w:bookmarkStart w:id="868" w:name="Tc_DRzOIRLqWUGkIBY_ADNNkw_8_2"/>
      <w:bookmarkStart w:id="869" w:name="Tc_R5jBbwDgDEGa9ienoH6JOQ_8_0"/>
      <w:bookmarkStart w:id="870" w:name="Tc_tQFdh9W45U2dqJcwsPUUjQ_7_4"/>
      <w:bookmarkStart w:id="871" w:name="Tc_a7KeJDgeBEmdU91Z3kcRbQ_7_0"/>
      <w:bookmarkStart w:id="872" w:name="Tc_57xhHC9lhUSoRr63lblMgw_6_4"/>
      <w:bookmarkStart w:id="873" w:name="Tc_KjqTpTKEOkySaUfaYh0VmQ_6_0"/>
      <w:bookmarkStart w:id="874" w:name="Tc_MmyM_tLGD0iffVIk6Lbnlw_5_0"/>
      <w:bookmarkStart w:id="875" w:name="Tc_8cl0kYbPRE2NbojeR2-Etw_4_0"/>
      <w:bookmarkStart w:id="876" w:name="Tc_6WkESDTQ_0ice4_dhxpj-A_3_5"/>
      <w:bookmarkStart w:id="877" w:name="Tc_l715VVvWYEi4OQc-yrGmOg_3_3"/>
      <w:bookmarkStart w:id="878" w:name="Tc_IYP0jU1N4U2Gqov2XVpC_w_3_0"/>
      <w:bookmarkStart w:id="879" w:name="Tc_L8npD-BJ5U2OdGcMphCGnA_2_4"/>
      <w:bookmarkStart w:id="880" w:name="Tc_wu-zt-F4vEGt--lrOF4YKA_2_2"/>
      <w:bookmarkStart w:id="881" w:name="Tc__oxXL0UeXkS6iRBM98h7lQ_1_2"/>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r>
        <w:rPr>
          <w:rFonts w:ascii="Arial;Helvetica;sans-serif" w:hAnsi="Arial;Helvetica;sans-serif"/>
          <w:b/>
          <w:sz w:val="20"/>
        </w:rPr>
        <w:t>16. INCOME TAXES</w:t>
      </w:r>
    </w:p>
    <w:p>
      <w:pPr>
        <w:pStyle w:val="TextBody"/>
        <w:spacing w:before="0" w:after="240"/>
        <w:ind w:left="0" w:right="0" w:firstLine="720"/>
        <w:rPr>
          <w:rFonts w:ascii="Arial;Helvetica;sans-serif" w:hAnsi="Arial;Helvetica;sans-serif"/>
          <w:sz w:val="20"/>
        </w:rPr>
      </w:pPr>
      <w:r>
        <w:rPr>
          <w:rFonts w:ascii="Arial;Helvetica;sans-serif" w:hAnsi="Arial;Helvetica;sans-serif"/>
          <w:sz w:val="20"/>
        </w:rPr>
        <w:t>The reasons for the difference between the statutory federal income tax rate and the Company’s effective income tax rate for the three months ended March 31, 2023 and 2022 are as follows:</w:t>
      </w:r>
    </w:p>
    <w:p>
      <w:pPr>
        <w:pStyle w:val="TextBody"/>
        <w:spacing w:before="0" w:after="0"/>
        <w:ind w:left="0" w:right="0" w:hanging="0"/>
        <w:rPr/>
      </w:pPr>
      <w:r>
        <w:rPr/>
        <w:t>​</w:t>
      </w:r>
    </w:p>
    <w:tbl>
      <w:tblPr>
        <w:tblW w:w="5743" w:type="dxa"/>
        <w:jc w:val="left"/>
        <w:tblInd w:w="0" w:type="dxa"/>
        <w:tblCellMar>
          <w:top w:w="0" w:type="dxa"/>
          <w:left w:w="0" w:type="dxa"/>
          <w:bottom w:w="0" w:type="dxa"/>
          <w:right w:w="0" w:type="dxa"/>
        </w:tblCellMar>
      </w:tblPr>
      <w:tblGrid>
        <w:gridCol w:w="2491"/>
        <w:gridCol w:w="326"/>
        <w:gridCol w:w="856"/>
        <w:gridCol w:w="701"/>
        <w:gridCol w:w="1038"/>
        <w:gridCol w:w="331"/>
      </w:tblGrid>
      <w:tr>
        <w:trPr/>
        <w:tc>
          <w:tcPr>
            <w:tcW w:w="2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581785" cy="175260"/>
                      <wp:effectExtent l="0" t="0" r="0" b="0"/>
                      <wp:wrapNone/>
                      <wp:docPr id="174" name="Frame174"/>
                      <a:graphic xmlns:a="http://schemas.openxmlformats.org/drawingml/2006/main">
                        <a:graphicData uri="http://schemas.microsoft.com/office/word/2010/wordprocessingShape">
                          <wps:wsp>
                            <wps:cNvSpPr txBox="1"/>
                            <wps:spPr>
                              <a:xfrm>
                                <a:off x="0" y="0"/>
                                <a:ext cx="1581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43560" cy="175260"/>
                      <wp:effectExtent l="0" t="0" r="0" b="0"/>
                      <wp:wrapNone/>
                      <wp:docPr id="176" name="Frame176"/>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45135" cy="175260"/>
                      <wp:effectExtent l="0" t="0" r="0" b="0"/>
                      <wp:wrapNone/>
                      <wp:docPr id="177" name="Frame177"/>
                      <a:graphic xmlns:a="http://schemas.openxmlformats.org/drawingml/2006/main">
                        <a:graphicData uri="http://schemas.microsoft.com/office/word/2010/wordprocessingShape">
                          <wps:wsp>
                            <wps:cNvSpPr txBox="1"/>
                            <wps:spPr>
                              <a:xfrm>
                                <a:off x="0" y="0"/>
                                <a:ext cx="445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59130" cy="175260"/>
                      <wp:effectExtent l="0" t="0" r="0" b="0"/>
                      <wp:wrapNone/>
                      <wp:docPr id="178" name="Frame178"/>
                      <a:graphic xmlns:a="http://schemas.openxmlformats.org/drawingml/2006/main">
                        <a:graphicData uri="http://schemas.microsoft.com/office/word/2010/wordprocessingShape">
                          <wps:wsp>
                            <wps:cNvSpPr txBox="1"/>
                            <wps:spPr>
                              <a:xfrm>
                                <a:off x="0" y="0"/>
                                <a:ext cx="6591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0185" cy="175260"/>
                      <wp:effectExtent l="0" t="0" r="0" b="0"/>
                      <wp:wrapNone/>
                      <wp:docPr id="179" name="Frame179"/>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4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95" w:type="dxa"/>
            <w:gridSpan w:val="3"/>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c>
          <w:tcPr>
            <w:tcW w:w="331" w:type="dxa"/>
            <w:tcBorders/>
            <w:shd w:fill="auto" w:val="clear"/>
            <w:vAlign w:val="center"/>
          </w:tcPr>
          <w:p>
            <w:pPr>
              <w:pStyle w:val="TableContents"/>
              <w:spacing w:before="0" w:after="1"/>
              <w:ind w:left="0" w:right="0" w:hanging="0"/>
              <w:rPr/>
            </w:pPr>
            <w:r>
              <w:rPr/>
              <w:t>​</w:t>
            </w:r>
          </w:p>
        </w:tc>
      </w:tr>
      <w:tr>
        <w:trPr/>
        <w:tc>
          <w:tcPr>
            <w:tcW w:w="24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701" w:type="dxa"/>
            <w:tcBorders/>
            <w:shd w:fill="auto" w:val="clear"/>
            <w:vAlign w:val="center"/>
          </w:tcPr>
          <w:p>
            <w:pPr>
              <w:pStyle w:val="TableContents"/>
              <w:spacing w:before="0" w:after="1"/>
              <w:ind w:left="0" w:right="0" w:hanging="0"/>
              <w:rPr/>
            </w:pPr>
            <w:r>
              <w:rPr/>
              <w:t>    </w:t>
            </w:r>
          </w:p>
        </w:tc>
        <w:tc>
          <w:tcPr>
            <w:tcW w:w="103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shd w:fill="auto" w:val="clear"/>
            <w:vAlign w:val="center"/>
          </w:tcPr>
          <w:p>
            <w:pPr>
              <w:pStyle w:val="TableContents"/>
              <w:spacing w:before="0" w:after="1"/>
              <w:ind w:left="0" w:right="0" w:hanging="0"/>
              <w:rPr/>
            </w:pPr>
            <w:r>
              <w:rPr/>
              <w:t> </w:t>
            </w:r>
          </w:p>
        </w:tc>
      </w:tr>
      <w:tr>
        <w:trPr/>
        <w:tc>
          <w:tcPr>
            <w:tcW w:w="249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Federal income tax rate</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21.0</w:t>
            </w:r>
          </w:p>
        </w:tc>
        <w:tc>
          <w:tcPr>
            <w:tcW w:w="70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  </w:t>
            </w:r>
          </w:p>
        </w:tc>
        <w:tc>
          <w:tcPr>
            <w:tcW w:w="103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21.0</w:t>
            </w:r>
          </w:p>
        </w:tc>
        <w:tc>
          <w:tcPr>
            <w:tcW w:w="3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249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Stock-based compensation</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(2.8)</w:t>
            </w:r>
          </w:p>
        </w:tc>
        <w:tc>
          <w:tcPr>
            <w:tcW w:w="701" w:type="dxa"/>
            <w:tcBorders/>
            <w:shd w:fill="auto" w:val="clear"/>
            <w:vAlign w:val="center"/>
          </w:tcPr>
          <w:p>
            <w:pPr>
              <w:pStyle w:val="TableContents"/>
              <w:spacing w:before="0" w:after="1"/>
              <w:ind w:left="0" w:right="0" w:hanging="0"/>
              <w:rPr/>
            </w:pPr>
            <w:r>
              <w:rPr/>
              <w:t>​</w:t>
            </w:r>
          </w:p>
        </w:tc>
        <w:tc>
          <w:tcPr>
            <w:tcW w:w="1038"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(3.8)</w:t>
            </w:r>
          </w:p>
        </w:tc>
        <w:tc>
          <w:tcPr>
            <w:tcW w:w="331" w:type="dxa"/>
            <w:tcBorders/>
            <w:shd w:fill="auto" w:val="clear"/>
            <w:vAlign w:val="center"/>
          </w:tcPr>
          <w:p>
            <w:pPr>
              <w:pStyle w:val="TableContents"/>
              <w:spacing w:before="0" w:after="1"/>
              <w:ind w:left="0" w:right="0" w:hanging="0"/>
              <w:rPr/>
            </w:pPr>
            <w:r>
              <w:rPr/>
              <w:t>​</w:t>
            </w:r>
          </w:p>
        </w:tc>
      </w:tr>
      <w:tr>
        <w:trPr/>
        <w:tc>
          <w:tcPr>
            <w:tcW w:w="249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State taxes</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6.3</w:t>
            </w:r>
          </w:p>
        </w:tc>
        <w:tc>
          <w:tcPr>
            <w:tcW w:w="701" w:type="dxa"/>
            <w:tcBorders/>
            <w:shd w:fill="CCEEFF" w:val="clear"/>
            <w:vAlign w:val="center"/>
          </w:tcPr>
          <w:p>
            <w:pPr>
              <w:pStyle w:val="TableContents"/>
              <w:spacing w:before="0" w:after="1"/>
              <w:ind w:left="0" w:right="0" w:hanging="0"/>
              <w:rPr/>
            </w:pPr>
            <w:r>
              <w:rPr/>
              <w:t> </w:t>
            </w:r>
          </w:p>
        </w:tc>
        <w:tc>
          <w:tcPr>
            <w:tcW w:w="103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6.4</w:t>
            </w:r>
          </w:p>
        </w:tc>
        <w:tc>
          <w:tcPr>
            <w:tcW w:w="331" w:type="dxa"/>
            <w:tcBorders/>
            <w:shd w:fill="CCEEFF" w:val="clear"/>
            <w:vAlign w:val="center"/>
          </w:tcPr>
          <w:p>
            <w:pPr>
              <w:pStyle w:val="TableContents"/>
              <w:spacing w:before="0" w:after="1"/>
              <w:ind w:left="0" w:right="0" w:hanging="0"/>
              <w:rPr/>
            </w:pPr>
            <w:r>
              <w:rPr/>
              <w:t>​</w:t>
            </w:r>
          </w:p>
        </w:tc>
      </w:tr>
      <w:tr>
        <w:trPr/>
        <w:tc>
          <w:tcPr>
            <w:tcW w:w="249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Credits</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(2.9)</w:t>
            </w:r>
          </w:p>
        </w:tc>
        <w:tc>
          <w:tcPr>
            <w:tcW w:w="701" w:type="dxa"/>
            <w:tcBorders/>
            <w:shd w:fill="auto" w:val="clear"/>
            <w:vAlign w:val="center"/>
          </w:tcPr>
          <w:p>
            <w:pPr>
              <w:pStyle w:val="TableContents"/>
              <w:spacing w:before="0" w:after="1"/>
              <w:ind w:left="0" w:right="0" w:hanging="0"/>
              <w:rPr/>
            </w:pPr>
            <w:r>
              <w:rPr/>
              <w:t>​</w:t>
            </w:r>
          </w:p>
        </w:tc>
        <w:tc>
          <w:tcPr>
            <w:tcW w:w="1038" w:type="dxa"/>
            <w:tcBorders/>
            <w:shd w:fill="auto" w:val="clear"/>
            <w:vAlign w:val="center"/>
          </w:tcPr>
          <w:p>
            <w:pPr>
              <w:pStyle w:val="TableContents"/>
              <w:spacing w:before="0" w:after="1"/>
              <w:ind w:left="0" w:right="0" w:hanging="0"/>
              <w:jc w:val="right"/>
              <w:rPr/>
            </w:pPr>
            <w:r>
              <w:rPr/>
              <w:t>—</w:t>
            </w:r>
          </w:p>
        </w:tc>
        <w:tc>
          <w:tcPr>
            <w:tcW w:w="331" w:type="dxa"/>
            <w:tcBorders/>
            <w:shd w:fill="auto" w:val="clear"/>
            <w:vAlign w:val="center"/>
          </w:tcPr>
          <w:p>
            <w:pPr>
              <w:pStyle w:val="TableContents"/>
              <w:spacing w:before="0" w:after="1"/>
              <w:ind w:left="0" w:right="0" w:hanging="0"/>
              <w:rPr/>
            </w:pPr>
            <w:r>
              <w:rPr/>
              <w:t>​</w:t>
            </w:r>
          </w:p>
        </w:tc>
      </w:tr>
      <w:tr>
        <w:trPr/>
        <w:tc>
          <w:tcPr>
            <w:tcW w:w="249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0.4</w:t>
            </w:r>
          </w:p>
        </w:tc>
        <w:tc>
          <w:tcPr>
            <w:tcW w:w="701" w:type="dxa"/>
            <w:tcBorders/>
            <w:shd w:fill="CCEEFF" w:val="clear"/>
            <w:vAlign w:val="center"/>
          </w:tcPr>
          <w:p>
            <w:pPr>
              <w:pStyle w:val="TableContents"/>
              <w:spacing w:before="0" w:after="1"/>
              <w:ind w:left="0" w:right="0" w:hanging="0"/>
              <w:rPr/>
            </w:pPr>
            <w:r>
              <w:rPr/>
              <w:t> </w:t>
            </w:r>
          </w:p>
        </w:tc>
        <w:tc>
          <w:tcPr>
            <w:tcW w:w="1038" w:type="dxa"/>
            <w:tcBorders/>
            <w:shd w:fill="CCEEFF" w:val="clear"/>
            <w:vAlign w:val="center"/>
          </w:tcPr>
          <w:p>
            <w:pPr>
              <w:pStyle w:val="TableContents"/>
              <w:spacing w:before="0" w:after="1"/>
              <w:ind w:left="0" w:right="0" w:hanging="0"/>
              <w:jc w:val="right"/>
              <w:rPr/>
            </w:pPr>
            <w:r>
              <w:rPr/>
              <w:t>—</w:t>
            </w:r>
          </w:p>
        </w:tc>
        <w:tc>
          <w:tcPr>
            <w:tcW w:w="331" w:type="dxa"/>
            <w:tcBorders/>
            <w:shd w:fill="CCEEFF" w:val="clear"/>
            <w:vAlign w:val="center"/>
          </w:tcPr>
          <w:p>
            <w:pPr>
              <w:pStyle w:val="TableContents"/>
              <w:spacing w:before="0" w:after="1"/>
              <w:ind w:left="0" w:right="0" w:hanging="0"/>
              <w:rPr/>
            </w:pPr>
            <w:r>
              <w:rPr/>
              <w:t>​</w:t>
            </w:r>
          </w:p>
        </w:tc>
      </w:tr>
      <w:tr>
        <w:trPr/>
        <w:tc>
          <w:tcPr>
            <w:tcW w:w="249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Valuation allowance</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701" w:type="dxa"/>
            <w:tcBorders/>
            <w:shd w:fill="auto" w:val="clear"/>
            <w:vAlign w:val="center"/>
          </w:tcPr>
          <w:p>
            <w:pPr>
              <w:pStyle w:val="TableContents"/>
              <w:spacing w:before="0" w:after="1"/>
              <w:ind w:left="0" w:right="0" w:hanging="0"/>
              <w:rPr/>
            </w:pPr>
            <w:r>
              <w:rPr/>
              <w:t> </w:t>
            </w:r>
          </w:p>
        </w:tc>
        <w:tc>
          <w:tcPr>
            <w:tcW w:w="103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(15.5)</w:t>
            </w:r>
          </w:p>
        </w:tc>
        <w:tc>
          <w:tcPr>
            <w:tcW w:w="331" w:type="dxa"/>
            <w:tcBorders/>
            <w:shd w:fill="auto" w:val="clear"/>
            <w:vAlign w:val="center"/>
          </w:tcPr>
          <w:p>
            <w:pPr>
              <w:pStyle w:val="TableContents"/>
              <w:spacing w:before="0" w:after="1"/>
              <w:ind w:left="0" w:right="0" w:hanging="0"/>
              <w:rPr/>
            </w:pPr>
            <w:r>
              <w:rPr/>
              <w:t>​</w:t>
            </w:r>
          </w:p>
        </w:tc>
      </w:tr>
      <w:tr>
        <w:trPr/>
        <w:tc>
          <w:tcPr>
            <w:tcW w:w="249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spacing w:before="0" w:after="1"/>
              <w:ind w:left="0" w:right="0" w:hanging="0"/>
              <w:rPr/>
            </w:pPr>
            <w:r>
              <w:rPr/>
              <w:t> </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22.0</w:t>
            </w:r>
          </w:p>
        </w:tc>
        <w:tc>
          <w:tcPr>
            <w:tcW w:w="70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  </w:t>
            </w:r>
          </w:p>
        </w:tc>
        <w:tc>
          <w:tcPr>
            <w:tcW w:w="103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8.1</w:t>
            </w:r>
          </w:p>
        </w:tc>
        <w:tc>
          <w:tcPr>
            <w:tcW w:w="3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bl>
    <w:p>
      <w:pPr>
        <w:pStyle w:val="TextBody"/>
        <w:spacing w:before="0" w:after="240"/>
        <w:ind w:left="0" w:right="0" w:firstLine="72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17. RELATED-PARTY TRANSACTIONS</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Company was party to a management agreement for professional services provided by a related party, Paragon Biosciences, LLC (“Paragon”). The related party is an entity that shares common ownership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with the Company. In addition, the Chairman of the Company’s board of directors was the President and owner of the entity. The Company terminated the management agreement upon the consummation of its IPO. The Company is also party to a right of use agreement with the related party whereby it has access to and the right to use certain office space leased by the related party in Chicago, IL. In addition, the Company had participated in certain transactions with separate related parties that also share common ownership with the Company, primarily related to combined employee health plans. The Company incurred $71 for each of the three months ended March 31, 2023 and 2022, in expenses to this related party, which are included in general and administrative expense in the unaudited condensed consolidated statements of operations and comprehensive loss. As of March 31, 2023 and December 31, 2022, there were no amounts due to or due from related parties included in the unaudited condensed consolidated balance sheets. </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sz w:val="20"/>
        </w:rPr>
      </w:pPr>
      <w:bookmarkStart w:id="882" w:name="Item2Managements"/>
      <w:bookmarkStart w:id="883" w:name="_b36acb0d_592f_446c_9690_ebbbc4c0b4c6"/>
      <w:bookmarkEnd w:id="882"/>
      <w:bookmarkEnd w:id="883"/>
      <w:r>
        <w:rPr>
          <w:rFonts w:ascii="Arial;Helvetica;sans-serif" w:hAnsi="Arial;Helvetica;sans-serif"/>
          <w:b/>
          <w:sz w:val="20"/>
        </w:rPr>
        <w:t>Item 2. Management’s Discussion and Analysis of Financial Condition and Results of Operations.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Cautionary Note Regarding Forward-Looking Statements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and financial position,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tbl>
      <w:tblPr>
        <w:tblW w:w="5241" w:type="dxa"/>
        <w:jc w:val="left"/>
        <w:tblInd w:w="0" w:type="dxa"/>
        <w:tblCellMar>
          <w:top w:w="28" w:type="dxa"/>
          <w:left w:w="28" w:type="dxa"/>
          <w:bottom w:w="28" w:type="dxa"/>
          <w:right w:w="28" w:type="dxa"/>
        </w:tblCellMar>
      </w:tblPr>
      <w:tblGrid>
        <w:gridCol w:w="124"/>
        <w:gridCol w:w="256"/>
        <w:gridCol w:w="48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6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commercialization efforts and strategy for WAKIX;</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rate and degree of market acceptance and clinical utility of pitolisant in additional indications, if approved, and any other product candidates we may develop or acquire, if approved;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research and development plans, including our plans to explore the therapeutic potential of pitolisant in additional indications;</w:t>
            </w:r>
          </w:p>
        </w:tc>
      </w:tr>
    </w:tbl>
    <w:tbl>
      <w:tblPr>
        <w:tblW w:w="3846" w:type="dxa"/>
        <w:jc w:val="left"/>
        <w:tblInd w:w="0" w:type="dxa"/>
        <w:tblCellMar>
          <w:top w:w="28" w:type="dxa"/>
          <w:left w:w="28" w:type="dxa"/>
          <w:bottom w:w="28" w:type="dxa"/>
          <w:right w:w="28" w:type="dxa"/>
        </w:tblCellMar>
      </w:tblPr>
      <w:tblGrid>
        <w:gridCol w:w="124"/>
        <w:gridCol w:w="256"/>
        <w:gridCol w:w="34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6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ongoing and planned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val="false"/>
                <w:i w:val="false"/>
                <w:caps w:val="false"/>
                <w:smallCaps w:val="false"/>
                <w:sz w:val="20"/>
              </w:rPr>
              <w:t>our ability to expand the scope of our license agreements with Bioprojet Soci</w:t>
            </w:r>
            <w:r>
              <w:rPr>
                <w:rFonts w:ascii="Times New Roman;Times;serif" w:hAnsi="Times New Roman;Times;serif"/>
                <w:b w:val="false"/>
                <w:i w:val="false"/>
                <w:caps w:val="false"/>
                <w:smallCaps w:val="false"/>
                <w:sz w:val="20"/>
              </w:rPr>
              <w:t>é</w:t>
            </w:r>
            <w:r>
              <w:rPr>
                <w:rFonts w:ascii="Arial;Helvetica;sans-serif" w:hAnsi="Arial;Helvetica;sans-serif"/>
                <w:b w:val="false"/>
                <w:i w:val="false"/>
                <w:caps w:val="false"/>
                <w:smallCaps w:val="false"/>
                <w:sz w:val="20"/>
              </w:rPr>
              <w:t>t</w:t>
            </w:r>
            <w:r>
              <w:rPr>
                <w:rFonts w:ascii="Times New Roman;Times;serif" w:hAnsi="Times New Roman;Times;serif"/>
                <w:b w:val="false"/>
                <w:i w:val="false"/>
                <w:caps w:val="false"/>
                <w:smallCaps w:val="false"/>
                <w:sz w:val="20"/>
              </w:rPr>
              <w:t>é</w:t>
            </w:r>
            <w:r>
              <w:rPr>
                <w:caps w:val="false"/>
                <w:smallCaps w:val="false"/>
              </w:rPr>
              <w:t xml:space="preserve"> </w:t>
            </w:r>
            <w:r>
              <w:rPr>
                <w:rFonts w:ascii="Arial;Helvetica;sans-serif" w:hAnsi="Arial;Helvetica;sans-serif"/>
                <w:b w:val="false"/>
                <w:i w:val="false"/>
                <w:caps w:val="false"/>
                <w:smallCaps w:val="false"/>
                <w:sz w:val="20"/>
              </w:rPr>
              <w:t>Civile de Recherche (</w:t>
            </w:r>
            <w:r>
              <w:rPr>
                <w:caps w:val="false"/>
                <w:smallCaps w:val="false"/>
              </w:rPr>
              <w:t>“</w:t>
            </w:r>
            <w:r>
              <w:rPr>
                <w:rFonts w:ascii="Arial;Helvetica;sans-serif" w:hAnsi="Arial;Helvetica;sans-serif"/>
                <w:b w:val="false"/>
                <w:i w:val="false"/>
                <w:caps w:val="false"/>
                <w:smallCaps w:val="false"/>
                <w:sz w:val="20"/>
              </w:rPr>
              <w:t>Bioprojet</w:t>
            </w:r>
            <w:r>
              <w:rPr>
                <w:caps w:val="false"/>
                <w:smallCaps w:val="false"/>
              </w:rPr>
              <w:t>”</w:t>
            </w:r>
            <w:r>
              <w:rPr>
                <w:rFonts w:ascii="Arial;Helvetica;sans-serif" w:hAnsi="Arial;Helvetica;sans-serif"/>
                <w:b w:val="false"/>
                <w:i w:val="false"/>
                <w:caps w:val="false"/>
                <w:smallCaps w:val="false"/>
                <w:sz w:val="20"/>
              </w:rPr>
              <w:t>);</w:t>
            </w:r>
          </w:p>
        </w:tc>
      </w:tr>
    </w:tbl>
    <w:tbl>
      <w:tblPr>
        <w:tblW w:w="7386" w:type="dxa"/>
        <w:jc w:val="left"/>
        <w:tblInd w:w="0" w:type="dxa"/>
        <w:tblCellMar>
          <w:top w:w="28" w:type="dxa"/>
          <w:left w:w="28" w:type="dxa"/>
          <w:bottom w:w="28" w:type="dxa"/>
          <w:right w:w="28" w:type="dxa"/>
        </w:tblCellMar>
      </w:tblPr>
      <w:tblGrid>
        <w:gridCol w:w="124"/>
        <w:gridCol w:w="256"/>
        <w:gridCol w:w="70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0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availability of favorable insurance coverage and reimbursement for WAKIX;</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of, and our ability to obtain, regulatory approvals for pitolisant for other indications as well as any other product candidates;</w:t>
            </w:r>
          </w:p>
        </w:tc>
      </w:tr>
    </w:tbl>
    <w:tbl>
      <w:tblPr>
        <w:tblW w:w="9456" w:type="dxa"/>
        <w:jc w:val="left"/>
        <w:tblInd w:w="0" w:type="dxa"/>
        <w:tblCellMar>
          <w:top w:w="28" w:type="dxa"/>
          <w:left w:w="28" w:type="dxa"/>
          <w:bottom w:w="28" w:type="dxa"/>
          <w:right w:w="28" w:type="dxa"/>
        </w:tblCellMar>
      </w:tblPr>
      <w:tblGrid>
        <w:gridCol w:w="124"/>
        <w:gridCol w:w="256"/>
        <w:gridCol w:w="90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7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estimates regarding expenses, future revenue, capital requirements and additional financing needs;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identify and/or acquire additional products or product candidates with significant commercial potential that are consistent with our commercial objectives;</w:t>
            </w:r>
          </w:p>
        </w:tc>
      </w:tr>
    </w:tbl>
    <w:tbl>
      <w:tblPr>
        <w:tblW w:w="7311" w:type="dxa"/>
        <w:jc w:val="left"/>
        <w:tblInd w:w="0" w:type="dxa"/>
        <w:tblCellMar>
          <w:top w:w="28" w:type="dxa"/>
          <w:left w:w="28" w:type="dxa"/>
          <w:bottom w:w="28" w:type="dxa"/>
          <w:right w:w="28" w:type="dxa"/>
        </w:tblCellMar>
      </w:tblPr>
      <w:tblGrid>
        <w:gridCol w:w="124"/>
        <w:gridCol w:w="256"/>
        <w:gridCol w:w="69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3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commercialization, marketing and manufacturing capabilities and strategy;</w:t>
            </w:r>
          </w:p>
        </w:tc>
      </w:tr>
    </w:tbl>
    <w:tbl>
      <w:tblPr>
        <w:tblW w:w="3831" w:type="dxa"/>
        <w:jc w:val="left"/>
        <w:tblInd w:w="0" w:type="dxa"/>
        <w:tblCellMar>
          <w:top w:w="28" w:type="dxa"/>
          <w:left w:w="28" w:type="dxa"/>
          <w:bottom w:w="28" w:type="dxa"/>
          <w:right w:w="28" w:type="dxa"/>
        </w:tblCellMar>
      </w:tblPr>
      <w:tblGrid>
        <w:gridCol w:w="124"/>
        <w:gridCol w:w="256"/>
        <w:gridCol w:w="34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5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significant competition in our industry;</w:t>
            </w:r>
          </w:p>
        </w:tc>
      </w:tr>
    </w:tbl>
    <w:tbl>
      <w:tblPr>
        <w:tblW w:w="3351" w:type="dxa"/>
        <w:jc w:val="left"/>
        <w:tblInd w:w="0" w:type="dxa"/>
        <w:tblCellMar>
          <w:top w:w="28" w:type="dxa"/>
          <w:left w:w="28" w:type="dxa"/>
          <w:bottom w:w="28" w:type="dxa"/>
          <w:right w:w="28" w:type="dxa"/>
        </w:tblCellMar>
      </w:tblPr>
      <w:tblGrid>
        <w:gridCol w:w="124"/>
        <w:gridCol w:w="256"/>
        <w:gridCol w:w="29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97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intellectual property position;</w:t>
            </w:r>
          </w:p>
        </w:tc>
      </w:tr>
    </w:tbl>
    <w:tbl>
      <w:tblPr>
        <w:tblW w:w="4986" w:type="dxa"/>
        <w:jc w:val="left"/>
        <w:tblInd w:w="0" w:type="dxa"/>
        <w:tblCellMar>
          <w:top w:w="28" w:type="dxa"/>
          <w:left w:w="28" w:type="dxa"/>
          <w:bottom w:w="28" w:type="dxa"/>
          <w:right w:w="28" w:type="dxa"/>
        </w:tblCellMar>
      </w:tblPr>
      <w:tblGrid>
        <w:gridCol w:w="124"/>
        <w:gridCol w:w="256"/>
        <w:gridCol w:w="46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0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loss or retirement of key members of management;</w:t>
            </w:r>
          </w:p>
        </w:tc>
      </w:tr>
    </w:tbl>
    <w:tbl>
      <w:tblPr>
        <w:tblW w:w="9321" w:type="dxa"/>
        <w:jc w:val="left"/>
        <w:tblInd w:w="0" w:type="dxa"/>
        <w:tblCellMar>
          <w:top w:w="28" w:type="dxa"/>
          <w:left w:w="28" w:type="dxa"/>
          <w:bottom w:w="28" w:type="dxa"/>
          <w:right w:w="28" w:type="dxa"/>
        </w:tblCellMar>
      </w:tblPr>
      <w:tblGrid>
        <w:gridCol w:w="124"/>
        <w:gridCol w:w="256"/>
        <w:gridCol w:w="89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4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failure to successfully execute our growth strategy, including any delays in our planned future growth;</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5091" w:type="dxa"/>
        <w:jc w:val="left"/>
        <w:tblInd w:w="0" w:type="dxa"/>
        <w:tblCellMar>
          <w:top w:w="28" w:type="dxa"/>
          <w:left w:w="28" w:type="dxa"/>
          <w:bottom w:w="28" w:type="dxa"/>
          <w:right w:w="28" w:type="dxa"/>
        </w:tblCellMar>
      </w:tblPr>
      <w:tblGrid>
        <w:gridCol w:w="124"/>
        <w:gridCol w:w="256"/>
        <w:gridCol w:w="47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1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failure to maintain effective internal controls; and</w:t>
            </w:r>
          </w:p>
        </w:tc>
      </w:tr>
    </w:tbl>
    <w:tbl>
      <w:tblPr>
        <w:tblW w:w="4641" w:type="dxa"/>
        <w:jc w:val="left"/>
        <w:tblInd w:w="0" w:type="dxa"/>
        <w:tblCellMar>
          <w:top w:w="28" w:type="dxa"/>
          <w:left w:w="28" w:type="dxa"/>
          <w:bottom w:w="28" w:type="dxa"/>
          <w:right w:w="28" w:type="dxa"/>
        </w:tblCellMar>
      </w:tblPr>
      <w:tblGrid>
        <w:gridCol w:w="124"/>
        <w:gridCol w:w="256"/>
        <w:gridCol w:w="42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6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government laws and regulations.</w:t>
            </w:r>
          </w:p>
        </w:tc>
      </w:tr>
    </w:tbl>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 in our most recent Annual Report on Form 10-K entitled “Item 1A. Risk Factors” and the sections in this Quarterly Report on Form 10-Q titled “Risk Factors” and “Management’s Discussion and Analysis of Financial Condition and Results of Operations.”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Moreover, we operate in an evolving environment. New risk factors and uncertainties may emerge from time to time, and it is not possible for management to predict all risk factors and uncertainties.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Unless otherwise indicated, information contained in this Quarterly Report on Form 10-Q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As used herein, the terms “Harmony,” “we,” “us,” “our” and “the Company” refer to Harmony Biosciences Holdings, Inc., a Delaware corporation and our operating subsidiary, Harmony Biosciences, LLC. </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Further, we have in-licensed from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 This report also includes trademarks, service marks and trade names of other companies. Trademarks, service marks and trade names appearing in this Quarterly Report on Form 10-Q are the property of their respective owners.</w:t>
      </w:r>
    </w:p>
    <w:p>
      <w:pPr>
        <w:pStyle w:val="TextBody"/>
        <w:spacing w:before="0" w:after="240"/>
        <w:ind w:left="0" w:right="0" w:firstLine="720"/>
        <w:jc w:val="both"/>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Company Overview</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We are a commercial-stage, pharmaceutical company focused on developing and commercializing innovative therapies for patients living with rare neurological diseases as well as patients living with other neurological diseases who have unmet medical needs. Our product, WAKIX (pitolisant), is a first-in-class molecule with a novel mechanism of action (“MOA”) specifically designed to increase histamine signaling in the brain by binding to H</w:t>
      </w:r>
      <w:r>
        <w:rPr>
          <w:rFonts w:ascii="Arial;Helvetica;sans-serif" w:hAnsi="Arial;Helvetica;sans-serif"/>
          <w:sz w:val="15"/>
        </w:rPr>
        <w:t>3</w:t>
      </w:r>
      <w:r>
        <w:rPr>
          <w:rFonts w:ascii="Arial;Helvetica;sans-serif" w:hAnsi="Arial;Helvetica;sans-serif"/>
          <w:sz w:val="20"/>
        </w:rPr>
        <w:t xml:space="preserve"> receptors. In August 2019, WAKIX was approved by the U.S. Food and Drug Administration (the “FDA”) for the treatment of excessive daytime sleepiness (“EDS”) in adult patients with narcolepsy, and its U.S. commercial launch was initiated in November 2019. In October 2020, WAKIX was approved by the FDA for the treatment of cataplexy in adult patients with narcolepsy. WAKIX is the first-and-only approved product for patients with narcolepsy that is not scheduled as a controlled substance by the U.S. Drug Enforcement Administration (the “DEA”).</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We believe that pitolisant’s ability to regulate histamine gives it the potential to provide therapeutic benefit in other rare neurological diseases that are mediated through H</w:t>
      </w:r>
      <w:r>
        <w:rPr>
          <w:rFonts w:ascii="Arial;Helvetica;sans-serif" w:hAnsi="Arial;Helvetica;sans-serif"/>
          <w:sz w:val="15"/>
        </w:rPr>
        <w:t>3</w:t>
      </w:r>
      <w:r>
        <w:rPr>
          <w:rFonts w:ascii="Arial;Helvetica;sans-serif" w:hAnsi="Arial;Helvetica;sans-serif"/>
          <w:sz w:val="20"/>
        </w:rPr>
        <w:t xml:space="preserve"> receptors and histamine signaling. We are taking a mechanism-based approach to managing the life cycle of pitolisant and have identified idiopathic hypersomnia (“IH”), another central disorder of hypersomnolence like narcolepsy, as our next potential new indication for WAKIX. In April 2022, we initiated a Phase 3 registrational trial, the INTUNE Study, to evaluate the efficacy and safety of pitolisant in adult patients with IH. We continue to see strong momentum in the INTUNE Study and we anticipate topline data in the fourth quarter of 2023. We are focusing our development efforts on other rare neurological disorders in which EDS is a prominent symptom, including Prader-Willi Syndrome (“PWS”) and myotonic dystrophy, otherwise known as dystrophia myotonica (“DM”). Based on the data from our Phase 2 proof-of-concept clinical trial to evaluate pitolisant for the treatment of EDS and other key symptoms in patients with PWS, an end-of-phase 2 meeting with the FDA is scheduled in late second quarter of 2023. We intend to advance our development program in patients with PWS to a Phase 3 trial. In June 2021, we initiated a Phase 2 proof-of-concept clinical trial to evaluate pitolisant for the treatment of EDS, fatigue and cognitive dysfunction in adult patients with DM1 and anticipate topline results from this trial in the fourth quarter of 2023. </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Our partner, Bioprojet, completed a Phase 3 trial in pediatric patients with narcolepsy and submitted the trial data to the European Medical Agency (“EMA”) seeking approval for a pediatric narcolepsy indication. On March 15, 2023, Bioprojet received an approval from the EMA’s Committee for Medicinal Products for Human Use (“CHMP”) for a pediatric narcolepsy indication. We are working with Bioprojet towards the submission to the FDA of a supplemental NDA for pediatric narcolepsy. In addition, we are working with the FDA to gain alignment in pursuit of pediatric exclusivity for WAKIX.</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We also seek to expand our pipeline through the acquisition of additional assets that focus on addressing the unmet needs of patients living with rare neurological diseases as well as patients living with other neurological diseases who have unmet medical needs. We are targeting assets that will allow us to further leverage the expertise and infrastructure that we have successfully built at Harmony so we can optimize the benefit of internal synergies. Consistent with this objective, in July 2022, we entered into a License and Commercialization Agreement (the “2022 LCA”) with Bioprojet whereby we obtained exclusive rights to manufacture, use and commercialize one or more new products based on pitolisant in the United States and Latin America, with the potential to add additional indications and formulations upon the agreement of both parties. Formulations related work between us and Bioprojet is ongoing. </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sz w:val="20"/>
        </w:rPr>
        <w:t xml:space="preserve">In addition, in August 2021, we entered into an asset purchase agreement with ConSynance Therapeutics, Inc. (the “APA”) to acquire HBS-102, a Melanin-concentrating hormone receptor 1 (MCHR1) antagonist previously developed as CSTI-100/ALB-127258(a)/ALB-127258 (the “Compound”), along with intellectual property and other assets related to the development, manufacture, and commercialization of the Compound. In connection with the acquisition, we made an upfront payment of $3.5 million and will be required to make additional payments upon the achievement of certain development milestones, regulatory milestones, and sales milestones and pay ongoing royalties upon commercialization. We acquired full development and commercialization rights globally, but we have provided a grant-back license to ConSynance for the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development and commercialization of the Compound in Greater China. A preclinical proof-of-concept study to assess the effect of HBS-102 on hyperphagia, weight gain, and other metabolic parameters in a mouse model of PWS is ongoing.</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Pitolisant was developed by Bioprojet and approved by the EMA in 2016 for the treatment of narcolepsy in adult patients with or without cataplexy and in 2021 for the treatment of EDS in adult patients with obstructive sleep apnea. We acquired an exclusive license to develop, manufacture and commercialize pitolisant in the United States pursuant to our license agreement with Bioprojet (as amended, the “2017 LCA”) in July 2017.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We were founded in July 2017 as Harmony Biosciences II, LLC, a Delaware limited liability company. We converted to a Delaware corporation named Harmony Biosciences II, Inc. in September 2017, and, in February 2020, we changed our name to Harmony Biosciences Holdings, Inc. Our operations are conducted by our wholly owned subsidiary, Harmony Biosciences, LLC, which was formed in May 2017. Our operations to date have consisted of building and staffing our organization, acquiring the rights to pitolisant, raising capital, opening an investigational new drug application (“IND”) for pitolisant in narcolepsy, conducting an Expanded Access Program (“EAP”) for pitolisant for appropriate patients with narcolepsy in the United States, preparing and submitting our NDA for pitolisant, gaining NDA approval for WAKIX for the treatment of EDS or cataplexy in adult patients with narcolepsy, and launching and commercializing WAKIX in the United States. In addition, we have opened INDs for the development of pitolisant in PWS, DM and IH and have initiated clinical trials in pursuit of potential new indications in those rare disease patient populations. </w:t>
      </w:r>
    </w:p>
    <w:p>
      <w:pPr>
        <w:pStyle w:val="TextBody"/>
        <w:spacing w:before="0" w:after="240"/>
        <w:ind w:left="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Commercial Performance Metrics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As of March 31, 2023, we continued to see growth in the number of unique healthcare professional (“HCP”) prescribers of WAKIX since it became available in November 2019. The average number of patients on WAKIX for the three months ended March 31, 2023 was approximately 5,100. Additionally, as of March 31, 2023, we have secured formulary access for more than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Financial Operations Overview</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Revenue</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Net product sales includes gross sales of WAKIX less provisions for sales discounts and allowances, which includes trade allowances, rebates to government and commercial entities, and discounts. Although we expect net sales to increase over time, provisions for sales discounts and allowances may fluctuate based on the mix of sales to different customer segments and/or changes in our estimates.</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Cost of Product Sales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Cost of product sales includes manufacturing and distribution costs, the cost of the drug substance, FDA program fees, royalties due to third parties on net product sales, freight, shipping, handling, storage costs and salaries of employees involved with production. We expect the cost of product sales to increase as we continue to ramp up production in order to meet future demand for WAKIX and diversify our supply chain for WAKIX. </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shelf life of WAKIX is three years from date of manufacture, with the earliest expiration of current inventory expected to be February 2024. We regularly review our inventory levels and expect write-offs from time to time. We will continue to assess inventory levels in future periods as demand for WAKIX and the rate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of inventory turnover evolves. We currently expect to have adequate supply of WAKIX into the first quarter of 2024, with additional API on-hand inventory to support at least 36 months beyond this time frame.</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Research and Development Expenses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Research and development expenses primarily include development programs for potential new indications for pitolisant in patients with IH, PWS and DM. We also incur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the presentation of clinical data to payors upon request and our clinical development team to identify potential clinical trial sites. Research and development costs are expensed as incurred. We have significantly increased our research and development efforts as we advance our clinical programs in IH, PWS and DM and assess other product candidates to expand our pipeline. Research and development expenses also include: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employee-related expenses, such as salaries, share-based compensation, benefits and travel expenses for our research and development personnel;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val="false"/>
                <w:i w:val="false"/>
                <w:caps w:val="false"/>
                <w:smallCaps w:val="false"/>
                <w:sz w:val="20"/>
              </w:rPr>
              <w:t>direct third-party costs such as expenses incurred under agreements with CROs, and contract manufacturing organizations (</w:t>
            </w:r>
            <w:r>
              <w:rPr>
                <w:caps w:val="false"/>
                <w:smallCaps w:val="false"/>
              </w:rPr>
              <w:t>“</w:t>
            </w:r>
            <w:r>
              <w:rPr>
                <w:rFonts w:ascii="Arial;Helvetica;sans-serif" w:hAnsi="Arial;Helvetica;sans-serif"/>
                <w:b w:val="false"/>
                <w:i w:val="false"/>
                <w:caps w:val="false"/>
                <w:smallCaps w:val="false"/>
                <w:sz w:val="20"/>
              </w:rPr>
              <w:t>CMOs</w:t>
            </w:r>
            <w:r>
              <w:rPr>
                <w:caps w:val="false"/>
                <w:smallCaps w:val="false"/>
              </w:rPr>
              <w:t>”</w:t>
            </w:r>
            <w:r>
              <w:rPr>
                <w:rFonts w:ascii="Arial;Helvetica;sans-serif" w:hAnsi="Arial;Helvetica;sans-serif"/>
                <w:b w:val="false"/>
                <w:i w:val="false"/>
                <w:caps w:val="false"/>
                <w:smallCaps w:val="false"/>
                <w:sz w:val="20"/>
              </w:rPr>
              <w:t>);</w:t>
            </w:r>
          </w:p>
        </w:tc>
      </w:tr>
    </w:tbl>
    <w:tbl>
      <w:tblPr>
        <w:tblW w:w="8751" w:type="dxa"/>
        <w:jc w:val="left"/>
        <w:tblInd w:w="0" w:type="dxa"/>
        <w:tblCellMar>
          <w:top w:w="28" w:type="dxa"/>
          <w:left w:w="28" w:type="dxa"/>
          <w:bottom w:w="28" w:type="dxa"/>
          <w:right w:w="28" w:type="dxa"/>
        </w:tblCellMar>
      </w:tblPr>
      <w:tblGrid>
        <w:gridCol w:w="124"/>
        <w:gridCol w:w="256"/>
        <w:gridCol w:w="83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7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manufacturing costs in connection with producing materials for use in conducting clinical trials;</w:t>
            </w:r>
          </w:p>
        </w:tc>
      </w:tr>
    </w:tbl>
    <w:tbl>
      <w:tblPr>
        <w:tblW w:w="5646" w:type="dxa"/>
        <w:jc w:val="left"/>
        <w:tblInd w:w="0" w:type="dxa"/>
        <w:tblCellMar>
          <w:top w:w="28" w:type="dxa"/>
          <w:left w:w="28" w:type="dxa"/>
          <w:bottom w:w="28" w:type="dxa"/>
          <w:right w:w="28" w:type="dxa"/>
        </w:tblCellMar>
      </w:tblPr>
      <w:tblGrid>
        <w:gridCol w:w="124"/>
        <w:gridCol w:w="256"/>
        <w:gridCol w:w="52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6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related to packaging and labeling of clinical supplies;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third-party expenses (e.g., consultants, advisors) directly attributable to the development of our product candidates; and</w:t>
            </w:r>
          </w:p>
        </w:tc>
      </w:tr>
    </w:tbl>
    <w:tbl>
      <w:tblPr>
        <w:tblW w:w="7266" w:type="dxa"/>
        <w:jc w:val="left"/>
        <w:tblInd w:w="0" w:type="dxa"/>
        <w:tblCellMar>
          <w:top w:w="28" w:type="dxa"/>
          <w:left w:w="28" w:type="dxa"/>
          <w:bottom w:w="28" w:type="dxa"/>
          <w:right w:w="28" w:type="dxa"/>
        </w:tblCellMar>
      </w:tblPr>
      <w:tblGrid>
        <w:gridCol w:w="124"/>
        <w:gridCol w:w="256"/>
        <w:gridCol w:w="68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8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amortization expense for assets used in research and development activities.</w:t>
            </w:r>
          </w:p>
        </w:tc>
      </w:tr>
    </w:tbl>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We do not track research and development expenses on an indication-by-indication basis. A significant portion of our research and development costs are external costs, such as fees paid to CROs and CMOs, central laboratories, contractors, and consultants in connection with our clinical development programs. Internal expenses primarily relate to personnel who are deployed across multiple programs.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Product candidates in later stages of clinical development generally have higher development costs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over the next several years as we advance our current clinical development programs and prepare to seek regulatory approval for additional indications for pitolisant, advance HBS-102 from preclinical studies into the clinic, and identify potential new product candidates to develop toward new indications.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duration, costs and timing of clinical trials of our current development programs and any further clinical trials related to new product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sufficiency of our financial and other resources to complete the necessary preclinical studies and clinical trials;</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the COVID-19 pandemic, including any future resurgence or new variants, on the ability to initiate new clinical trials and/or maintain the continuity of ongoing clinical trials, including our ability to access sleep labs in order to conduct objective sleep testing, that could be impacted by future shelter-in-place orders and needs of the health care system to focus on managing patients affected by COVID-19;</w:t>
            </w:r>
          </w:p>
        </w:tc>
      </w:tr>
    </w:tbl>
    <w:tbl>
      <w:tblPr>
        <w:tblW w:w="6996" w:type="dxa"/>
        <w:jc w:val="left"/>
        <w:tblInd w:w="0" w:type="dxa"/>
        <w:tblCellMar>
          <w:top w:w="28" w:type="dxa"/>
          <w:left w:w="28" w:type="dxa"/>
          <w:bottom w:w="28" w:type="dxa"/>
          <w:right w:w="28" w:type="dxa"/>
        </w:tblCellMar>
      </w:tblPr>
      <w:tblGrid>
        <w:gridCol w:w="124"/>
        <w:gridCol w:w="256"/>
        <w:gridCol w:w="66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16"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val="false"/>
                <w:i w:val="false"/>
                <w:caps w:val="false"/>
                <w:smallCaps w:val="false"/>
                <w:sz w:val="20"/>
              </w:rPr>
              <w:t>receiving Bioprojet</w:t>
            </w:r>
            <w:r>
              <w:rPr>
                <w:caps w:val="false"/>
                <w:smallCaps w:val="false"/>
              </w:rPr>
              <w:t>’</w:t>
            </w:r>
            <w:r>
              <w:rPr>
                <w:rFonts w:ascii="Arial;Helvetica;sans-serif" w:hAnsi="Arial;Helvetica;sans-serif"/>
                <w:b w:val="false"/>
                <w:i w:val="false"/>
                <w:caps w:val="false"/>
                <w:smallCaps w:val="false"/>
                <w:sz w:val="20"/>
              </w:rPr>
              <w:t>s consent to pursue additional indications for pitolisant;</w:t>
            </w:r>
          </w:p>
        </w:tc>
      </w:tr>
    </w:tbl>
    <w:tbl>
      <w:tblPr>
        <w:tblW w:w="7056" w:type="dxa"/>
        <w:jc w:val="left"/>
        <w:tblInd w:w="0" w:type="dxa"/>
        <w:tblCellMar>
          <w:top w:w="28" w:type="dxa"/>
          <w:left w:w="28" w:type="dxa"/>
          <w:bottom w:w="28" w:type="dxa"/>
          <w:right w:w="28" w:type="dxa"/>
        </w:tblCellMar>
      </w:tblPr>
      <w:tblGrid>
        <w:gridCol w:w="124"/>
        <w:gridCol w:w="256"/>
        <w:gridCol w:w="66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7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acceptance of INDs for our planned clinical trials or future clinical trials;</w:t>
            </w:r>
          </w:p>
        </w:tc>
      </w:tr>
    </w:tbl>
    <w:tbl>
      <w:tblPr>
        <w:tblW w:w="6531" w:type="dxa"/>
        <w:jc w:val="left"/>
        <w:tblInd w:w="0" w:type="dxa"/>
        <w:tblCellMar>
          <w:top w:w="28" w:type="dxa"/>
          <w:left w:w="28" w:type="dxa"/>
          <w:bottom w:w="28" w:type="dxa"/>
          <w:right w:w="28" w:type="dxa"/>
        </w:tblCellMar>
      </w:tblPr>
      <w:tblGrid>
        <w:gridCol w:w="124"/>
        <w:gridCol w:w="256"/>
        <w:gridCol w:w="61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5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successful and timely enrollment and completion of clinical trials;</w:t>
            </w:r>
          </w:p>
        </w:tc>
      </w:tr>
    </w:tbl>
    <w:tbl>
      <w:tblPr>
        <w:tblW w:w="6231" w:type="dxa"/>
        <w:jc w:val="left"/>
        <w:tblInd w:w="0" w:type="dxa"/>
        <w:tblCellMar>
          <w:top w:w="28" w:type="dxa"/>
          <w:left w:w="28" w:type="dxa"/>
          <w:bottom w:w="28" w:type="dxa"/>
          <w:right w:w="28" w:type="dxa"/>
        </w:tblCellMar>
      </w:tblPr>
      <w:tblGrid>
        <w:gridCol w:w="124"/>
        <w:gridCol w:w="256"/>
        <w:gridCol w:w="58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5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successful completion of preclinical studies and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successful data from our clinical programs that support an acceptable risk-benefit profile of our product candidates in the intended populations;</w:t>
            </w:r>
          </w:p>
        </w:tc>
      </w:tr>
    </w:tbl>
    <w:tbl>
      <w:tblPr>
        <w:tblW w:w="9636" w:type="dxa"/>
        <w:jc w:val="left"/>
        <w:tblInd w:w="0" w:type="dxa"/>
        <w:tblCellMar>
          <w:top w:w="28" w:type="dxa"/>
          <w:left w:w="28" w:type="dxa"/>
          <w:bottom w:w="28" w:type="dxa"/>
          <w:right w:w="28" w:type="dxa"/>
        </w:tblCellMar>
      </w:tblPr>
      <w:tblGrid>
        <w:gridCol w:w="124"/>
        <w:gridCol w:w="256"/>
        <w:gridCol w:w="92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5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receipt and maintenance of regulatory and marketing approvals from applicable regulatory authorities;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establishing agreements with third-party manufacturers for clinical supply for our clinical trials and commercial manufacturing, if our product candidate is approved;</w:t>
            </w:r>
          </w:p>
        </w:tc>
      </w:tr>
    </w:tbl>
    <w:tbl>
      <w:tblPr>
        <w:tblW w:w="7596" w:type="dxa"/>
        <w:jc w:val="left"/>
        <w:tblInd w:w="0" w:type="dxa"/>
        <w:tblCellMar>
          <w:top w:w="28" w:type="dxa"/>
          <w:left w:w="28" w:type="dxa"/>
          <w:bottom w:w="28" w:type="dxa"/>
          <w:right w:w="28" w:type="dxa"/>
        </w:tblCellMar>
      </w:tblPr>
      <w:tblGrid>
        <w:gridCol w:w="124"/>
        <w:gridCol w:w="256"/>
        <w:gridCol w:w="72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1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entry into collaborations to further the development of our product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obtaining and maintaining patent and trade secret protection or regulatory exclusivity for our product candidates; and</w:t>
            </w:r>
          </w:p>
        </w:tc>
      </w:tr>
    </w:tbl>
    <w:tbl>
      <w:tblPr>
        <w:tblW w:w="9426" w:type="dxa"/>
        <w:jc w:val="left"/>
        <w:tblInd w:w="0" w:type="dxa"/>
        <w:tblCellMar>
          <w:top w:w="28" w:type="dxa"/>
          <w:left w:w="28" w:type="dxa"/>
          <w:bottom w:w="28" w:type="dxa"/>
          <w:right w:w="28" w:type="dxa"/>
        </w:tblCellMar>
      </w:tblPr>
      <w:tblGrid>
        <w:gridCol w:w="124"/>
        <w:gridCol w:w="256"/>
        <w:gridCol w:w="90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4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successfully launching our product candidates and achieving commercial sales, if and when approved.</w:t>
            </w:r>
          </w:p>
        </w:tc>
      </w:tr>
    </w:tbl>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pStyle w:val="TextBody"/>
        <w:spacing w:before="0" w:after="240"/>
        <w:ind w:left="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Sales and Marketing Expenses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Our sales and marketing expenses primarily relate to the market development and commercialization activities of WAKIX for the treatment of EDS and cataplexy in adult patients with narcolepsy. Market development and commercial activities account for a significant portion of our operating expenses and are expensed as incurred. We expect our sales and marketing expenses to increase in the near- and mid-term to support WAKIX’s indications for the treatment of EDS or cataplexy in adult patients with narcolepsy and to expand our portfolio with the anticipated growth from potential additional indications.</w:t>
      </w:r>
    </w:p>
    <w:p>
      <w:pPr>
        <w:pStyle w:val="TextBody"/>
        <w:spacing w:before="0" w:after="240"/>
        <w:ind w:left="0" w:right="0" w:firstLine="720"/>
        <w:rPr>
          <w:rFonts w:ascii="Arial;Helvetica;sans-serif" w:hAnsi="Arial;Helvetica;sans-serif"/>
          <w:sz w:val="20"/>
        </w:rPr>
      </w:pPr>
      <w:r>
        <w:rPr>
          <w:rFonts w:ascii="Arial;Helvetica;sans-serif" w:hAnsi="Arial;Helvetica;sans-serif"/>
          <w:sz w:val="20"/>
        </w:rPr>
        <w:t>Sales and marketing expenses include: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employee-related expenses, such as salaries, share-based compensation, benefits and travel expenses for our sales, marketing and market access personnel;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healthcare professional-related expenses, including marketing programs, healthcare professional promotional medical education, disease education, conference exhibits and market research;</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patient-related expenses, including patient awareness and education programs, disease awareness education, patient reimbursement programs, patient support services and market research;</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market access expenses, including payor education, specialty pharmacy programs and services to support the continued commercialization of WAKIX;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secondary data purchases (i.e., patient claims and prescription data), data warehouse development and data management.</w:t>
            </w:r>
          </w:p>
        </w:tc>
      </w:tr>
    </w:tbl>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In addition, sales and marketing expenses include external costs such as website development, media placement fees, agency fees for patient, medical education and promotional expenses, market research, analysis of secondary data, conference fees and consulting fees.</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General and Administrative Expenses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be driven by costs associated with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Paragon Agreements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We were party to a management services agreement with Paragon Biosciences, LLC (“Paragon”), which was terminated upon the consummation of our IPO, pursuant to which Paragon provided us with certain professional services.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We are also party to a right-of-use agreement with Paragon whereby we have access to and the right to use certain office space leased by Paragon in Chicago, Illinois. For the three months ended March 31, 2023, we paid fees of $0.1 million pursuant to this agreement.</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Interest Expense, Net</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Interest expense, net consists primarily of interest expense on debt facilities, amortization of debt issuance costs and amortization of premiums on our debt securities, partially offset by interest income earned on our cash and investment balances and accretion of the discount on our debt securities.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Results of Operations</w:t>
      </w:r>
    </w:p>
    <w:p>
      <w:pPr>
        <w:pStyle w:val="TextBody"/>
        <w:spacing w:before="0" w:after="0"/>
        <w:ind w:left="0" w:right="0" w:firstLine="720"/>
        <w:rPr>
          <w:rFonts w:ascii="Arial;Helvetica;sans-serif" w:hAnsi="Arial;Helvetica;sans-serif"/>
          <w:sz w:val="20"/>
        </w:rPr>
      </w:pPr>
      <w:r>
        <w:rPr>
          <w:rFonts w:ascii="Arial;Helvetica;sans-serif" w:hAnsi="Arial;Helvetica;sans-serif"/>
          <w:sz w:val="20"/>
        </w:rPr>
        <w:t>The following table sets forth selected items in our unaudited condensed consolidated statements of operations for the periods presented:</w:t>
      </w:r>
    </w:p>
    <w:p>
      <w:pPr>
        <w:pStyle w:val="TextBody"/>
        <w:spacing w:before="0" w:after="240"/>
        <w:ind w:left="0" w:right="0" w:firstLine="720"/>
        <w:rPr/>
      </w:pPr>
      <w:r>
        <w:rPr/>
        <w:t>​</w:t>
      </w:r>
    </w:p>
    <w:tbl>
      <w:tblPr>
        <w:tblW w:w="7031" w:type="dxa"/>
        <w:jc w:val="left"/>
        <w:tblInd w:w="0" w:type="dxa"/>
        <w:tblCellMar>
          <w:top w:w="0" w:type="dxa"/>
          <w:left w:w="0" w:type="dxa"/>
          <w:bottom w:w="0" w:type="dxa"/>
          <w:right w:w="0" w:type="dxa"/>
        </w:tblCellMar>
      </w:tblPr>
      <w:tblGrid>
        <w:gridCol w:w="4066"/>
        <w:gridCol w:w="326"/>
        <w:gridCol w:w="238"/>
        <w:gridCol w:w="898"/>
        <w:gridCol w:w="367"/>
        <w:gridCol w:w="238"/>
        <w:gridCol w:w="898"/>
      </w:tblGrid>
      <w:tr>
        <w:trPr/>
        <w:tc>
          <w:tcPr>
            <w:tcW w:w="4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581910" cy="175260"/>
                      <wp:effectExtent l="0" t="0" r="0" b="0"/>
                      <wp:wrapNone/>
                      <wp:docPr id="180" name="Frame180"/>
                      <a:graphic xmlns:a="http://schemas.openxmlformats.org/drawingml/2006/main">
                        <a:graphicData uri="http://schemas.microsoft.com/office/word/2010/wordprocessingShape">
                          <wps:wsp>
                            <wps:cNvSpPr txBox="1"/>
                            <wps:spPr>
                              <a:xfrm>
                                <a:off x="0" y="0"/>
                                <a:ext cx="2581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51130" cy="175260"/>
                      <wp:effectExtent l="0" t="0" r="0" b="0"/>
                      <wp:wrapNone/>
                      <wp:docPr id="182" name="Frame182"/>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70230" cy="175260"/>
                      <wp:effectExtent l="0" t="0" r="0" b="0"/>
                      <wp:wrapNone/>
                      <wp:docPr id="183" name="Frame183"/>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33045" cy="175260"/>
                      <wp:effectExtent l="0" t="0" r="0" b="0"/>
                      <wp:wrapNone/>
                      <wp:docPr id="184" name="Frame184"/>
                      <a:graphic xmlns:a="http://schemas.openxmlformats.org/drawingml/2006/main">
                        <a:graphicData uri="http://schemas.microsoft.com/office/word/2010/wordprocessingShape">
                          <wps:wsp>
                            <wps:cNvSpPr txBox="1"/>
                            <wps:spPr>
                              <a:xfrm>
                                <a:off x="0" y="0"/>
                                <a:ext cx="2330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51130" cy="175260"/>
                      <wp:effectExtent l="0" t="0" r="0" b="0"/>
                      <wp:wrapNone/>
                      <wp:docPr id="185" name="Frame185"/>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70230" cy="175260"/>
                      <wp:effectExtent l="0" t="0" r="0" b="0"/>
                      <wp:wrapNone/>
                      <wp:docPr id="186" name="Frame186"/>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3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4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67" w:type="dxa"/>
            <w:tcBorders/>
            <w:shd w:fill="auto" w:val="clear"/>
            <w:vAlign w:val="center"/>
          </w:tcPr>
          <w:p>
            <w:pPr>
              <w:pStyle w:val="TableContents"/>
              <w:spacing w:before="0" w:after="0"/>
              <w:ind w:left="0" w:right="0" w:hanging="0"/>
              <w:rPr/>
            </w:pPr>
            <w:r>
              <w:rPr/>
              <w:t>    </w:t>
            </w:r>
          </w:p>
        </w:tc>
        <w:tc>
          <w:tcPr>
            <w:tcW w:w="11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7031"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4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39" w:type="dxa"/>
            <w:gridSpan w:val="5"/>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r>
      <w:tr>
        <w:trPr/>
        <w:tc>
          <w:tcPr>
            <w:tcW w:w="406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Net product revenue</w:t>
            </w:r>
          </w:p>
        </w:tc>
        <w:tc>
          <w:tcPr>
            <w:tcW w:w="326"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9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119,126</w:t>
            </w:r>
          </w:p>
        </w:tc>
        <w:tc>
          <w:tcPr>
            <w:tcW w:w="367"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9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85,313</w:t>
            </w:r>
          </w:p>
        </w:tc>
      </w:tr>
      <w:tr>
        <w:trPr/>
        <w:tc>
          <w:tcPr>
            <w:tcW w:w="406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Cost of product sales</w:t>
            </w:r>
          </w:p>
        </w:tc>
        <w:tc>
          <w:tcPr>
            <w:tcW w:w="326" w:type="dxa"/>
            <w:tcBorders/>
            <w:shd w:fill="auto" w:val="clear"/>
            <w:vAlign w:val="center"/>
          </w:tcPr>
          <w:p>
            <w:pPr>
              <w:pStyle w:val="TableContents"/>
              <w:spacing w:before="0" w:after="0"/>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20,780</w:t>
            </w:r>
          </w:p>
        </w:tc>
        <w:tc>
          <w:tcPr>
            <w:tcW w:w="367" w:type="dxa"/>
            <w:tcBorders/>
            <w:shd w:fill="auto" w:val="clear"/>
            <w:vAlign w:val="center"/>
          </w:tcPr>
          <w:p>
            <w:pPr>
              <w:pStyle w:val="TableContents"/>
              <w:spacing w:before="0" w:after="0"/>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14,716</w:t>
            </w:r>
          </w:p>
        </w:tc>
      </w:tr>
      <w:tr>
        <w:trPr/>
        <w:tc>
          <w:tcPr>
            <w:tcW w:w="406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pPr>
            <w:r>
              <w:rPr/>
              <w:t> </w:t>
            </w:r>
          </w:p>
        </w:tc>
        <w:tc>
          <w:tcPr>
            <w:tcW w:w="89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98,346</w:t>
            </w:r>
          </w:p>
        </w:tc>
        <w:tc>
          <w:tcPr>
            <w:tcW w:w="367"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pPr>
            <w:r>
              <w:rPr/>
              <w:t> </w:t>
            </w:r>
          </w:p>
        </w:tc>
        <w:tc>
          <w:tcPr>
            <w:tcW w:w="89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70,597</w:t>
            </w:r>
          </w:p>
        </w:tc>
      </w:tr>
      <w:tr>
        <w:trPr/>
        <w:tc>
          <w:tcPr>
            <w:tcW w:w="406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Operating expenses:</w:t>
            </w:r>
          </w:p>
        </w:tc>
        <w:tc>
          <w:tcPr>
            <w:tcW w:w="326"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pPr>
            <w:r>
              <w:rPr/>
              <w:t> </w:t>
            </w:r>
          </w:p>
        </w:tc>
        <w:tc>
          <w:tcPr>
            <w:tcW w:w="898" w:type="dxa"/>
            <w:tcBorders/>
            <w:shd w:fill="auto" w:val="clear"/>
            <w:vAlign w:val="center"/>
          </w:tcPr>
          <w:p>
            <w:pPr>
              <w:pStyle w:val="TableContents"/>
              <w:spacing w:before="0" w:after="0"/>
              <w:ind w:left="0" w:right="0" w:hanging="0"/>
              <w:jc w:val="right"/>
              <w:rPr/>
            </w:pPr>
            <w:r>
              <w:rPr/>
              <w:t>  </w:t>
            </w:r>
          </w:p>
        </w:tc>
        <w:tc>
          <w:tcPr>
            <w:tcW w:w="367"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pPr>
            <w:r>
              <w:rPr/>
              <w:t> </w:t>
            </w:r>
          </w:p>
        </w:tc>
        <w:tc>
          <w:tcPr>
            <w:tcW w:w="898" w:type="dxa"/>
            <w:tcBorders/>
            <w:shd w:fill="auto" w:val="clear"/>
            <w:vAlign w:val="center"/>
          </w:tcPr>
          <w:p>
            <w:pPr>
              <w:pStyle w:val="TableContents"/>
              <w:spacing w:before="0" w:after="0"/>
              <w:ind w:left="0" w:right="0" w:hanging="0"/>
              <w:jc w:val="right"/>
              <w:rPr/>
            </w:pPr>
            <w:r>
              <w:rPr/>
              <w:t>  </w:t>
            </w:r>
          </w:p>
        </w:tc>
      </w:tr>
      <w:tr>
        <w:trPr/>
        <w:tc>
          <w:tcPr>
            <w:tcW w:w="406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pPr>
            <w:r>
              <w:rPr/>
              <w:t> </w:t>
            </w:r>
          </w:p>
        </w:tc>
        <w:tc>
          <w:tcPr>
            <w:tcW w:w="89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13,289</w:t>
            </w:r>
          </w:p>
        </w:tc>
        <w:tc>
          <w:tcPr>
            <w:tcW w:w="367"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pPr>
            <w:r>
              <w:rPr/>
              <w:t> </w:t>
            </w:r>
          </w:p>
        </w:tc>
        <w:tc>
          <w:tcPr>
            <w:tcW w:w="89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7,578</w:t>
            </w:r>
          </w:p>
        </w:tc>
      </w:tr>
      <w:tr>
        <w:trPr/>
        <w:tc>
          <w:tcPr>
            <w:tcW w:w="406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Sales and marketing</w:t>
            </w:r>
          </w:p>
        </w:tc>
        <w:tc>
          <w:tcPr>
            <w:tcW w:w="326"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pPr>
            <w:r>
              <w:rPr/>
              <w:t> </w:t>
            </w:r>
          </w:p>
        </w:tc>
        <w:tc>
          <w:tcPr>
            <w:tcW w:w="89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22,572</w:t>
            </w:r>
          </w:p>
        </w:tc>
        <w:tc>
          <w:tcPr>
            <w:tcW w:w="367"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pPr>
            <w:r>
              <w:rPr/>
              <w:t> </w:t>
            </w:r>
          </w:p>
        </w:tc>
        <w:tc>
          <w:tcPr>
            <w:tcW w:w="89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17,583</w:t>
            </w:r>
          </w:p>
        </w:tc>
      </w:tr>
      <w:tr>
        <w:trPr/>
        <w:tc>
          <w:tcPr>
            <w:tcW w:w="406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3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9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22,062</w:t>
            </w:r>
          </w:p>
        </w:tc>
        <w:tc>
          <w:tcPr>
            <w:tcW w:w="367" w:type="dxa"/>
            <w:tcBorders/>
            <w:shd w:fill="CCEEFF" w:val="clear"/>
            <w:vAlign w:val="center"/>
          </w:tcPr>
          <w:p>
            <w:pPr>
              <w:pStyle w:val="TableContents"/>
              <w:spacing w:before="0" w:after="0"/>
              <w:ind w:left="0" w:right="0" w:hanging="0"/>
              <w:rPr/>
            </w:pPr>
            <w:r>
              <w:rPr/>
              <w:t>​</w:t>
            </w:r>
          </w:p>
        </w:tc>
        <w:tc>
          <w:tcPr>
            <w:tcW w:w="23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9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17,880</w:t>
            </w:r>
          </w:p>
        </w:tc>
      </w:tr>
      <w:tr>
        <w:trPr/>
        <w:tc>
          <w:tcPr>
            <w:tcW w:w="406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operating expenses</w:t>
            </w:r>
          </w:p>
        </w:tc>
        <w:tc>
          <w:tcPr>
            <w:tcW w:w="326"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pPr>
            <w:r>
              <w:rPr/>
              <w:t> </w:t>
            </w:r>
          </w:p>
        </w:tc>
        <w:tc>
          <w:tcPr>
            <w:tcW w:w="89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57,923</w:t>
            </w:r>
          </w:p>
        </w:tc>
        <w:tc>
          <w:tcPr>
            <w:tcW w:w="367"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pPr>
            <w:r>
              <w:rPr/>
              <w:t> </w:t>
            </w:r>
          </w:p>
        </w:tc>
        <w:tc>
          <w:tcPr>
            <w:tcW w:w="89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43,041</w:t>
            </w:r>
          </w:p>
        </w:tc>
      </w:tr>
      <w:tr>
        <w:trPr/>
        <w:tc>
          <w:tcPr>
            <w:tcW w:w="406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Operating income</w:t>
            </w:r>
          </w:p>
        </w:tc>
        <w:tc>
          <w:tcPr>
            <w:tcW w:w="326"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pPr>
            <w:r>
              <w:rPr/>
              <w:t> </w:t>
            </w:r>
          </w:p>
        </w:tc>
        <w:tc>
          <w:tcPr>
            <w:tcW w:w="89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40,423</w:t>
            </w:r>
          </w:p>
        </w:tc>
        <w:tc>
          <w:tcPr>
            <w:tcW w:w="367"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pPr>
            <w:r>
              <w:rPr/>
              <w:t> </w:t>
            </w:r>
          </w:p>
        </w:tc>
        <w:tc>
          <w:tcPr>
            <w:tcW w:w="89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27,556</w:t>
            </w:r>
          </w:p>
        </w:tc>
      </w:tr>
      <w:tr>
        <w:trPr/>
        <w:tc>
          <w:tcPr>
            <w:tcW w:w="4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pPr>
            <w:r>
              <w:rPr/>
              <w:t>​</w:t>
            </w:r>
          </w:p>
        </w:tc>
        <w:tc>
          <w:tcPr>
            <w:tcW w:w="898" w:type="dxa"/>
            <w:tcBorders/>
            <w:shd w:fill="auto" w:val="clear"/>
            <w:vAlign w:val="center"/>
          </w:tcPr>
          <w:p>
            <w:pPr>
              <w:pStyle w:val="TableContents"/>
              <w:spacing w:before="0" w:after="0"/>
              <w:ind w:left="0" w:right="0" w:hanging="0"/>
              <w:jc w:val="right"/>
              <w:rPr/>
            </w:pPr>
            <w:r>
              <w:rPr/>
              <w:t>​</w:t>
            </w:r>
          </w:p>
        </w:tc>
        <w:tc>
          <w:tcPr>
            <w:tcW w:w="367"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pPr>
            <w:r>
              <w:rPr/>
              <w:t>​</w:t>
            </w:r>
          </w:p>
        </w:tc>
        <w:tc>
          <w:tcPr>
            <w:tcW w:w="898" w:type="dxa"/>
            <w:tcBorders/>
            <w:shd w:fill="auto" w:val="clear"/>
            <w:vAlign w:val="center"/>
          </w:tcPr>
          <w:p>
            <w:pPr>
              <w:pStyle w:val="TableContents"/>
              <w:spacing w:before="0" w:after="0"/>
              <w:ind w:left="0" w:right="0" w:hanging="0"/>
              <w:jc w:val="right"/>
              <w:rPr/>
            </w:pPr>
            <w:r>
              <w:rPr/>
              <w:t>​</w:t>
            </w:r>
          </w:p>
        </w:tc>
      </w:tr>
      <w:tr>
        <w:trPr/>
        <w:tc>
          <w:tcPr>
            <w:tcW w:w="406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Other income (expense), net</w:t>
            </w:r>
          </w:p>
        </w:tc>
        <w:tc>
          <w:tcPr>
            <w:tcW w:w="326"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pPr>
            <w:r>
              <w:rPr/>
              <w:t> </w:t>
            </w:r>
          </w:p>
        </w:tc>
        <w:tc>
          <w:tcPr>
            <w:tcW w:w="89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367"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pPr>
            <w:r>
              <w:rPr/>
              <w:t> </w:t>
            </w:r>
          </w:p>
        </w:tc>
        <w:tc>
          <w:tcPr>
            <w:tcW w:w="89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w:t>
            </w:r>
          </w:p>
        </w:tc>
      </w:tr>
      <w:tr>
        <w:trPr/>
        <w:tc>
          <w:tcPr>
            <w:tcW w:w="406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Interest expense, net</w:t>
            </w:r>
          </w:p>
        </w:tc>
        <w:tc>
          <w:tcPr>
            <w:tcW w:w="326" w:type="dxa"/>
            <w:tcBorders/>
            <w:shd w:fill="auto" w:val="clear"/>
            <w:vAlign w:val="center"/>
          </w:tcPr>
          <w:p>
            <w:pPr>
              <w:pStyle w:val="TableContents"/>
              <w:spacing w:before="0" w:after="0"/>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(2,645)</w:t>
            </w:r>
          </w:p>
        </w:tc>
        <w:tc>
          <w:tcPr>
            <w:tcW w:w="367" w:type="dxa"/>
            <w:tcBorders/>
            <w:shd w:fill="auto" w:val="clear"/>
            <w:vAlign w:val="center"/>
          </w:tcPr>
          <w:p>
            <w:pPr>
              <w:pStyle w:val="TableContents"/>
              <w:spacing w:before="0" w:after="0"/>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(4,169)</w:t>
            </w:r>
          </w:p>
        </w:tc>
      </w:tr>
      <w:tr>
        <w:trPr/>
        <w:tc>
          <w:tcPr>
            <w:tcW w:w="406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Net income before provision for income taxes</w:t>
            </w:r>
          </w:p>
        </w:tc>
        <w:tc>
          <w:tcPr>
            <w:tcW w:w="326"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pPr>
            <w:r>
              <w:rPr/>
              <w:t> </w:t>
            </w:r>
          </w:p>
        </w:tc>
        <w:tc>
          <w:tcPr>
            <w:tcW w:w="89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37,780</w:t>
            </w:r>
          </w:p>
        </w:tc>
        <w:tc>
          <w:tcPr>
            <w:tcW w:w="367"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pPr>
            <w:r>
              <w:rPr/>
              <w:t> </w:t>
            </w:r>
          </w:p>
        </w:tc>
        <w:tc>
          <w:tcPr>
            <w:tcW w:w="89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23,385</w:t>
            </w:r>
          </w:p>
        </w:tc>
      </w:tr>
      <w:tr>
        <w:trPr/>
        <w:tc>
          <w:tcPr>
            <w:tcW w:w="406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Income tax expense</w:t>
            </w:r>
          </w:p>
        </w:tc>
        <w:tc>
          <w:tcPr>
            <w:tcW w:w="326" w:type="dxa"/>
            <w:tcBorders/>
            <w:shd w:fill="auto" w:val="clear"/>
            <w:vAlign w:val="center"/>
          </w:tcPr>
          <w:p>
            <w:pPr>
              <w:pStyle w:val="TableContents"/>
              <w:spacing w:before="0" w:after="0"/>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(8,295)</w:t>
            </w:r>
          </w:p>
        </w:tc>
        <w:tc>
          <w:tcPr>
            <w:tcW w:w="367" w:type="dxa"/>
            <w:tcBorders/>
            <w:shd w:fill="auto" w:val="clear"/>
            <w:vAlign w:val="center"/>
          </w:tcPr>
          <w:p>
            <w:pPr>
              <w:pStyle w:val="TableContents"/>
              <w:spacing w:before="0" w:after="0"/>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(1,900)</w:t>
            </w:r>
          </w:p>
        </w:tc>
      </w:tr>
      <w:tr>
        <w:trPr/>
        <w:tc>
          <w:tcPr>
            <w:tcW w:w="406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xml:space="preserve">Net income </w:t>
            </w:r>
          </w:p>
        </w:tc>
        <w:tc>
          <w:tcPr>
            <w:tcW w:w="326" w:type="dxa"/>
            <w:tcBorders/>
            <w:shd w:fill="CCEEFF" w:val="clear"/>
            <w:vAlign w:val="center"/>
          </w:tcPr>
          <w:p>
            <w:pPr>
              <w:pStyle w:val="TableContents"/>
              <w:spacing w:before="0" w:after="0"/>
              <w:ind w:left="0" w:right="0" w:hanging="0"/>
              <w:rPr/>
            </w:pPr>
            <w:r>
              <w:rPr/>
              <w:t>​</w:t>
            </w:r>
          </w:p>
        </w:tc>
        <w:tc>
          <w:tcPr>
            <w:tcW w:w="238"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9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29,485</w:t>
            </w:r>
          </w:p>
        </w:tc>
        <w:tc>
          <w:tcPr>
            <w:tcW w:w="367" w:type="dxa"/>
            <w:tcBorders/>
            <w:shd w:fill="CCEEFF" w:val="clear"/>
            <w:vAlign w:val="center"/>
          </w:tcPr>
          <w:p>
            <w:pPr>
              <w:pStyle w:val="TableContents"/>
              <w:spacing w:before="0" w:after="0"/>
              <w:ind w:left="0" w:right="0" w:hanging="0"/>
              <w:rPr/>
            </w:pPr>
            <w:r>
              <w:rPr/>
              <w:t>​</w:t>
            </w:r>
          </w:p>
        </w:tc>
        <w:tc>
          <w:tcPr>
            <w:tcW w:w="238"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98"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Arial;Helvetica;sans-serif" w:hAnsi="Arial;Helvetica;sans-serif"/>
                <w:sz w:val="20"/>
              </w:rPr>
            </w:pPr>
            <w:r>
              <w:rPr>
                <w:rFonts w:ascii="Arial;Helvetica;sans-serif" w:hAnsi="Arial;Helvetica;sans-serif"/>
                <w:sz w:val="20"/>
              </w:rPr>
              <w:t>21,485</w:t>
            </w:r>
          </w:p>
        </w:tc>
      </w:tr>
    </w:tbl>
    <w:p>
      <w:pPr>
        <w:pStyle w:val="TextBody"/>
        <w:spacing w:before="0" w:after="0"/>
        <w:ind w:left="0" w:right="0" w:hanging="0"/>
        <w:rPr/>
      </w:pPr>
      <w:r>
        <w:rPr/>
        <w:t>​</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Net Product Revenue</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Net product revenue increased by $33.8 million, or 39.6%, for the three months ended March 31, 2023, compared to the same period in 2022. The increase was due to the growth in the average number of patients on WAKIX from 4,300 during the three months ended March 31, 2022 to 5,100 during the three months ended March 31, 2023, and price increases. </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Cost of Product Sales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Cost of product sales increased by $6.1 million, or 41.2%, for the three months ended March 31, 2023, compared to the same period in 2022. The increase was due to higher sales of WAKIX. Cost of product sales is primarily comprised of the royalty to Bioprojet.</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Research and Development Expenses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Research and development expenses increased by $5.7 million, or 75.4%, for the three months ended March 31, 2023, compared to the same period in 2022. The increase for the three months ended March 31, 2023 was primarily driven by increased clinical development work associated with IH, PWS and DM, an IPR&amp;D charge related milestone related to preclinical milestones achieved for HBS-102 and increased personnel costs. </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Sales and Marketing Expenses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Sales and marketing expenses increased by $5.0 million, or 28.4%, for the three months ended March 31, 2023, compared to the same period in 2022. The increase was primarily due to patient engagement and marketing activities driven by our commercialization of WAKIX and increased personnel costs related to sales force expansion.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General and Administrative Expenses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General and administrative expenses increased by $4.2 million, or 23.4%, for the three months ended March 31, 2023, as compared to the same period in 2022. The increase was primarily due to an increase to stock compensation associated with new awards, an increase in personnel cost, and an increase in intangible asset amortization as a result of the $40.0 million milestone payment in March 2022 upon attaining $500.0 million in life-to-date aggregate net sales of WAKIX in the United States.</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Interest Expense, Net</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Interest expense, net decreased by $1.5 million, or 36.6%, for the three months ended March 31, 2023, compared to the same period in 2022 primarily due to interest income generated from our investments and cash equivalents, partially offset by higher interest rates on our debt as a result of the increase to the LIBOR. </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Income Taxes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Income tax expense was $8.3 million, representing a 22.0% effective tax rate, for the three months ended March 31, 2023, and $1.9 million, or an effective tax rate of 8.1%, as compared to the same period in 2022. The increase in our effective tax rate was primarily driven by the utilization of net operating loss (“NOL”) carryforwards during 2022, which reduced our effective rate tax in the prior year. We have utilized all of our federal NOL carryforwards as of December 31, 2022, and the utilization of state NOL carryforwards may be subject to a substantial limitation due to state provisions.  The effective tax rate of 22.0% for the three months ended March 31, 2023 included 6.3% for the provision of state income taxes, partially offset by a tax windfall benefit of 2.8% from the exercise of stock options and a 2.9% benefit from credits.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Liquidity, Sources of Funding and Capital Resources</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Overview</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To date, we have financed our operations primarily with (a) proceeds from sales of our convertible preferred stock; (b) borrowings under our debt agreements; (c) the proceeds from our IPO; and (d) the proceeds from the sale of common stock to Blackstone. From our inception through our IPO, we received aggregate proceeds of $345.0 million from sales of our convertible preferred stock. In August 2020, we completed the IPO of our common stock, in which we sold 6,151,162 shares of our common stock, including 802,325 shares of our common stock pursuant to the underwriters’ over-allotment option. The shares were sold at a price of $24.00 per share for net proceeds of approximately $135.4 million. As of March 31, 2023, we had cash, cash equivalents, restricted cash and investments of $393.2 million and an accumulated deficit of $242.6 million. As of March 31, 2023, we had outstanding debt of $197.0 million.</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We have invested a portion of our available cash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Our investment portfolio may be adversely impacted by future disruptions in the credit markets. </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unaudited condensed consolidated financial statements have been prepared as though we will continue as a going concern, which contemplates the realization of assets and satisfaction of liabilities in the normal course of business. </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sz w:val="20"/>
        </w:rPr>
        <w:t xml:space="preserve">We believe that our anticipated cash from operating and financing activities, existing cash, cash equivalents and investments, as well as our ability to borrow additional funds under the Blackstone Credit Agreement, will enable us to meet our operational liquidity needs and fund our planned investing activities for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next 12 months. We have based our liquidity and cash flow projections on assumptions that may prove to be incorrect, and we could use our capital resources sooner than we expect. </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Blackstone Credit Agreement</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 August 2021, we entered into the Blackstone Credit Agreement that provided for (i) a senior secured term loan facility in an aggregate original principal amount of $200.0 million (the “Initial Term Loan”) and (ii) a senior secured delayed draw term loan facility in an aggregate principal amount up to $100.0 million (the “DDTL” and, together with the Initial Term Loans, the “Loans”). The DDTL was initially available to draw down through August 9, 2022. In August 2022, we entered into an agreement to extend the expiration date of the DDTL to August 9, 2023, for which we will pay a ticking fee at a rate of 1% per annum on the undrawn portion of the DDTL, which commenced on August 10, 2022. We used substantially all of the proceeds from the Blackstone Credit Agreement, and the related sale of our common stock, to repay the balance of the OrbiMed Credit Agreement. </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The repayment schedule for the Initial Term Loan consists of quarterly $0.5 million principal payments, which commenced on December 31, 2021 and increases to quarterly $5.0 million payments beginning on March 31, 2024, with a $145.5 million payment due on the maturity date of August 9, 2026 (“Maturity Date”). Interest is payable quarterly commencing on November 9, 2021 and continuing through the Maturity Date. The Initial Term Loan bears interest at a per annum rate equal to LIBOR, subject to a 1.00% floor, plus 6.50%. The Loans are guaranteed by our subsidiary Harmony Biosciences, LLC.</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Blackstone Credit Agreement contains affirmative and negative covenants, including limitations on our ability, among other things, to incur additional debt, grant or permit additional liens, make investments and acquisitions, merge or consolidate with others, dispose of assets, pay dividends and distributions and enter into affiliate transactions, in each case, subject to certain exceptions. In addition, the Blackstone Credit Agreement contains a financial covenant that requires us to maintain at all times cash and cash equivalents in certain deposit accounts in an amount at least equal to $10.0 million. We were in compliance with all covenants as of March 31, 2023. </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Agreement Related to Intellectual Property</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In August 2021, we entered into the APA to acquire HBS-102, a potential first-in-class molecule with a novel mechanism of action. Under the terms of the agreement, we acquired full development and commercialization rights globally, with the exception of Greater China, for $3.5 million. Additionally, there are payments due upon the achievement of certain milestones, including $1.0 million for additional preclinical milestones (see “Recent Milestone Payment”), $19.0 million for development milestones, $44.0 million for regulatory milestones and $110.0 million for sales milestones.</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License Agreement</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 July 2022, we entered into the 2022 LCA with Bioprojet whereby we obtained exclusive rights to manufacture, use and commercialize one or more new products based on pitolisant in the United States and Latin America, with the potential to add additional indications and formulations upon the agreement of both parties. We paid an initial, non-refundable $30.0 million licensing fee in October 2022 and additional payments of up to $155.0 million are potentially due under the 2022 LCA upon the achievement of certain future development and sales-based milestones. In addition, certain payments will become due upon the achievement of development milestones for new indications and formulations as agreed upon by both parties. The 2022 LCA also includes a fixed trademark royalty and a tiered royalty based on net sales of any new products commercialized, which will be payable to Bioprojet on a quarterly basis.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Recent Milestone Payments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In March 2023, we achieved a preclinical milestone, which triggered a $0.8 million payment under the provisions of the APA, which we expect to pay in April 2023.  </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In March 2022, we made a final $40.0 million milestone payment to Bioprojet upon WAKIX attaining $500.0 million in life-to-date aggregate net sales in the United States.</w:t>
      </w:r>
    </w:p>
    <w:p>
      <w:pPr>
        <w:pStyle w:val="TextBody"/>
        <w:spacing w:before="0" w:after="240"/>
        <w:ind w:left="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Cash Flows</w:t>
      </w:r>
    </w:p>
    <w:p>
      <w:pPr>
        <w:pStyle w:val="TextBody"/>
        <w:spacing w:before="0" w:after="0"/>
        <w:ind w:left="0" w:right="0" w:firstLine="720"/>
        <w:rPr>
          <w:rFonts w:ascii="Arial;Helvetica;sans-serif" w:hAnsi="Arial;Helvetica;sans-serif"/>
          <w:sz w:val="20"/>
        </w:rPr>
      </w:pPr>
      <w:r>
        <w:rPr>
          <w:rFonts w:ascii="Arial;Helvetica;sans-serif" w:hAnsi="Arial;Helvetica;sans-serif"/>
          <w:sz w:val="20"/>
        </w:rPr>
        <w:t>The following table sets forth a summary of our cash flows for the three months ended March 31, 2023 and 2022:</w:t>
      </w:r>
    </w:p>
    <w:p>
      <w:pPr>
        <w:pStyle w:val="TextBody"/>
        <w:spacing w:before="0" w:after="240"/>
        <w:ind w:left="0" w:right="0" w:firstLine="720"/>
        <w:rPr/>
      </w:pPr>
      <w:r>
        <w:rPr/>
        <w:t>​</w:t>
      </w:r>
    </w:p>
    <w:tbl>
      <w:tblPr>
        <w:tblW w:w="5471" w:type="dxa"/>
        <w:jc w:val="left"/>
        <w:tblInd w:w="0" w:type="dxa"/>
        <w:tblCellMar>
          <w:top w:w="0" w:type="dxa"/>
          <w:left w:w="0" w:type="dxa"/>
          <w:bottom w:w="0" w:type="dxa"/>
          <w:right w:w="0" w:type="dxa"/>
        </w:tblCellMar>
      </w:tblPr>
      <w:tblGrid>
        <w:gridCol w:w="2506"/>
        <w:gridCol w:w="326"/>
        <w:gridCol w:w="241"/>
        <w:gridCol w:w="807"/>
        <w:gridCol w:w="372"/>
        <w:gridCol w:w="241"/>
        <w:gridCol w:w="978"/>
      </w:tblGrid>
      <w:tr>
        <w:trPr/>
        <w:tc>
          <w:tcPr>
            <w:tcW w:w="25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591310" cy="175260"/>
                      <wp:effectExtent l="0" t="0" r="0" b="0"/>
                      <wp:wrapNone/>
                      <wp:docPr id="187" name="Frame187"/>
                      <a:graphic xmlns:a="http://schemas.openxmlformats.org/drawingml/2006/main">
                        <a:graphicData uri="http://schemas.microsoft.com/office/word/2010/wordprocessingShape">
                          <wps:wsp>
                            <wps:cNvSpPr txBox="1"/>
                            <wps:spPr>
                              <a:xfrm>
                                <a:off x="0" y="0"/>
                                <a:ext cx="1591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53035" cy="175260"/>
                      <wp:effectExtent l="0" t="0" r="0" b="0"/>
                      <wp:wrapNone/>
                      <wp:docPr id="189" name="Frame189"/>
                      <a:graphic xmlns:a="http://schemas.openxmlformats.org/drawingml/2006/main">
                        <a:graphicData uri="http://schemas.microsoft.com/office/word/2010/wordprocessingShape">
                          <wps:wsp>
                            <wps:cNvSpPr txBox="1"/>
                            <wps:spPr>
                              <a:xfrm>
                                <a:off x="0" y="0"/>
                                <a:ext cx="153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12445" cy="175260"/>
                      <wp:effectExtent l="0" t="0" r="0" b="0"/>
                      <wp:wrapNone/>
                      <wp:docPr id="190" name="Frame190"/>
                      <a:graphic xmlns:a="http://schemas.openxmlformats.org/drawingml/2006/main">
                        <a:graphicData uri="http://schemas.microsoft.com/office/word/2010/wordprocessingShape">
                          <wps:wsp>
                            <wps:cNvSpPr txBox="1"/>
                            <wps:spPr>
                              <a:xfrm>
                                <a:off x="0" y="0"/>
                                <a:ext cx="5124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36220" cy="175260"/>
                      <wp:effectExtent l="0" t="0" r="0" b="0"/>
                      <wp:wrapNone/>
                      <wp:docPr id="191" name="Frame191"/>
                      <a:graphic xmlns:a="http://schemas.openxmlformats.org/drawingml/2006/main">
                        <a:graphicData uri="http://schemas.microsoft.com/office/word/2010/wordprocessingShape">
                          <wps:wsp>
                            <wps:cNvSpPr txBox="1"/>
                            <wps:spPr>
                              <a:xfrm>
                                <a:off x="0" y="0"/>
                                <a:ext cx="2362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53035" cy="175260"/>
                      <wp:effectExtent l="0" t="0" r="0" b="0"/>
                      <wp:wrapNone/>
                      <wp:docPr id="192" name="Frame192"/>
                      <a:graphic xmlns:a="http://schemas.openxmlformats.org/drawingml/2006/main">
                        <a:graphicData uri="http://schemas.microsoft.com/office/word/2010/wordprocessingShape">
                          <wps:wsp>
                            <wps:cNvSpPr txBox="1"/>
                            <wps:spPr>
                              <a:xfrm>
                                <a:off x="0" y="0"/>
                                <a:ext cx="153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21030" cy="175260"/>
                      <wp:effectExtent l="0" t="0" r="0" b="0"/>
                      <wp:wrapNone/>
                      <wp:docPr id="193" name="Frame193"/>
                      <a:graphic xmlns:a="http://schemas.openxmlformats.org/drawingml/2006/main">
                        <a:graphicData uri="http://schemas.microsoft.com/office/word/2010/wordprocessingShape">
                          <wps:wsp>
                            <wps:cNvSpPr txBox="1"/>
                            <wps:spPr>
                              <a:xfrm>
                                <a:off x="0" y="0"/>
                                <a:ext cx="6210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3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25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4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72" w:type="dxa"/>
            <w:tcBorders/>
            <w:shd w:fill="auto" w:val="clear"/>
            <w:vAlign w:val="center"/>
          </w:tcPr>
          <w:p>
            <w:pPr>
              <w:pStyle w:val="TableContents"/>
              <w:spacing w:before="0" w:after="0"/>
              <w:ind w:left="0" w:right="0" w:hanging="0"/>
              <w:rPr/>
            </w:pPr>
            <w:r>
              <w:rPr/>
              <w:t>    </w:t>
            </w:r>
          </w:p>
        </w:tc>
        <w:tc>
          <w:tcPr>
            <w:tcW w:w="121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5471"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2506" w:type="dxa"/>
            <w:tcBorders/>
            <w:shd w:fill="auto" w:val="cle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Selected cash flow data</w:t>
            </w:r>
          </w:p>
        </w:tc>
        <w:tc>
          <w:tcPr>
            <w:tcW w:w="326" w:type="dxa"/>
            <w:tcBorders/>
            <w:shd w:fill="auto" w:val="clear"/>
            <w:vAlign w:val="center"/>
          </w:tcPr>
          <w:p>
            <w:pPr>
              <w:pStyle w:val="TableContents"/>
              <w:spacing w:before="0" w:after="0"/>
              <w:ind w:left="0" w:right="0" w:hanging="0"/>
              <w:rPr/>
            </w:pPr>
            <w:r>
              <w:rPr/>
              <w:t>​</w:t>
            </w:r>
          </w:p>
        </w:tc>
        <w:tc>
          <w:tcPr>
            <w:tcW w:w="2639" w:type="dxa"/>
            <w:gridSpan w:val="5"/>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r>
      <w:tr>
        <w:trPr/>
        <w:tc>
          <w:tcPr>
            <w:tcW w:w="25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Cash provided by (used in):</w:t>
            </w:r>
          </w:p>
        </w:tc>
        <w:tc>
          <w:tcPr>
            <w:tcW w:w="326" w:type="dxa"/>
            <w:tcBorders/>
            <w:shd w:fill="CCEEFF" w:val="clear"/>
            <w:vAlign w:val="center"/>
          </w:tcPr>
          <w:p>
            <w:pPr>
              <w:pStyle w:val="TableContents"/>
              <w:spacing w:before="0" w:after="0"/>
              <w:ind w:left="0" w:right="0" w:hanging="0"/>
              <w:rPr/>
            </w:pPr>
            <w:r>
              <w:rPr/>
              <w:t> </w:t>
            </w:r>
          </w:p>
        </w:tc>
        <w:tc>
          <w:tcPr>
            <w:tcW w:w="241" w:type="dxa"/>
            <w:tcBorders/>
            <w:shd w:fill="CCEEFF" w:val="clear"/>
            <w:vAlign w:val="center"/>
          </w:tcPr>
          <w:p>
            <w:pPr>
              <w:pStyle w:val="TableContents"/>
              <w:spacing w:before="0" w:after="0"/>
              <w:ind w:left="0" w:right="0" w:hanging="0"/>
              <w:rPr/>
            </w:pPr>
            <w:r>
              <w:rPr/>
              <w:t>​</w:t>
            </w:r>
          </w:p>
        </w:tc>
        <w:tc>
          <w:tcPr>
            <w:tcW w:w="807" w:type="dxa"/>
            <w:tcBorders/>
            <w:shd w:fill="CCEEFF" w:val="clear"/>
            <w:vAlign w:val="center"/>
          </w:tcPr>
          <w:p>
            <w:pPr>
              <w:pStyle w:val="TableContents"/>
              <w:spacing w:before="0" w:after="0"/>
              <w:ind w:left="0" w:right="0" w:hanging="0"/>
              <w:jc w:val="right"/>
              <w:rPr/>
            </w:pPr>
            <w:r>
              <w:rPr/>
              <w:t>  </w:t>
            </w:r>
          </w:p>
        </w:tc>
        <w:tc>
          <w:tcPr>
            <w:tcW w:w="372" w:type="dxa"/>
            <w:tcBorders/>
            <w:shd w:fill="CCEEFF" w:val="clear"/>
            <w:vAlign w:val="center"/>
          </w:tcPr>
          <w:p>
            <w:pPr>
              <w:pStyle w:val="TableContents"/>
              <w:spacing w:before="0" w:after="0"/>
              <w:ind w:left="0" w:right="0" w:hanging="0"/>
              <w:rPr/>
            </w:pPr>
            <w:r>
              <w:rPr/>
              <w:t> </w:t>
            </w:r>
          </w:p>
        </w:tc>
        <w:tc>
          <w:tcPr>
            <w:tcW w:w="241" w:type="dxa"/>
            <w:tcBorders/>
            <w:shd w:fill="CCEEFF" w:val="clear"/>
            <w:vAlign w:val="center"/>
          </w:tcPr>
          <w:p>
            <w:pPr>
              <w:pStyle w:val="TableContents"/>
              <w:spacing w:before="0" w:after="0"/>
              <w:ind w:left="0" w:right="0" w:hanging="0"/>
              <w:rPr/>
            </w:pPr>
            <w:r>
              <w:rPr/>
              <w:t>​</w:t>
            </w:r>
          </w:p>
        </w:tc>
        <w:tc>
          <w:tcPr>
            <w:tcW w:w="978" w:type="dxa"/>
            <w:tcBorders/>
            <w:shd w:fill="CCEEFF" w:val="clear"/>
            <w:vAlign w:val="center"/>
          </w:tcPr>
          <w:p>
            <w:pPr>
              <w:pStyle w:val="TableContents"/>
              <w:spacing w:before="0" w:after="0"/>
              <w:ind w:left="0" w:right="0" w:hanging="0"/>
              <w:jc w:val="right"/>
              <w:rPr/>
            </w:pPr>
            <w:r>
              <w:rPr/>
              <w:t>  </w:t>
            </w:r>
          </w:p>
        </w:tc>
      </w:tr>
      <w:tr>
        <w:trPr/>
        <w:tc>
          <w:tcPr>
            <w:tcW w:w="25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Operating activities</w:t>
            </w:r>
          </w:p>
        </w:tc>
        <w:tc>
          <w:tcPr>
            <w:tcW w:w="32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07"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42,559</w:t>
            </w:r>
          </w:p>
        </w:tc>
        <w:tc>
          <w:tcPr>
            <w:tcW w:w="372"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7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28,852</w:t>
            </w:r>
          </w:p>
        </w:tc>
      </w:tr>
      <w:tr>
        <w:trPr/>
        <w:tc>
          <w:tcPr>
            <w:tcW w:w="25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Investing activities</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807"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(1,790)</w:t>
            </w:r>
          </w:p>
        </w:tc>
        <w:tc>
          <w:tcPr>
            <w:tcW w:w="372"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 </w:t>
            </w:r>
          </w:p>
        </w:tc>
        <w:tc>
          <w:tcPr>
            <w:tcW w:w="97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(40,045)</w:t>
            </w:r>
          </w:p>
        </w:tc>
      </w:tr>
      <w:tr>
        <w:trPr/>
        <w:tc>
          <w:tcPr>
            <w:tcW w:w="25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Financing activities</w:t>
            </w:r>
          </w:p>
        </w:tc>
        <w:tc>
          <w:tcPr>
            <w:tcW w:w="32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 </w:t>
            </w:r>
          </w:p>
        </w:tc>
        <w:tc>
          <w:tcPr>
            <w:tcW w:w="807"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3,409</w:t>
            </w:r>
          </w:p>
        </w:tc>
        <w:tc>
          <w:tcPr>
            <w:tcW w:w="372"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 </w:t>
            </w:r>
          </w:p>
        </w:tc>
        <w:tc>
          <w:tcPr>
            <w:tcW w:w="978" w:type="dxa"/>
            <w:tcBorders/>
            <w:shd w:fill="auto" w:val="clear"/>
            <w:vAlign w:val="center"/>
          </w:tcPr>
          <w:p>
            <w:pPr>
              <w:pStyle w:val="TableContents"/>
              <w:spacing w:before="0" w:after="0"/>
              <w:ind w:left="0" w:right="60" w:hanging="0"/>
              <w:jc w:val="right"/>
              <w:rPr>
                <w:rFonts w:ascii="Arial;Helvetica;sans-serif" w:hAnsi="Arial;Helvetica;sans-serif"/>
                <w:sz w:val="20"/>
              </w:rPr>
            </w:pPr>
            <w:r>
              <w:rPr>
                <w:rFonts w:ascii="Arial;Helvetica;sans-serif" w:hAnsi="Arial;Helvetica;sans-serif"/>
                <w:sz w:val="20"/>
              </w:rPr>
              <w:t>1,383</w:t>
            </w:r>
          </w:p>
        </w:tc>
      </w:tr>
    </w:tbl>
    <w:p>
      <w:pPr>
        <w:pStyle w:val="TextBody"/>
        <w:spacing w:before="0" w:after="0"/>
        <w:ind w:left="0" w:right="0" w:hanging="0"/>
        <w:rPr/>
      </w:pPr>
      <w:r>
        <w:rPr/>
        <w:t>​</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Operating Activities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Net cash provided by operating activities for the three months ended March 31, 2023 consisted of our net income of $29.5 million adjusted for non-cash items of $3.4 million related to deferred tax assets, $6.1 million related to intangible amortization and depreciation and $6.6 million related to stock-based compensation expense. Net working capital excluding cash increased by $3.7 million.</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Net cash provided by operating activities for the three months ended March 31, 2022 consisted of our net income of $21.5 million adjusted for non-cash items of $5.2 million related to intangible amortization and depreciation and $4.9 million related to stock-based compensation expense. Net working capital excluding cash decreased by $3.5 million.</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Investing Activities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Net cash used in investing activities for the three months ended March 31, 2023 was $1.8 million, which was primarily attributable to $47.8 million in purchases of debt securities, partially offset by $46.0 million in proceeds from sales and maturities of investments. </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Net cash used in investing activities for the three months ended March 31, 2022 was $40.0 million, which was primarily attributable to a final $40.0 million milestone payment associated with the 2017 LCA. </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Financing Activities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Net cash provided by financing activities for the three months ended March 31, 2023 was $3.4 million, which primarily consisted of $3.9 million in proceeds from exercised options offset by a $0.5 million principal payment associated with the Blackstone Credit Agreement.</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Net cash provided by financing activities for the three months ended March 31, 2022 was $1.4 million, which primarily consisted of $1.9 million in proceeds from exercised options offset by $0.5 million in principal payments associated with the Blackstone Credit Agreement.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Critical Accounting Estimates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Our management’s discussion and analysis of our financial condition and results of operations is based on our financial statements, which have been prepared in accordance with accounting principles generally accepted in the United States of America, or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Significant estimates include assumptions used in the determination of the amount of revenue recognized on sales of WAKIX, our costs incurred under services type agreements related to the performance of research and development activities, and the measurement of compensation expense pursuant to stock-based awards. We base our estimates on contractual terms,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During the quarter covered by this report, there were no material changes to the accounting policies and assumptions previously disclosed, except as disclosed in Note 3 to the unaudited condensed consolidated financial statements contained herein.</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Recent Accounting Pronouncements</w:t>
      </w:r>
    </w:p>
    <w:p>
      <w:pPr>
        <w:pStyle w:val="TextBody"/>
        <w:spacing w:before="0" w:after="240"/>
        <w:ind w:left="0" w:right="0" w:firstLine="720"/>
        <w:rPr>
          <w:rFonts w:ascii="Arial;Helvetica;sans-serif" w:hAnsi="Arial;Helvetica;sans-serif"/>
          <w:sz w:val="20"/>
        </w:rPr>
      </w:pPr>
      <w:r>
        <w:rPr>
          <w:rFonts w:ascii="Arial;Helvetica;sans-serif" w:hAnsi="Arial;Helvetica;sans-serif"/>
          <w:sz w:val="20"/>
        </w:rPr>
        <w:t xml:space="preserve">See Note 3 to our unaudited condensed consolidated financial statements for recent accounting pronouncements. </w:t>
      </w:r>
    </w:p>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0" w:after="240"/>
        <w:ind w:left="1080" w:right="0" w:hanging="0"/>
        <w:rPr/>
      </w:pPr>
      <w:r>
        <w:rPr/>
        <w:t>​</w:t>
      </w:r>
    </w:p>
    <w:p>
      <w:pPr>
        <w:pStyle w:val="TextBody"/>
        <w:spacing w:before="0" w:after="240"/>
        <w:ind w:left="0" w:right="0" w:hanging="0"/>
        <w:rPr>
          <w:rFonts w:ascii="Arial;Helvetica;sans-serif" w:hAnsi="Arial;Helvetica;sans-serif"/>
          <w:b/>
          <w:sz w:val="20"/>
        </w:rPr>
      </w:pPr>
      <w:bookmarkStart w:id="884" w:name="Item3Quantitative"/>
      <w:bookmarkStart w:id="885" w:name="_497a7ad7_c55d_4b3b_b509_80e6dc4a3eff"/>
      <w:bookmarkEnd w:id="884"/>
      <w:bookmarkEnd w:id="885"/>
      <w:r>
        <w:rPr>
          <w:rFonts w:ascii="Arial;Helvetica;sans-serif" w:hAnsi="Arial;Helvetica;sans-serif"/>
          <w:b/>
          <w:sz w:val="20"/>
        </w:rPr>
        <w:t>Item 3. Quantitative and Qualitative Disclosures About Market Risk.</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Interest Rate Fluctuation Risk</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We are exposed to market risk related to changes in interest rates. We invest a portion of our cash in investment-grade, interest-bearing securities. The primary objectives of our investment activities are to preserve principal, maintain liquidity and maximize total return. In order to achieve these objectives, we invest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We do not have any direct investments in asset-backed securities, collateralized debt or loan obligations, or structured investment vehicles. Our primary exposure to market risk is interest income sensitivity, which is affected by changes in the general level of U.S. interest rates. Based on our $290.0 million of investments in money market funds, U.S. treasury notes, corporate bonds and municipal obligations as of March 31, 2023, an immediate 10% change in market interest rates would not have a material impact on the fair market value of our investment portfolio or on our financial position or results of operations.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As of March 31, 2023, we had $197.0 million in borrowings outstanding. The Initial Term Loan bears interest at an interest rate equal to LIBOR (subject to a 1.00% floor) plus 6.50%. Based on the $197.0 million of principal outstanding as of March 31, 2023, an immediate 10% change in the LIBOR would not have a material impact on our debt-related obligations, financial position or results of operations.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Foreign Currency Fluctuation Risk</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Inflation Fluctuation Risk</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Inflation generally affects us by increasing our cost of labor and clinical trial costs. We do not believe that inflation had a material effect on our business, financial condition or results of operations for the each of the three months ended March 31, 2023 and 2022. </w:t>
      </w:r>
    </w:p>
    <w:p>
      <w:pPr>
        <w:pStyle w:val="TextBody"/>
        <w:spacing w:before="0" w:after="240"/>
        <w:ind w:left="0" w:right="0" w:hanging="0"/>
        <w:rPr>
          <w:rFonts w:ascii="Arial;Helvetica;sans-serif" w:hAnsi="Arial;Helvetica;sans-serif"/>
          <w:b/>
          <w:sz w:val="20"/>
        </w:rPr>
      </w:pPr>
      <w:bookmarkStart w:id="886" w:name="Item4Controls"/>
      <w:bookmarkStart w:id="887" w:name="_2aec1e28_3482_4195_bb99_e40aac62f1d0"/>
      <w:bookmarkEnd w:id="886"/>
      <w:bookmarkEnd w:id="887"/>
      <w:r>
        <w:rPr>
          <w:rFonts w:ascii="Arial;Helvetica;sans-serif" w:hAnsi="Arial;Helvetica;sans-serif"/>
          <w:b/>
          <w:sz w:val="20"/>
        </w:rPr>
        <w:t>Item 4. Controls and Procedures</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Evaluation of Disclosure Controls and Procedures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Our management, including our principal executive officer and our principal financial officer, has evaluated the effectiveness of our disclosure controls and procedures, as defined in Rules 13a-15(e) and 15d-15(e) under the Exchange Act, as of March 31, 2023. Based on that evaluation, our principal executive officer and principal financial officer concluded that, as of March 31, 2023, our disclosure controls and procedures were effective to provide reasonable assurance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Changes in Internal Control over Financial Reporting</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There were no changes in our internal control over financial reporting during the quarter ended March 31, 2023 that have materially affected, or are reasonably likely to materially affect, our internal control over financial reporting.</w:t>
      </w:r>
    </w:p>
    <w:p>
      <w:pPr>
        <w:pStyle w:val="TextBody"/>
        <w:spacing w:before="0" w:after="240"/>
        <w:ind w:left="0" w:right="0" w:firstLine="72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Limitations on Effectiveness of Controls and Procedures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pStyle w:val="TextBody"/>
        <w:spacing w:before="0" w:after="240"/>
        <w:ind w:left="0" w:right="0" w:hanging="0"/>
        <w:jc w:val="center"/>
        <w:rPr>
          <w:rFonts w:ascii="Arial;Helvetica;sans-serif" w:hAnsi="Arial;Helvetica;sans-serif"/>
          <w:b/>
          <w:sz w:val="20"/>
        </w:rPr>
      </w:pPr>
      <w:bookmarkStart w:id="888" w:name="PARTII"/>
      <w:bookmarkStart w:id="889" w:name="_16114a52_7fb3_4aba_beb0_1bc831c16a43"/>
      <w:bookmarkEnd w:id="888"/>
      <w:bookmarkEnd w:id="889"/>
      <w:r>
        <w:rPr>
          <w:rFonts w:ascii="Arial;Helvetica;sans-serif" w:hAnsi="Arial;Helvetica;sans-serif"/>
          <w:b/>
          <w:sz w:val="20"/>
        </w:rPr>
        <w:t>PART II. OTHER INFORMATION</w:t>
      </w:r>
    </w:p>
    <w:p>
      <w:pPr>
        <w:pStyle w:val="TextBody"/>
        <w:spacing w:before="0" w:after="240"/>
        <w:ind w:left="0" w:right="0" w:hanging="0"/>
        <w:rPr>
          <w:rFonts w:ascii="Arial;Helvetica;sans-serif" w:hAnsi="Arial;Helvetica;sans-serif"/>
          <w:b/>
          <w:sz w:val="20"/>
        </w:rPr>
      </w:pPr>
      <w:bookmarkStart w:id="890" w:name="Item1Legal"/>
      <w:bookmarkEnd w:id="890"/>
      <w:r>
        <w:rPr>
          <w:rFonts w:ascii="Arial;Helvetica;sans-serif" w:hAnsi="Arial;Helvetica;sans-serif"/>
          <w:b/>
          <w:sz w:val="20"/>
        </w:rPr>
        <w:t>Item 1. Legal Proceedings</w:t>
      </w:r>
      <w:r>
        <w:rPr>
          <w:rFonts w:ascii="Arial;Helvetica;sans-serif" w:hAnsi="Arial;Helvetica;sans-serif"/>
          <w:b/>
          <w:i/>
          <w:sz w:val="20"/>
        </w:rPr>
        <w:t>.</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sz w:val="20"/>
        </w:rPr>
      </w:pPr>
      <w:bookmarkStart w:id="891" w:name="Item1A"/>
      <w:bookmarkStart w:id="892" w:name="_40ec3613_bd4e_46e6_8b65_879f02dbd706"/>
      <w:bookmarkEnd w:id="891"/>
      <w:bookmarkEnd w:id="892"/>
      <w:r>
        <w:rPr>
          <w:rFonts w:ascii="Arial;Helvetica;sans-serif" w:hAnsi="Arial;Helvetica;sans-serif"/>
          <w:b/>
          <w:sz w:val="20"/>
        </w:rPr>
        <w:t>Item 1A. Risk Factors.</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In addition to the other information included in this report, you should carefully consider the discussion of risk factors affecting the Company as set forth in Part I, Item 1A "Risk Factors” included in our Annual Report on Form 10-K for the year ended December 31, 2022, which could materially affect our business, financial condition or future results. The risks described in these reports are not the only risks facing the Company. Additional risks and uncertainties not currently known to us or that we currently deem to be immaterial may also materially adversely affect our business, financial condition, and operating results.</w:t>
      </w:r>
    </w:p>
    <w:p>
      <w:pPr>
        <w:pStyle w:val="TextBody"/>
        <w:spacing w:before="0" w:after="240"/>
        <w:ind w:left="0" w:right="0" w:hanging="0"/>
        <w:rPr>
          <w:rFonts w:ascii="Arial;Helvetica;sans-serif" w:hAnsi="Arial;Helvetica;sans-serif"/>
          <w:b/>
          <w:sz w:val="20"/>
        </w:rPr>
      </w:pPr>
      <w:bookmarkStart w:id="893" w:name="Item2Unregistered"/>
      <w:bookmarkStart w:id="894" w:name="_b8d85df3_bb44_480f_a659_ba3148b435ec"/>
      <w:bookmarkEnd w:id="893"/>
      <w:bookmarkEnd w:id="894"/>
      <w:r>
        <w:rPr>
          <w:rFonts w:ascii="Arial;Helvetica;sans-serif" w:hAnsi="Arial;Helvetica;sans-serif"/>
          <w:b/>
          <w:sz w:val="20"/>
        </w:rPr>
        <w:t>Item 2. Unregistered Sales of Equity Securities and Use of Proceeds</w:t>
      </w:r>
      <w:r>
        <w:rPr>
          <w:rFonts w:ascii="Arial;Helvetica;sans-serif" w:hAnsi="Arial;Helvetica;sans-serif"/>
          <w:b/>
          <w:i/>
          <w:sz w:val="20"/>
        </w:rPr>
        <w:t>.</w:t>
      </w:r>
    </w:p>
    <w:p>
      <w:pPr>
        <w:pStyle w:val="TextBody"/>
        <w:spacing w:before="0" w:after="240"/>
        <w:ind w:left="0" w:right="0" w:firstLine="720"/>
        <w:rPr>
          <w:rFonts w:ascii="Arial;Helvetica;sans-serif" w:hAnsi="Arial;Helvetica;sans-serif"/>
          <w:sz w:val="20"/>
        </w:rPr>
      </w:pPr>
      <w:r>
        <w:rPr>
          <w:rFonts w:ascii="Arial;Helvetica;sans-serif" w:hAnsi="Arial;Helvetica;sans-serif"/>
          <w:sz w:val="20"/>
        </w:rPr>
        <w:t>None.</w:t>
      </w:r>
    </w:p>
    <w:p>
      <w:pPr>
        <w:pStyle w:val="TextBody"/>
        <w:spacing w:before="0" w:after="240"/>
        <w:ind w:left="0" w:right="0" w:hanging="0"/>
        <w:rPr>
          <w:rFonts w:ascii="Arial;Helvetica;sans-serif" w:hAnsi="Arial;Helvetica;sans-serif"/>
          <w:b/>
          <w:sz w:val="20"/>
        </w:rPr>
      </w:pPr>
      <w:bookmarkStart w:id="895" w:name="Item3Defaults"/>
      <w:bookmarkStart w:id="896" w:name="_6b07b8a3_9ed2_47e3_b8dd_e3b5d5421f78"/>
      <w:bookmarkEnd w:id="895"/>
      <w:bookmarkEnd w:id="896"/>
      <w:r>
        <w:rPr>
          <w:rFonts w:ascii="Arial;Helvetica;sans-serif" w:hAnsi="Arial;Helvetica;sans-serif"/>
          <w:b/>
          <w:sz w:val="20"/>
        </w:rPr>
        <w:t>Item 3. Defaults upon Senior Securities.</w:t>
      </w:r>
    </w:p>
    <w:p>
      <w:pPr>
        <w:pStyle w:val="TextBody"/>
        <w:spacing w:before="0" w:after="240"/>
        <w:ind w:left="0" w:right="0" w:firstLine="720"/>
        <w:rPr>
          <w:rFonts w:ascii="Arial;Helvetica;sans-serif" w:hAnsi="Arial;Helvetica;sans-serif"/>
          <w:sz w:val="20"/>
        </w:rPr>
      </w:pPr>
      <w:r>
        <w:rPr>
          <w:rFonts w:ascii="Arial;Helvetica;sans-serif" w:hAnsi="Arial;Helvetica;sans-serif"/>
          <w:sz w:val="20"/>
        </w:rPr>
        <w:t>None.</w:t>
      </w:r>
    </w:p>
    <w:p>
      <w:pPr>
        <w:pStyle w:val="TextBody"/>
        <w:spacing w:before="0" w:after="240"/>
        <w:ind w:left="0" w:right="0" w:hanging="0"/>
        <w:rPr>
          <w:rFonts w:ascii="Arial;Helvetica;sans-serif" w:hAnsi="Arial;Helvetica;sans-serif"/>
          <w:b/>
          <w:sz w:val="20"/>
        </w:rPr>
      </w:pPr>
      <w:bookmarkStart w:id="897" w:name="Item4Mine"/>
      <w:bookmarkStart w:id="898" w:name="_a16ae920_0b45_4ae8_bbaf_2efa4f8b6b57"/>
      <w:bookmarkEnd w:id="897"/>
      <w:bookmarkEnd w:id="898"/>
      <w:r>
        <w:rPr>
          <w:rFonts w:ascii="Arial;Helvetica;sans-serif" w:hAnsi="Arial;Helvetica;sans-serif"/>
          <w:b/>
          <w:sz w:val="20"/>
        </w:rPr>
        <w:t>Item 4. Mine Safety Disclosures.</w:t>
      </w:r>
    </w:p>
    <w:p>
      <w:pPr>
        <w:pStyle w:val="TextBody"/>
        <w:spacing w:before="0" w:after="240"/>
        <w:ind w:left="0" w:right="0" w:firstLine="720"/>
        <w:rPr>
          <w:rFonts w:ascii="Arial;Helvetica;sans-serif" w:hAnsi="Arial;Helvetica;sans-serif"/>
          <w:sz w:val="20"/>
        </w:rPr>
      </w:pPr>
      <w:r>
        <w:rPr>
          <w:rFonts w:ascii="Arial;Helvetica;sans-serif" w:hAnsi="Arial;Helvetica;sans-serif"/>
          <w:sz w:val="20"/>
        </w:rPr>
        <w:t>Not applicable.</w:t>
      </w:r>
    </w:p>
    <w:p>
      <w:pPr>
        <w:pStyle w:val="TextBody"/>
        <w:spacing w:before="0" w:after="240"/>
        <w:ind w:left="0" w:right="0" w:hanging="0"/>
        <w:rPr>
          <w:rFonts w:ascii="Arial;Helvetica;sans-serif" w:hAnsi="Arial;Helvetica;sans-serif"/>
          <w:b/>
          <w:sz w:val="20"/>
        </w:rPr>
      </w:pPr>
      <w:bookmarkStart w:id="899" w:name="Item5Other"/>
      <w:bookmarkStart w:id="900" w:name="_50c6328a_0d43_4376_aeb5_fbd01658a842"/>
      <w:bookmarkEnd w:id="899"/>
      <w:bookmarkEnd w:id="900"/>
      <w:r>
        <w:rPr>
          <w:rFonts w:ascii="Arial;Helvetica;sans-serif" w:hAnsi="Arial;Helvetica;sans-serif"/>
          <w:b/>
          <w:sz w:val="20"/>
        </w:rPr>
        <w:t>Item 5. Other Information.</w:t>
      </w:r>
    </w:p>
    <w:p>
      <w:pPr>
        <w:pStyle w:val="TextBody"/>
        <w:spacing w:before="0" w:after="240"/>
        <w:ind w:left="0" w:right="0" w:firstLine="720"/>
        <w:jc w:val="both"/>
        <w:rPr>
          <w:rFonts w:ascii="Arial;Helvetica;sans-serif" w:hAnsi="Arial;Helvetica;sans-serif"/>
          <w:sz w:val="20"/>
        </w:rPr>
      </w:pPr>
      <w:r>
        <w:rPr>
          <w:rFonts w:ascii="Arial;Helvetica;sans-serif" w:hAnsi="Arial;Helvetica;sans-serif"/>
          <w:sz w:val="20"/>
        </w:rPr>
        <w:t>On May 1, 2023, the Company’s Board of Directors appointed Dr. Kumar Budur as the Company’s new Chief Medical Officer following the appointment of Dr. Jeffrey Dayno as the Company’s President and Chief Executive Officer on April 24, 2023. Dr. Budur has served in the role of SVP &amp; Head of Clinical Development with the Company since March 21, 2022.  Prior to joining Harmony Biosciences, Dr. Budur spent 6 years at each of AbbVie Inc. and Takeda Pharmaceutical Company, respectively.  A nationally recognized expert in Research and Development, he has overseen programs ranging from late discovery, early clinical development to late clinical development, and post-marketing studies.  He has experience in progressing small molecules, biologics, and drug-device combinations through various stages of development. Dr. Budur was involved with four New Drug Applications (NDAs) and was the lead for the registration of clinical trials, submission, and approval processes of two NDAs.  Dr. Budur was trained at Cambridge University in the UK and Cleveland Clinic in the US and completed his residency in Psychiatry and fellowships in Neurophysiology and Sleep Medicine. He is Board Certified in Psychiatry and Sleep Medicine and holds a master’s degree in clinical research from Case Western Reserve University.  Dr. Budur has published over 45 original research papers in peer reviewed journals, edited four books, and chaired National and International seminars and symposiums.</w:t>
      </w:r>
    </w:p>
    <w:p>
      <w:pPr>
        <w:pStyle w:val="TextBody"/>
        <w:spacing w:before="0" w:after="240"/>
        <w:ind w:left="0" w:right="0" w:firstLine="72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b/>
          <w:sz w:val="20"/>
        </w:rPr>
      </w:pPr>
      <w:bookmarkStart w:id="901" w:name="Item6Exhibits"/>
      <w:bookmarkStart w:id="902" w:name="_dbf8a7ed_421f_4fb2_8ab1_d7e045eaa255"/>
      <w:bookmarkEnd w:id="901"/>
      <w:bookmarkEnd w:id="902"/>
      <w:r>
        <w:rPr>
          <w:rFonts w:ascii="Arial;Helvetica;sans-serif" w:hAnsi="Arial;Helvetica;sans-serif"/>
          <w:b/>
          <w:sz w:val="20"/>
        </w:rPr>
        <w:t>Item 6. Exhibits.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76"/>
        <w:gridCol w:w="326"/>
        <w:gridCol w:w="5854"/>
        <w:gridCol w:w="326"/>
        <w:gridCol w:w="526"/>
        <w:gridCol w:w="326"/>
        <w:gridCol w:w="1123"/>
        <w:gridCol w:w="266"/>
        <w:gridCol w:w="782"/>
      </w:tblGrid>
      <w:tr>
        <w:trPr/>
        <w:tc>
          <w:tcPr>
            <w:tcW w:w="67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Exhibit</w:t>
            </w:r>
          </w:p>
        </w:tc>
        <w:tc>
          <w:tcPr>
            <w:tcW w:w="326" w:type="dxa"/>
            <w:tcBorders/>
            <w:shd w:fill="auto" w:val="clear"/>
            <w:vAlign w:val="center"/>
          </w:tcPr>
          <w:p>
            <w:pPr>
              <w:pStyle w:val="TableContents"/>
              <w:spacing w:before="0" w:after="0"/>
              <w:ind w:left="0" w:right="0" w:hanging="0"/>
              <w:rPr/>
            </w:pPr>
            <w:r>
              <w:rPr/>
              <w:t>​</w:t>
            </w:r>
          </w:p>
        </w:tc>
        <w:tc>
          <w:tcPr>
            <w:tcW w:w="585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023" w:type="dxa"/>
            <w:gridSpan w:val="5"/>
            <w:tcBorders>
              <w:bottom w:val="single" w:sz="8"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Incorporated by Reference</w:t>
            </w:r>
          </w:p>
        </w:tc>
      </w:tr>
      <w:tr>
        <w:trPr/>
        <w:tc>
          <w:tcPr>
            <w:tcW w:w="676"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No.</w:t>
            </w:r>
          </w:p>
        </w:tc>
        <w:tc>
          <w:tcPr>
            <w:tcW w:w="326" w:type="dxa"/>
            <w:tcBorders/>
            <w:shd w:fill="auto" w:val="clear"/>
            <w:vAlign w:val="center"/>
          </w:tcPr>
          <w:p>
            <w:pPr>
              <w:pStyle w:val="TableContents"/>
              <w:spacing w:before="0" w:after="0"/>
              <w:ind w:left="0" w:right="0" w:hanging="0"/>
              <w:rPr/>
            </w:pPr>
            <w:r>
              <w:rPr/>
              <w:t>    </w:t>
            </w:r>
          </w:p>
        </w:tc>
        <w:tc>
          <w:tcPr>
            <w:tcW w:w="5854"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b/>
                <w:sz w:val="16"/>
              </w:rPr>
              <w:t>Exhibit</w:t>
            </w:r>
            <w:r>
              <w:rPr>
                <w:rFonts w:ascii="Arial;Helvetica;sans-serif" w:hAnsi="Arial;Helvetica;sans-serif"/>
                <w:sz w:val="16"/>
              </w:rPr>
              <w:t> </w:t>
            </w:r>
            <w:r>
              <w:rPr>
                <w:rFonts w:ascii="Arial;Helvetica;sans-serif" w:hAnsi="Arial;Helvetica;sans-serif"/>
                <w:b/>
                <w:sz w:val="16"/>
              </w:rPr>
              <w:t>Description</w:t>
            </w:r>
          </w:p>
        </w:tc>
        <w:tc>
          <w:tcPr>
            <w:tcW w:w="326" w:type="dxa"/>
            <w:tcBorders/>
            <w:shd w:fill="auto" w:val="clear"/>
            <w:vAlign w:val="center"/>
          </w:tcPr>
          <w:p>
            <w:pPr>
              <w:pStyle w:val="TableContents"/>
              <w:spacing w:before="0" w:after="0"/>
              <w:ind w:left="0" w:right="0" w:hanging="0"/>
              <w:jc w:val="center"/>
              <w:rPr/>
            </w:pPr>
            <w:r>
              <w:rPr/>
              <w:t>    </w:t>
            </w:r>
          </w:p>
        </w:tc>
        <w:tc>
          <w:tcPr>
            <w:tcW w:w="526"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Form</w:t>
            </w:r>
          </w:p>
        </w:tc>
        <w:tc>
          <w:tcPr>
            <w:tcW w:w="326" w:type="dxa"/>
            <w:tcBorders>
              <w:top w:val="single" w:sz="8" w:space="0" w:color="000000"/>
            </w:tcBorders>
            <w:shd w:fill="auto" w:val="clear"/>
            <w:tcMar>
              <w:top w:w="28" w:type="dxa"/>
            </w:tcMar>
            <w:vAlign w:val="center"/>
          </w:tcPr>
          <w:p>
            <w:pPr>
              <w:pStyle w:val="TableContents"/>
              <w:spacing w:before="0" w:after="0"/>
              <w:ind w:left="0" w:right="0" w:hanging="0"/>
              <w:jc w:val="center"/>
              <w:rPr/>
            </w:pPr>
            <w:r>
              <w:rPr/>
              <w:t>    </w:t>
            </w:r>
          </w:p>
        </w:tc>
        <w:tc>
          <w:tcPr>
            <w:tcW w:w="1123"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Date</w:t>
            </w:r>
          </w:p>
        </w:tc>
        <w:tc>
          <w:tcPr>
            <w:tcW w:w="266" w:type="dxa"/>
            <w:tcBorders>
              <w:top w:val="single" w:sz="8" w:space="0" w:color="000000"/>
            </w:tcBorders>
            <w:shd w:fill="auto" w:val="clear"/>
            <w:tcMar>
              <w:top w:w="28" w:type="dxa"/>
            </w:tcMar>
            <w:vAlign w:val="center"/>
          </w:tcPr>
          <w:p>
            <w:pPr>
              <w:pStyle w:val="TableContents"/>
              <w:spacing w:before="0" w:after="0"/>
              <w:ind w:left="0" w:right="0" w:hanging="0"/>
              <w:jc w:val="center"/>
              <w:rPr/>
            </w:pPr>
            <w:r>
              <w:rPr/>
              <w:t>   </w:t>
            </w:r>
          </w:p>
        </w:tc>
        <w:tc>
          <w:tcPr>
            <w:tcW w:w="782"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Number</w:t>
            </w:r>
          </w:p>
        </w:tc>
      </w:tr>
      <w:tr>
        <w:trPr/>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3.1</w:t>
            </w:r>
          </w:p>
        </w:tc>
        <w:tc>
          <w:tcPr>
            <w:tcW w:w="326" w:type="dxa"/>
            <w:tcBorders/>
            <w:shd w:fill="auto" w:val="clear"/>
            <w:vAlign w:val="center"/>
          </w:tcPr>
          <w:p>
            <w:pPr>
              <w:pStyle w:val="TableContents"/>
              <w:spacing w:before="0" w:after="0"/>
              <w:ind w:left="0" w:right="0" w:hanging="0"/>
              <w:rPr/>
            </w:pPr>
            <w:r>
              <w:rPr/>
              <w:t>​</w:t>
            </w:r>
          </w:p>
        </w:tc>
        <w:tc>
          <w:tcPr>
            <w:tcW w:w="5854" w:type="dxa"/>
            <w:tcBorders/>
            <w:shd w:fill="auto" w:val="clear"/>
            <w:vAlign w:val="center"/>
          </w:tcPr>
          <w:p>
            <w:pPr>
              <w:pStyle w:val="TableContents"/>
              <w:spacing w:before="0" w:after="0"/>
              <w:ind w:left="0" w:right="0" w:hanging="0"/>
              <w:rPr/>
            </w:pPr>
            <w:hyperlink r:id="rId2">
              <w:r>
                <w:rPr>
                  <w:rStyle w:val="InternetLink"/>
                  <w:rFonts w:ascii="Arial;Helvetica;sans-serif" w:hAnsi="Arial;Helvetica;sans-serif"/>
                  <w:b w:val="false"/>
                  <w:i w:val="false"/>
                  <w:caps w:val="false"/>
                  <w:smallCaps w:val="false"/>
                  <w:sz w:val="20"/>
                </w:rPr>
                <w:t>Amended and Restated Certificate of Incorporation of Harmony Biosciences Holdings,</w:t>
              </w:r>
            </w:hyperlink>
            <w:hyperlink r:id="rId3">
              <w:r>
                <w:rPr>
                  <w:rStyle w:val="InternetLink"/>
                  <w:rFonts w:ascii="Arial;Helvetica;sans-serif" w:hAnsi="Arial;Helvetica;sans-serif"/>
                  <w:caps w:val="false"/>
                  <w:smallCaps w:val="false"/>
                  <w:sz w:val="20"/>
                </w:rPr>
                <w:t> </w:t>
              </w:r>
            </w:hyperlink>
            <w:hyperlink r:id="rId4">
              <w:r>
                <w:rPr>
                  <w:rStyle w:val="InternetLink"/>
                  <w:rFonts w:ascii="Arial;Helvetica;sans-serif" w:hAnsi="Arial;Helvetica;sans-serif"/>
                  <w:b w:val="false"/>
                  <w:i w:val="false"/>
                  <w:caps w:val="false"/>
                  <w:smallCaps w:val="false"/>
                  <w:sz w:val="20"/>
                </w:rPr>
                <w:t>Inc.</w:t>
              </w:r>
            </w:hyperlink>
          </w:p>
        </w:tc>
        <w:tc>
          <w:tcPr>
            <w:tcW w:w="32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326" w:type="dxa"/>
            <w:tcBorders/>
            <w:shd w:fill="auto" w:val="clear"/>
            <w:vAlign w:val="center"/>
          </w:tcPr>
          <w:p>
            <w:pPr>
              <w:pStyle w:val="TableContents"/>
              <w:spacing w:before="0" w:after="0"/>
              <w:ind w:left="0" w:right="0" w:hanging="0"/>
              <w:jc w:val="center"/>
              <w:rPr/>
            </w:pPr>
            <w:r>
              <w:rPr/>
              <w:t>​</w:t>
            </w:r>
          </w:p>
        </w:tc>
        <w:tc>
          <w:tcPr>
            <w:tcW w:w="1123"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August 21, 2020</w:t>
            </w:r>
          </w:p>
        </w:tc>
        <w:tc>
          <w:tcPr>
            <w:tcW w:w="266" w:type="dxa"/>
            <w:tcBorders/>
            <w:shd w:fill="auto" w:val="clear"/>
            <w:vAlign w:val="center"/>
          </w:tcPr>
          <w:p>
            <w:pPr>
              <w:pStyle w:val="TableContents"/>
              <w:spacing w:before="0" w:after="0"/>
              <w:ind w:left="0" w:right="0" w:hanging="0"/>
              <w:jc w:val="center"/>
              <w:rPr/>
            </w:pPr>
            <w:r>
              <w:rPr/>
              <w:t>​</w:t>
            </w:r>
          </w:p>
        </w:tc>
        <w:tc>
          <w:tcPr>
            <w:tcW w:w="78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3.1</w:t>
            </w:r>
          </w:p>
        </w:tc>
      </w:tr>
      <w:tr>
        <w:trPr/>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3.2</w:t>
            </w:r>
          </w:p>
        </w:tc>
        <w:tc>
          <w:tcPr>
            <w:tcW w:w="326" w:type="dxa"/>
            <w:tcBorders/>
            <w:shd w:fill="auto" w:val="clear"/>
            <w:vAlign w:val="center"/>
          </w:tcPr>
          <w:p>
            <w:pPr>
              <w:pStyle w:val="TableContents"/>
              <w:spacing w:before="0" w:after="0"/>
              <w:ind w:left="0" w:right="0" w:hanging="0"/>
              <w:rPr/>
            </w:pPr>
            <w:r>
              <w:rPr/>
              <w:t>​</w:t>
            </w:r>
          </w:p>
        </w:tc>
        <w:tc>
          <w:tcPr>
            <w:tcW w:w="5854" w:type="dxa"/>
            <w:tcBorders/>
            <w:shd w:fill="auto" w:val="clear"/>
            <w:vAlign w:val="center"/>
          </w:tcPr>
          <w:p>
            <w:pPr>
              <w:pStyle w:val="TableContents"/>
              <w:spacing w:before="0" w:after="0"/>
              <w:ind w:left="0" w:right="0" w:hanging="0"/>
              <w:rPr/>
            </w:pPr>
            <w:hyperlink r:id="rId5">
              <w:r>
                <w:rPr>
                  <w:rStyle w:val="InternetLink"/>
                  <w:rFonts w:ascii="Arial;Helvetica;sans-serif" w:hAnsi="Arial;Helvetica;sans-serif"/>
                  <w:b w:val="false"/>
                  <w:i w:val="false"/>
                  <w:caps w:val="false"/>
                  <w:smallCaps w:val="false"/>
                  <w:sz w:val="20"/>
                </w:rPr>
                <w:t>Amended and Restated Bylaws.</w:t>
              </w:r>
            </w:hyperlink>
          </w:p>
        </w:tc>
        <w:tc>
          <w:tcPr>
            <w:tcW w:w="32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326" w:type="dxa"/>
            <w:tcBorders/>
            <w:shd w:fill="auto" w:val="clear"/>
            <w:vAlign w:val="center"/>
          </w:tcPr>
          <w:p>
            <w:pPr>
              <w:pStyle w:val="TableContents"/>
              <w:spacing w:before="0" w:after="0"/>
              <w:ind w:left="0" w:right="0" w:hanging="0"/>
              <w:jc w:val="center"/>
              <w:rPr/>
            </w:pPr>
            <w:r>
              <w:rPr/>
              <w:t>​</w:t>
            </w:r>
          </w:p>
        </w:tc>
        <w:tc>
          <w:tcPr>
            <w:tcW w:w="1123"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August 21, 2020</w:t>
            </w:r>
          </w:p>
        </w:tc>
        <w:tc>
          <w:tcPr>
            <w:tcW w:w="266" w:type="dxa"/>
            <w:tcBorders/>
            <w:shd w:fill="auto" w:val="clear"/>
            <w:vAlign w:val="center"/>
          </w:tcPr>
          <w:p>
            <w:pPr>
              <w:pStyle w:val="TableContents"/>
              <w:spacing w:before="0" w:after="0"/>
              <w:ind w:left="0" w:right="0" w:hanging="0"/>
              <w:jc w:val="center"/>
              <w:rPr/>
            </w:pPr>
            <w:r>
              <w:rPr/>
              <w:t>​</w:t>
            </w:r>
          </w:p>
        </w:tc>
        <w:tc>
          <w:tcPr>
            <w:tcW w:w="78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3.2</w:t>
            </w:r>
          </w:p>
        </w:tc>
      </w:tr>
      <w:tr>
        <w:trPr/>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31.1*</w:t>
            </w:r>
          </w:p>
        </w:tc>
        <w:tc>
          <w:tcPr>
            <w:tcW w:w="326" w:type="dxa"/>
            <w:tcBorders/>
            <w:shd w:fill="auto" w:val="clear"/>
            <w:vAlign w:val="center"/>
          </w:tcPr>
          <w:p>
            <w:pPr>
              <w:pStyle w:val="TableContents"/>
              <w:spacing w:before="0" w:after="0"/>
              <w:ind w:left="0" w:right="0" w:hanging="0"/>
              <w:rPr/>
            </w:pPr>
            <w:r>
              <w:rPr/>
              <w:t>​</w:t>
            </w:r>
          </w:p>
        </w:tc>
        <w:tc>
          <w:tcPr>
            <w:tcW w:w="5854" w:type="dxa"/>
            <w:tcBorders/>
            <w:shd w:fill="auto" w:val="clear"/>
            <w:vAlign w:val="center"/>
          </w:tcPr>
          <w:p>
            <w:pPr>
              <w:pStyle w:val="TableContents"/>
              <w:spacing w:before="0" w:after="0"/>
              <w:ind w:left="0" w:right="0" w:hanging="0"/>
              <w:rPr/>
            </w:pPr>
            <w:hyperlink w:anchor="hrmy-20230331xex31d1.htm">
              <w:r>
                <w:rPr>
                  <w:rStyle w:val="InternetLink"/>
                  <w:rFonts w:ascii="Arial;Helvetica;sans-serif" w:hAnsi="Arial;Helvetica;sans-serif"/>
                  <w:b w:val="false"/>
                  <w:i w:val="false"/>
                  <w:caps w:val="false"/>
                  <w:smallCaps w:val="false"/>
                  <w:sz w:val="20"/>
                </w:rPr>
                <w:t>Certification of Chief Executive Officer pursuant to Rules</w:t>
              </w:r>
            </w:hyperlink>
            <w:hyperlink w:anchor="hrmy-20230331xex31d1.htm">
              <w:r>
                <w:rPr>
                  <w:rStyle w:val="InternetLink"/>
                  <w:rFonts w:ascii="Arial;Helvetica;sans-serif" w:hAnsi="Arial;Helvetica;sans-serif"/>
                  <w:caps w:val="false"/>
                  <w:smallCaps w:val="false"/>
                  <w:sz w:val="20"/>
                </w:rPr>
                <w:t> </w:t>
              </w:r>
            </w:hyperlink>
            <w:hyperlink w:anchor="hrmy-20230331xex31d1.htm">
              <w:r>
                <w:rPr>
                  <w:rStyle w:val="InternetLink"/>
                  <w:rFonts w:ascii="Arial;Helvetica;sans-serif" w:hAnsi="Arial;Helvetica;sans-serif"/>
                  <w:b w:val="false"/>
                  <w:i w:val="false"/>
                  <w:caps w:val="false"/>
                  <w:smallCaps w:val="false"/>
                  <w:sz w:val="20"/>
                </w:rPr>
                <w:t>13a-14(a)</w:t>
              </w:r>
            </w:hyperlink>
            <w:hyperlink w:anchor="hrmy-20230331xex31d1.htm">
              <w:r>
                <w:rPr>
                  <w:rStyle w:val="InternetLink"/>
                  <w:rFonts w:ascii="Arial;Helvetica;sans-serif" w:hAnsi="Arial;Helvetica;sans-serif"/>
                  <w:caps w:val="false"/>
                  <w:smallCaps w:val="false"/>
                  <w:sz w:val="20"/>
                </w:rPr>
                <w:t> </w:t>
              </w:r>
            </w:hyperlink>
            <w:hyperlink w:anchor="hrmy-20230331xex31d1.htm">
              <w:r>
                <w:rPr>
                  <w:rStyle w:val="InternetLink"/>
                  <w:rFonts w:ascii="Arial;Helvetica;sans-serif" w:hAnsi="Arial;Helvetica;sans-serif"/>
                  <w:b w:val="false"/>
                  <w:i w:val="false"/>
                  <w:caps w:val="false"/>
                  <w:smallCaps w:val="false"/>
                  <w:sz w:val="20"/>
                </w:rPr>
                <w:t>and 15d-14(a)</w:t>
              </w:r>
            </w:hyperlink>
            <w:hyperlink w:anchor="hrmy-20230331xex31d1.htm">
              <w:r>
                <w:rPr>
                  <w:rStyle w:val="InternetLink"/>
                  <w:rFonts w:ascii="Arial;Helvetica;sans-serif" w:hAnsi="Arial;Helvetica;sans-serif"/>
                  <w:caps w:val="false"/>
                  <w:smallCaps w:val="false"/>
                  <w:sz w:val="20"/>
                </w:rPr>
                <w:t> </w:t>
              </w:r>
            </w:hyperlink>
            <w:hyperlink w:anchor="hrmy-20230331xex31d1.htm">
              <w:r>
                <w:rPr>
                  <w:rStyle w:val="InternetLink"/>
                  <w:rFonts w:ascii="Arial;Helvetica;sans-serif" w:hAnsi="Arial;Helvetica;sans-serif"/>
                  <w:b w:val="false"/>
                  <w:i w:val="false"/>
                  <w:caps w:val="false"/>
                  <w:smallCaps w:val="false"/>
                  <w:sz w:val="20"/>
                </w:rPr>
                <w:t>of the Securities Exchange Act of 1934, as amended, as adopted pursuant to Section</w:t>
              </w:r>
            </w:hyperlink>
            <w:hyperlink w:anchor="hrmy-20230331xex31d1.htm">
              <w:r>
                <w:rPr>
                  <w:rStyle w:val="InternetLink"/>
                  <w:rFonts w:ascii="Arial;Helvetica;sans-serif" w:hAnsi="Arial;Helvetica;sans-serif"/>
                  <w:caps w:val="false"/>
                  <w:smallCaps w:val="false"/>
                  <w:sz w:val="20"/>
                </w:rPr>
                <w:t> </w:t>
              </w:r>
            </w:hyperlink>
            <w:hyperlink w:anchor="hrmy-20230331xex31d1.htm">
              <w:r>
                <w:rPr>
                  <w:rStyle w:val="InternetLink"/>
                  <w:rFonts w:ascii="Arial;Helvetica;sans-serif" w:hAnsi="Arial;Helvetica;sans-serif"/>
                  <w:b w:val="false"/>
                  <w:i w:val="false"/>
                  <w:caps w:val="false"/>
                  <w:smallCaps w:val="false"/>
                  <w:sz w:val="20"/>
                </w:rPr>
                <w:t>302 of the Sarbanes-Oxley Act of 2002.</w:t>
              </w:r>
            </w:hyperlink>
          </w:p>
        </w:tc>
        <w:tc>
          <w:tcPr>
            <w:tcW w:w="32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23" w:type="dxa"/>
            <w:tcBorders/>
            <w:shd w:fill="auto" w:val="clear"/>
            <w:vAlign w:val="center"/>
          </w:tcPr>
          <w:p>
            <w:pPr>
              <w:pStyle w:val="TableContents"/>
              <w:spacing w:before="0" w:after="0"/>
              <w:ind w:left="0" w:right="0" w:hanging="0"/>
              <w:jc w:val="center"/>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782" w:type="dxa"/>
            <w:tcBorders/>
            <w:shd w:fill="auto" w:val="clear"/>
            <w:vAlign w:val="center"/>
          </w:tcPr>
          <w:p>
            <w:pPr>
              <w:pStyle w:val="TableContents"/>
              <w:spacing w:before="0" w:after="0"/>
              <w:ind w:left="0" w:right="0" w:hanging="0"/>
              <w:jc w:val="center"/>
              <w:rPr/>
            </w:pPr>
            <w:r>
              <w:rPr/>
              <w:t>​</w:t>
            </w:r>
          </w:p>
        </w:tc>
      </w:tr>
      <w:tr>
        <w:trPr/>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31.2*</w:t>
            </w:r>
          </w:p>
        </w:tc>
        <w:tc>
          <w:tcPr>
            <w:tcW w:w="326" w:type="dxa"/>
            <w:tcBorders/>
            <w:shd w:fill="auto" w:val="clear"/>
            <w:vAlign w:val="center"/>
          </w:tcPr>
          <w:p>
            <w:pPr>
              <w:pStyle w:val="TableContents"/>
              <w:spacing w:before="0" w:after="0"/>
              <w:ind w:left="0" w:right="0" w:hanging="0"/>
              <w:rPr/>
            </w:pPr>
            <w:r>
              <w:rPr/>
              <w:t>​</w:t>
            </w:r>
          </w:p>
        </w:tc>
        <w:tc>
          <w:tcPr>
            <w:tcW w:w="5854" w:type="dxa"/>
            <w:tcBorders/>
            <w:shd w:fill="auto" w:val="clear"/>
            <w:vAlign w:val="center"/>
          </w:tcPr>
          <w:p>
            <w:pPr>
              <w:pStyle w:val="TableContents"/>
              <w:spacing w:before="0" w:after="0"/>
              <w:ind w:left="0" w:right="0" w:hanging="0"/>
              <w:rPr/>
            </w:pPr>
            <w:hyperlink w:anchor="hrmy-20230331xex31d2.htm">
              <w:r>
                <w:rPr>
                  <w:rStyle w:val="InternetLink"/>
                  <w:rFonts w:ascii="Arial;Helvetica;sans-serif" w:hAnsi="Arial;Helvetica;sans-serif"/>
                  <w:b w:val="false"/>
                  <w:i w:val="false"/>
                  <w:caps w:val="false"/>
                  <w:smallCaps w:val="false"/>
                  <w:sz w:val="20"/>
                </w:rPr>
                <w:t>Certification of Chief Financial Officer pursuant to Rules</w:t>
              </w:r>
            </w:hyperlink>
            <w:hyperlink w:anchor="hrmy-20230331xex31d2.htm">
              <w:r>
                <w:rPr>
                  <w:rStyle w:val="InternetLink"/>
                  <w:rFonts w:ascii="Arial;Helvetica;sans-serif" w:hAnsi="Arial;Helvetica;sans-serif"/>
                  <w:caps w:val="false"/>
                  <w:smallCaps w:val="false"/>
                  <w:sz w:val="20"/>
                </w:rPr>
                <w:t> </w:t>
              </w:r>
            </w:hyperlink>
            <w:hyperlink w:anchor="hrmy-20230331xex31d2.htm">
              <w:r>
                <w:rPr>
                  <w:rStyle w:val="InternetLink"/>
                  <w:rFonts w:ascii="Arial;Helvetica;sans-serif" w:hAnsi="Arial;Helvetica;sans-serif"/>
                  <w:b w:val="false"/>
                  <w:i w:val="false"/>
                  <w:caps w:val="false"/>
                  <w:smallCaps w:val="false"/>
                  <w:sz w:val="20"/>
                </w:rPr>
                <w:t>13a-14(a)</w:t>
              </w:r>
            </w:hyperlink>
            <w:hyperlink w:anchor="hrmy-20230331xex31d2.htm">
              <w:r>
                <w:rPr>
                  <w:rStyle w:val="InternetLink"/>
                  <w:rFonts w:ascii="Arial;Helvetica;sans-serif" w:hAnsi="Arial;Helvetica;sans-serif"/>
                  <w:caps w:val="false"/>
                  <w:smallCaps w:val="false"/>
                  <w:sz w:val="20"/>
                </w:rPr>
                <w:t> </w:t>
              </w:r>
            </w:hyperlink>
            <w:hyperlink w:anchor="hrmy-20230331xex31d2.htm">
              <w:r>
                <w:rPr>
                  <w:rStyle w:val="InternetLink"/>
                  <w:rFonts w:ascii="Arial;Helvetica;sans-serif" w:hAnsi="Arial;Helvetica;sans-serif"/>
                  <w:b w:val="false"/>
                  <w:i w:val="false"/>
                  <w:caps w:val="false"/>
                  <w:smallCaps w:val="false"/>
                  <w:sz w:val="20"/>
                </w:rPr>
                <w:t>and 15d-14(a)</w:t>
              </w:r>
            </w:hyperlink>
            <w:hyperlink w:anchor="hrmy-20230331xex31d2.htm">
              <w:r>
                <w:rPr>
                  <w:rStyle w:val="InternetLink"/>
                  <w:rFonts w:ascii="Arial;Helvetica;sans-serif" w:hAnsi="Arial;Helvetica;sans-serif"/>
                  <w:caps w:val="false"/>
                  <w:smallCaps w:val="false"/>
                  <w:sz w:val="20"/>
                </w:rPr>
                <w:t> </w:t>
              </w:r>
            </w:hyperlink>
            <w:hyperlink w:anchor="hrmy-20230331xex31d2.htm">
              <w:r>
                <w:rPr>
                  <w:rStyle w:val="InternetLink"/>
                  <w:rFonts w:ascii="Arial;Helvetica;sans-serif" w:hAnsi="Arial;Helvetica;sans-serif"/>
                  <w:b w:val="false"/>
                  <w:i w:val="false"/>
                  <w:caps w:val="false"/>
                  <w:smallCaps w:val="false"/>
                  <w:sz w:val="20"/>
                </w:rPr>
                <w:t>of the Securities Exchange Act of 1934, as amended, as adopted pursuant to Section</w:t>
              </w:r>
            </w:hyperlink>
            <w:hyperlink w:anchor="hrmy-20230331xex31d2.htm">
              <w:r>
                <w:rPr>
                  <w:rStyle w:val="InternetLink"/>
                  <w:rFonts w:ascii="Arial;Helvetica;sans-serif" w:hAnsi="Arial;Helvetica;sans-serif"/>
                  <w:caps w:val="false"/>
                  <w:smallCaps w:val="false"/>
                  <w:sz w:val="20"/>
                </w:rPr>
                <w:t> </w:t>
              </w:r>
            </w:hyperlink>
            <w:hyperlink w:anchor="hrmy-20230331xex31d2.htm">
              <w:r>
                <w:rPr>
                  <w:rStyle w:val="InternetLink"/>
                  <w:rFonts w:ascii="Arial;Helvetica;sans-serif" w:hAnsi="Arial;Helvetica;sans-serif"/>
                  <w:b w:val="false"/>
                  <w:i w:val="false"/>
                  <w:caps w:val="false"/>
                  <w:smallCaps w:val="false"/>
                  <w:sz w:val="20"/>
                </w:rPr>
                <w:t>302 of the Sarbanes-Oxley Act of 2002.</w:t>
              </w:r>
            </w:hyperlink>
          </w:p>
        </w:tc>
        <w:tc>
          <w:tcPr>
            <w:tcW w:w="32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23" w:type="dxa"/>
            <w:tcBorders/>
            <w:shd w:fill="auto" w:val="clear"/>
            <w:vAlign w:val="center"/>
          </w:tcPr>
          <w:p>
            <w:pPr>
              <w:pStyle w:val="TableContents"/>
              <w:spacing w:before="0" w:after="0"/>
              <w:ind w:left="0" w:right="0" w:hanging="0"/>
              <w:jc w:val="center"/>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782" w:type="dxa"/>
            <w:tcBorders/>
            <w:shd w:fill="auto" w:val="clear"/>
            <w:vAlign w:val="center"/>
          </w:tcPr>
          <w:p>
            <w:pPr>
              <w:pStyle w:val="TableContents"/>
              <w:spacing w:before="0" w:after="0"/>
              <w:ind w:left="0" w:right="0" w:hanging="0"/>
              <w:jc w:val="center"/>
              <w:rPr/>
            </w:pPr>
            <w:r>
              <w:rPr/>
              <w:t>​</w:t>
            </w:r>
          </w:p>
        </w:tc>
      </w:tr>
      <w:tr>
        <w:trPr/>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32.1**</w:t>
            </w:r>
          </w:p>
        </w:tc>
        <w:tc>
          <w:tcPr>
            <w:tcW w:w="326" w:type="dxa"/>
            <w:tcBorders/>
            <w:shd w:fill="auto" w:val="clear"/>
            <w:vAlign w:val="center"/>
          </w:tcPr>
          <w:p>
            <w:pPr>
              <w:pStyle w:val="TableContents"/>
              <w:spacing w:before="0" w:after="0"/>
              <w:ind w:left="0" w:right="0" w:hanging="0"/>
              <w:rPr/>
            </w:pPr>
            <w:r>
              <w:rPr/>
              <w:t>​</w:t>
            </w:r>
          </w:p>
        </w:tc>
        <w:tc>
          <w:tcPr>
            <w:tcW w:w="5854" w:type="dxa"/>
            <w:tcBorders/>
            <w:shd w:fill="auto" w:val="clear"/>
            <w:vAlign w:val="center"/>
          </w:tcPr>
          <w:p>
            <w:pPr>
              <w:pStyle w:val="TableContents"/>
              <w:spacing w:before="0" w:after="0"/>
              <w:ind w:left="0" w:right="0" w:hanging="0"/>
              <w:rPr/>
            </w:pPr>
            <w:hyperlink w:anchor="hrmy-20230331xex32d1.htm">
              <w:r>
                <w:rPr>
                  <w:rStyle w:val="InternetLink"/>
                  <w:rFonts w:ascii="Arial;Helvetica;sans-serif" w:hAnsi="Arial;Helvetica;sans-serif"/>
                  <w:b w:val="false"/>
                  <w:i w:val="false"/>
                  <w:caps w:val="false"/>
                  <w:smallCaps w:val="false"/>
                  <w:sz w:val="20"/>
                </w:rPr>
                <w:t>Certification of Chief Executive Officer pursuant to 18 U.S.C. Section</w:t>
              </w:r>
            </w:hyperlink>
            <w:hyperlink w:anchor="hrmy-20230331xex32d1.htm">
              <w:r>
                <w:rPr>
                  <w:rStyle w:val="InternetLink"/>
                  <w:rFonts w:ascii="Arial;Helvetica;sans-serif" w:hAnsi="Arial;Helvetica;sans-serif"/>
                  <w:caps w:val="false"/>
                  <w:smallCaps w:val="false"/>
                  <w:sz w:val="20"/>
                </w:rPr>
                <w:t> </w:t>
              </w:r>
            </w:hyperlink>
            <w:hyperlink w:anchor="hrmy-20230331xex32d1.htm">
              <w:r>
                <w:rPr>
                  <w:rStyle w:val="InternetLink"/>
                  <w:rFonts w:ascii="Arial;Helvetica;sans-serif" w:hAnsi="Arial;Helvetica;sans-serif"/>
                  <w:b w:val="false"/>
                  <w:i w:val="false"/>
                  <w:caps w:val="false"/>
                  <w:smallCaps w:val="false"/>
                  <w:sz w:val="20"/>
                </w:rPr>
                <w:t>1350, as adopted pursuant to Section</w:t>
              </w:r>
            </w:hyperlink>
            <w:hyperlink w:anchor="hrmy-20230331xex32d1.htm">
              <w:r>
                <w:rPr>
                  <w:rStyle w:val="InternetLink"/>
                  <w:rFonts w:ascii="Arial;Helvetica;sans-serif" w:hAnsi="Arial;Helvetica;sans-serif"/>
                  <w:caps w:val="false"/>
                  <w:smallCaps w:val="false"/>
                  <w:sz w:val="20"/>
                </w:rPr>
                <w:t> </w:t>
              </w:r>
            </w:hyperlink>
            <w:hyperlink w:anchor="hrmy-20230331xex32d1.htm">
              <w:r>
                <w:rPr>
                  <w:rStyle w:val="InternetLink"/>
                  <w:rFonts w:ascii="Arial;Helvetica;sans-serif" w:hAnsi="Arial;Helvetica;sans-serif"/>
                  <w:b w:val="false"/>
                  <w:i w:val="false"/>
                  <w:caps w:val="false"/>
                  <w:smallCaps w:val="false"/>
                  <w:sz w:val="20"/>
                </w:rPr>
                <w:t>906 of the Sarbanes-Oxley Act of 2002.</w:t>
              </w:r>
            </w:hyperlink>
          </w:p>
        </w:tc>
        <w:tc>
          <w:tcPr>
            <w:tcW w:w="32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23" w:type="dxa"/>
            <w:tcBorders/>
            <w:shd w:fill="auto" w:val="clear"/>
            <w:vAlign w:val="center"/>
          </w:tcPr>
          <w:p>
            <w:pPr>
              <w:pStyle w:val="TableContents"/>
              <w:spacing w:before="0" w:after="0"/>
              <w:ind w:left="0" w:right="0" w:hanging="0"/>
              <w:jc w:val="center"/>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782" w:type="dxa"/>
            <w:tcBorders/>
            <w:shd w:fill="auto" w:val="clear"/>
            <w:vAlign w:val="center"/>
          </w:tcPr>
          <w:p>
            <w:pPr>
              <w:pStyle w:val="TableContents"/>
              <w:spacing w:before="0" w:after="0"/>
              <w:ind w:left="0" w:right="0" w:hanging="0"/>
              <w:jc w:val="center"/>
              <w:rPr/>
            </w:pPr>
            <w:r>
              <w:rPr/>
              <w:t>​</w:t>
            </w:r>
          </w:p>
        </w:tc>
      </w:tr>
      <w:tr>
        <w:trPr/>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32.2**</w:t>
            </w:r>
          </w:p>
        </w:tc>
        <w:tc>
          <w:tcPr>
            <w:tcW w:w="326" w:type="dxa"/>
            <w:tcBorders/>
            <w:shd w:fill="auto" w:val="clear"/>
            <w:vAlign w:val="center"/>
          </w:tcPr>
          <w:p>
            <w:pPr>
              <w:pStyle w:val="TableContents"/>
              <w:spacing w:before="0" w:after="0"/>
              <w:ind w:left="0" w:right="0" w:hanging="0"/>
              <w:rPr/>
            </w:pPr>
            <w:r>
              <w:rPr/>
              <w:t>​</w:t>
            </w:r>
          </w:p>
        </w:tc>
        <w:tc>
          <w:tcPr>
            <w:tcW w:w="5854" w:type="dxa"/>
            <w:tcBorders/>
            <w:shd w:fill="auto" w:val="clear"/>
            <w:vAlign w:val="center"/>
          </w:tcPr>
          <w:p>
            <w:pPr>
              <w:pStyle w:val="TableContents"/>
              <w:spacing w:before="0" w:after="0"/>
              <w:ind w:left="0" w:right="0" w:hanging="0"/>
              <w:rPr/>
            </w:pPr>
            <w:hyperlink w:anchor="hrmy-20230331xex32d2.htm">
              <w:r>
                <w:rPr>
                  <w:rStyle w:val="InternetLink"/>
                  <w:rFonts w:ascii="Arial;Helvetica;sans-serif" w:hAnsi="Arial;Helvetica;sans-serif"/>
                  <w:b w:val="false"/>
                  <w:i w:val="false"/>
                  <w:caps w:val="false"/>
                  <w:smallCaps w:val="false"/>
                  <w:sz w:val="20"/>
                </w:rPr>
                <w:t>Certification of Chief Financial Officer pursuant to 18 U.S.C. Section</w:t>
              </w:r>
            </w:hyperlink>
            <w:hyperlink w:anchor="hrmy-20230331xex32d2.htm">
              <w:r>
                <w:rPr>
                  <w:rStyle w:val="InternetLink"/>
                  <w:rFonts w:ascii="Arial;Helvetica;sans-serif" w:hAnsi="Arial;Helvetica;sans-serif"/>
                  <w:caps w:val="false"/>
                  <w:smallCaps w:val="false"/>
                  <w:sz w:val="20"/>
                </w:rPr>
                <w:t> </w:t>
              </w:r>
            </w:hyperlink>
            <w:hyperlink w:anchor="hrmy-20230331xex32d2.htm">
              <w:r>
                <w:rPr>
                  <w:rStyle w:val="InternetLink"/>
                  <w:rFonts w:ascii="Arial;Helvetica;sans-serif" w:hAnsi="Arial;Helvetica;sans-serif"/>
                  <w:b w:val="false"/>
                  <w:i w:val="false"/>
                  <w:caps w:val="false"/>
                  <w:smallCaps w:val="false"/>
                  <w:sz w:val="20"/>
                </w:rPr>
                <w:t>1350, as adopted pursuant to Section</w:t>
              </w:r>
            </w:hyperlink>
            <w:hyperlink w:anchor="hrmy-20230331xex32d2.htm">
              <w:r>
                <w:rPr>
                  <w:rStyle w:val="InternetLink"/>
                  <w:rFonts w:ascii="Arial;Helvetica;sans-serif" w:hAnsi="Arial;Helvetica;sans-serif"/>
                  <w:caps w:val="false"/>
                  <w:smallCaps w:val="false"/>
                  <w:sz w:val="20"/>
                </w:rPr>
                <w:t> </w:t>
              </w:r>
            </w:hyperlink>
            <w:hyperlink w:anchor="hrmy-20230331xex32d2.htm">
              <w:r>
                <w:rPr>
                  <w:rStyle w:val="InternetLink"/>
                  <w:rFonts w:ascii="Arial;Helvetica;sans-serif" w:hAnsi="Arial;Helvetica;sans-serif"/>
                  <w:b w:val="false"/>
                  <w:i w:val="false"/>
                  <w:caps w:val="false"/>
                  <w:smallCaps w:val="false"/>
                  <w:sz w:val="20"/>
                </w:rPr>
                <w:t>906 of the Sarbanes-Oxley Act of 2002.</w:t>
              </w:r>
            </w:hyperlink>
          </w:p>
        </w:tc>
        <w:tc>
          <w:tcPr>
            <w:tcW w:w="32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23" w:type="dxa"/>
            <w:tcBorders/>
            <w:shd w:fill="auto" w:val="clear"/>
            <w:vAlign w:val="center"/>
          </w:tcPr>
          <w:p>
            <w:pPr>
              <w:pStyle w:val="TableContents"/>
              <w:spacing w:before="0" w:after="0"/>
              <w:ind w:left="0" w:right="0" w:hanging="0"/>
              <w:jc w:val="center"/>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782" w:type="dxa"/>
            <w:tcBorders/>
            <w:shd w:fill="auto" w:val="clear"/>
            <w:vAlign w:val="center"/>
          </w:tcPr>
          <w:p>
            <w:pPr>
              <w:pStyle w:val="TableContents"/>
              <w:spacing w:before="0" w:after="0"/>
              <w:ind w:left="0" w:right="0" w:hanging="0"/>
              <w:jc w:val="center"/>
              <w:rPr/>
            </w:pPr>
            <w:r>
              <w:rPr/>
              <w:t>​</w:t>
            </w:r>
          </w:p>
        </w:tc>
      </w:tr>
      <w:tr>
        <w:trPr/>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101*</w:t>
            </w:r>
          </w:p>
        </w:tc>
        <w:tc>
          <w:tcPr>
            <w:tcW w:w="326" w:type="dxa"/>
            <w:tcBorders/>
            <w:shd w:fill="auto" w:val="clear"/>
            <w:vAlign w:val="center"/>
          </w:tcPr>
          <w:p>
            <w:pPr>
              <w:pStyle w:val="TableContents"/>
              <w:spacing w:before="0" w:after="0"/>
              <w:ind w:left="0" w:right="0" w:hanging="0"/>
              <w:rPr/>
            </w:pPr>
            <w:r>
              <w:rPr/>
              <w:t>​</w:t>
            </w:r>
          </w:p>
        </w:tc>
        <w:tc>
          <w:tcPr>
            <w:tcW w:w="585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The following financial statements from the Company’s Quarterly Report on Form 10-Q for the fiscal quarter ended March 31, 2023 formatted in Inline XBRL: (i) Balance Sheets, (ii) Statements of Operations, (iii) Statements of Stockholders’ Equity and (vi) Notes to Financial Statements, tagged as blocks of text and including detailed tags.</w:t>
            </w:r>
          </w:p>
        </w:tc>
        <w:tc>
          <w:tcPr>
            <w:tcW w:w="32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23" w:type="dxa"/>
            <w:tcBorders/>
            <w:shd w:fill="auto" w:val="clear"/>
            <w:vAlign w:val="center"/>
          </w:tcPr>
          <w:p>
            <w:pPr>
              <w:pStyle w:val="TableContents"/>
              <w:spacing w:before="0" w:after="0"/>
              <w:ind w:left="0" w:right="0" w:hanging="0"/>
              <w:jc w:val="center"/>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782" w:type="dxa"/>
            <w:tcBorders/>
            <w:shd w:fill="auto" w:val="clear"/>
            <w:vAlign w:val="center"/>
          </w:tcPr>
          <w:p>
            <w:pPr>
              <w:pStyle w:val="TableContents"/>
              <w:spacing w:before="0" w:after="0"/>
              <w:ind w:left="0" w:right="0" w:hanging="0"/>
              <w:jc w:val="center"/>
              <w:rPr/>
            </w:pPr>
            <w:r>
              <w:rPr/>
              <w:t>​</w:t>
            </w:r>
          </w:p>
        </w:tc>
      </w:tr>
      <w:tr>
        <w:trPr/>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104*</w:t>
            </w:r>
          </w:p>
        </w:tc>
        <w:tc>
          <w:tcPr>
            <w:tcW w:w="326" w:type="dxa"/>
            <w:tcBorders/>
            <w:shd w:fill="auto" w:val="clear"/>
            <w:vAlign w:val="center"/>
          </w:tcPr>
          <w:p>
            <w:pPr>
              <w:pStyle w:val="TableContents"/>
              <w:spacing w:before="0" w:after="0"/>
              <w:ind w:left="0" w:right="0" w:hanging="0"/>
              <w:rPr/>
            </w:pPr>
            <w:r>
              <w:rPr/>
              <w:t>​</w:t>
            </w:r>
          </w:p>
        </w:tc>
        <w:tc>
          <w:tcPr>
            <w:tcW w:w="585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Cover Page Interactive Date File (formatted as Inline XBRL and contained in Exhibit 101)</w:t>
            </w:r>
          </w:p>
        </w:tc>
        <w:tc>
          <w:tcPr>
            <w:tcW w:w="32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23" w:type="dxa"/>
            <w:tcBorders/>
            <w:shd w:fill="auto" w:val="clear"/>
            <w:vAlign w:val="center"/>
          </w:tcPr>
          <w:p>
            <w:pPr>
              <w:pStyle w:val="TableContents"/>
              <w:spacing w:before="0" w:after="0"/>
              <w:ind w:left="0" w:right="0" w:hanging="0"/>
              <w:jc w:val="center"/>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782" w:type="dxa"/>
            <w:tcBorders/>
            <w:shd w:fill="auto" w:val="clear"/>
            <w:vAlign w:val="center"/>
          </w:tcPr>
          <w:p>
            <w:pPr>
              <w:pStyle w:val="TableContents"/>
              <w:spacing w:before="0" w:after="0"/>
              <w:ind w:left="0" w:right="0" w:hanging="0"/>
              <w:jc w:val="center"/>
              <w:rPr/>
            </w:pPr>
            <w:r>
              <w:rPr/>
              <w:t>​</w:t>
            </w:r>
          </w:p>
        </w:tc>
      </w:tr>
    </w:tbl>
    <w:p>
      <w:pPr>
        <w:pStyle w:val="TextBody"/>
        <w:spacing w:before="0" w:after="0"/>
        <w:ind w:left="0" w:right="0" w:hanging="0"/>
        <w:rPr/>
      </w:pPr>
      <w:r>
        <w:rPr/>
        <w:t>​</w:t>
      </w:r>
    </w:p>
    <w:tbl>
      <w:tblPr>
        <w:tblW w:w="1607" w:type="dxa"/>
        <w:jc w:val="left"/>
        <w:tblInd w:w="0" w:type="dxa"/>
        <w:tblCellMar>
          <w:top w:w="0" w:type="dxa"/>
          <w:left w:w="0" w:type="dxa"/>
          <w:bottom w:w="0" w:type="dxa"/>
          <w:right w:w="0" w:type="dxa"/>
        </w:tblCellMar>
      </w:tblPr>
      <w:tblGrid>
        <w:gridCol w:w="196"/>
        <w:gridCol w:w="1411"/>
      </w:tblGrid>
      <w:tr>
        <w:trPr/>
        <w:tc>
          <w:tcPr>
            <w:tcW w:w="196" w:type="dxa"/>
            <w:tcBorders/>
            <w:shd w:fill="auto" w:val="clear"/>
            <w:vAlign w:val="center"/>
          </w:tcPr>
          <w:p>
            <w:pPr>
              <w:pStyle w:val="TableContents"/>
              <w:spacing w:before="0" w:after="240"/>
              <w:rPr>
                <w:rFonts w:ascii="Arial;Helvetica;sans-serif" w:hAnsi="Arial;Helvetica;sans-serif"/>
                <w:sz w:val="20"/>
              </w:rPr>
            </w:pPr>
            <w:r>
              <w:rPr>
                <w:rFonts w:ascii="Arial;Helvetica;sans-serif" w:hAnsi="Arial;Helvetica;sans-serif"/>
                <w:sz w:val="20"/>
              </w:rPr>
              <w:t>*</w:t>
            </w:r>
          </w:p>
        </w:tc>
        <w:tc>
          <w:tcPr>
            <w:tcW w:w="1411" w:type="dxa"/>
            <w:tcBorders/>
            <w:shd w:fill="auto" w:val="clear"/>
            <w:vAlign w:val="center"/>
          </w:tcPr>
          <w:p>
            <w:pPr>
              <w:pStyle w:val="TableContents"/>
              <w:spacing w:before="0" w:after="240"/>
              <w:rPr>
                <w:rFonts w:ascii="Arial;Helvetica;sans-serif" w:hAnsi="Arial;Helvetica;sans-serif"/>
                <w:sz w:val="20"/>
              </w:rPr>
            </w:pPr>
            <w:r>
              <w:rPr>
                <w:rFonts w:ascii="Arial;Helvetica;sans-serif" w:hAnsi="Arial;Helvetica;sans-serif"/>
                <w:sz w:val="20"/>
              </w:rPr>
              <w:t>Filed herewith.</w:t>
            </w:r>
          </w:p>
        </w:tc>
      </w:tr>
    </w:tbl>
    <w:tbl>
      <w:tblPr>
        <w:tblW w:w="10205" w:type="dxa"/>
        <w:jc w:val="left"/>
        <w:tblInd w:w="0" w:type="dxa"/>
        <w:tblCellMar>
          <w:top w:w="0" w:type="dxa"/>
          <w:left w:w="0" w:type="dxa"/>
          <w:bottom w:w="0" w:type="dxa"/>
          <w:right w:w="0" w:type="dxa"/>
        </w:tblCellMar>
      </w:tblPr>
      <w:tblGrid>
        <w:gridCol w:w="212"/>
        <w:gridCol w:w="9993"/>
      </w:tblGrid>
      <w:tr>
        <w:trPr/>
        <w:tc>
          <w:tcPr>
            <w:tcW w:w="212" w:type="dxa"/>
            <w:tcBorders/>
            <w:shd w:fill="auto" w:val="clear"/>
            <w:vAlign w:val="center"/>
          </w:tcPr>
          <w:p>
            <w:pPr>
              <w:pStyle w:val="TableContents"/>
              <w:spacing w:before="0" w:after="240"/>
              <w:rPr>
                <w:rFonts w:ascii="Arial;Helvetica;sans-serif" w:hAnsi="Arial;Helvetica;sans-serif"/>
                <w:sz w:val="20"/>
              </w:rPr>
            </w:pPr>
            <w:r>
              <w:rPr>
                <w:rFonts w:ascii="Arial;Helvetica;sans-serif" w:hAnsi="Arial;Helvetica;sans-serif"/>
                <w:sz w:val="20"/>
              </w:rPr>
              <w:t>**</w:t>
            </w:r>
          </w:p>
        </w:tc>
        <w:tc>
          <w:tcPr>
            <w:tcW w:w="9993" w:type="dxa"/>
            <w:tcBorders/>
            <w:shd w:fill="auto" w:val="clear"/>
            <w:vAlign w:val="center"/>
          </w:tcPr>
          <w:p>
            <w:pPr>
              <w:pStyle w:val="TableContents"/>
              <w:spacing w:before="0" w:after="240"/>
              <w:rPr>
                <w:rFonts w:ascii="Arial;Helvetica;sans-serif" w:hAnsi="Arial;Helvetica;sans-serif"/>
                <w:sz w:val="20"/>
              </w:rPr>
            </w:pPr>
            <w:r>
              <w:rPr>
                <w:rFonts w:ascii="Arial;Helvetica;sans-serif" w:hAnsi="Arial;Helvetica;sans-serif"/>
                <w:sz w:val="20"/>
              </w:rPr>
              <w:t>Furnished herewith. This certification is deemed furnished, and not filed, with the Securities and Exchange Commission and is not to be incorporated by reference into any filing of Harmony Biosciences Holdings, Inc. under the Securities Act of 1933, as amended, or the Securities Exchange Act of 1934, as amended, whether made before or after the date of this Quarterly Report on Form 10-Q, irrespective of any general incorporation language contained in such filing.</w:t>
            </w:r>
          </w:p>
        </w:tc>
      </w:tr>
    </w:tbl>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40"/>
              <w:rPr>
                <w:rFonts w:ascii="Arial;Helvetica;sans-serif" w:hAnsi="Arial;Helvetica;sans-serif"/>
                <w:sz w:val="20"/>
              </w:rPr>
            </w:pPr>
            <w:r>
              <w:rPr>
                <w:rFonts w:ascii="Arial;Helvetica;sans-serif" w:hAnsi="Arial;Helvetica;sans-serif"/>
                <w:sz w:val="20"/>
              </w:rPr>
              <w:t>+</w:t>
            </w:r>
          </w:p>
        </w:tc>
        <w:tc>
          <w:tcPr>
            <w:tcW w:w="9964" w:type="dxa"/>
            <w:tcBorders/>
            <w:shd w:fill="auto" w:val="clear"/>
            <w:vAlign w:val="center"/>
          </w:tcPr>
          <w:p>
            <w:pPr>
              <w:pStyle w:val="TableContents"/>
              <w:spacing w:before="0" w:after="240"/>
              <w:rPr>
                <w:rFonts w:ascii="Arial;Helvetica;sans-serif" w:hAnsi="Arial;Helvetica;sans-serif"/>
                <w:sz w:val="20"/>
              </w:rPr>
            </w:pPr>
            <w:r>
              <w:rPr>
                <w:rFonts w:ascii="Arial;Helvetica;sans-serif" w:hAnsi="Arial;Helvetica;sans-serif"/>
                <w:sz w:val="20"/>
              </w:rPr>
              <w:t>Certain portions of this document that constitute confidential information have been redacted in accordance with Regulation S-K, Item 601(b)(10).</w:t>
            </w:r>
          </w:p>
        </w:tc>
      </w:tr>
    </w:tbl>
    <w:p>
      <w:pPr>
        <w:pStyle w:val="TextBody"/>
        <w:pBdr/>
        <w:spacing w:before="0" w:after="240"/>
        <w:ind w:left="0" w:right="0" w:hanging="360"/>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bookmarkStart w:id="903" w:name="SIGNATURES"/>
      <w:bookmarkStart w:id="904" w:name="_8130f699_4825_4bdb_8d05_b19bd9ce99d9"/>
      <w:bookmarkEnd w:id="903"/>
      <w:bookmarkEnd w:id="904"/>
      <w:r>
        <w:rPr>
          <w:rFonts w:ascii="Arial;Helvetica;sans-serif" w:hAnsi="Arial;Helvetica;sans-serif"/>
          <w:b/>
          <w:sz w:val="20"/>
        </w:rPr>
        <w:t>SIGNATURES</w:t>
      </w:r>
    </w:p>
    <w:p>
      <w:pPr>
        <w:pStyle w:val="TextBody"/>
        <w:spacing w:before="0" w:after="0"/>
        <w:ind w:left="0" w:right="0" w:firstLine="720"/>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spacing w:before="0" w:after="240"/>
        <w:ind w:left="0" w:right="0" w:hanging="0"/>
        <w:jc w:val="center"/>
        <w:rPr/>
      </w:pPr>
      <w:r>
        <w:rPr/>
        <w:t>​</w:t>
      </w:r>
    </w:p>
    <w:tbl>
      <w:tblPr>
        <w:tblW w:w="7577" w:type="dxa"/>
        <w:jc w:val="left"/>
        <w:tblInd w:w="0" w:type="dxa"/>
        <w:tblCellMar>
          <w:top w:w="0" w:type="dxa"/>
          <w:left w:w="0" w:type="dxa"/>
          <w:bottom w:w="0" w:type="dxa"/>
          <w:right w:w="0" w:type="dxa"/>
        </w:tblCellMar>
      </w:tblPr>
      <w:tblGrid>
        <w:gridCol w:w="124"/>
        <w:gridCol w:w="676"/>
        <w:gridCol w:w="146"/>
        <w:gridCol w:w="6631"/>
      </w:tblGrid>
      <w:tr>
        <w:trPr/>
        <w:tc>
          <w:tcPr>
            <w:tcW w:w="124"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2710" cy="175260"/>
                      <wp:effectExtent l="0" t="0" r="0" b="0"/>
                      <wp:wrapNone/>
                      <wp:docPr id="194" name="Frame194"/>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210685" cy="175260"/>
                      <wp:effectExtent l="0" t="0" r="0" b="0"/>
                      <wp:wrapNone/>
                      <wp:docPr id="195" name="Frame195"/>
                      <a:graphic xmlns:a="http://schemas.openxmlformats.org/drawingml/2006/main">
                        <a:graphicData uri="http://schemas.microsoft.com/office/word/2010/wordprocessingShape">
                          <wps:wsp>
                            <wps:cNvSpPr txBox="1"/>
                            <wps:spPr>
                              <a:xfrm>
                                <a:off x="0" y="0"/>
                                <a:ext cx="421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rPr/>
            </w:pPr>
            <w:r>
              <w:rPr/>
              <w:t>​</w:t>
            </w:r>
          </w:p>
        </w:tc>
        <w:tc>
          <w:tcPr>
            <w:tcW w:w="7453" w:type="dxa"/>
            <w:gridSpan w:val="3"/>
            <w:tcBorders/>
            <w:shd w:fill="auto"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HARMONY BIOSCIENCES HOLDINGS, INC.</w:t>
            </w:r>
          </w:p>
        </w:tc>
      </w:tr>
      <w:tr>
        <w:trPr/>
        <w:tc>
          <w:tcPr>
            <w:tcW w:w="124"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283"/>
              <w:ind w:left="0" w:right="0" w:hanging="0"/>
              <w:rPr>
                <w:sz w:val="4"/>
                <w:szCs w:val="4"/>
              </w:rPr>
            </w:pPr>
            <w:r>
              <w:rPr>
                <w:sz w:val="4"/>
                <w:szCs w:val="4"/>
              </w:rPr>
            </w:r>
          </w:p>
        </w:tc>
        <w:tc>
          <w:tcPr>
            <w:tcW w:w="6777"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By:</w:t>
            </w:r>
          </w:p>
        </w:tc>
        <w:tc>
          <w:tcPr>
            <w:tcW w:w="146" w:type="dxa"/>
            <w:tcBorders/>
            <w:shd w:fill="auto" w:val="clear"/>
            <w:vAlign w:val="center"/>
          </w:tcPr>
          <w:p>
            <w:pPr>
              <w:pStyle w:val="TableContents"/>
              <w:spacing w:before="0" w:after="0"/>
              <w:ind w:left="0" w:right="0" w:hanging="0"/>
              <w:rPr/>
            </w:pPr>
            <w:r>
              <w:rPr/>
              <w:t>​</w:t>
            </w:r>
          </w:p>
        </w:tc>
        <w:tc>
          <w:tcPr>
            <w:tcW w:w="6631" w:type="dxa"/>
            <w:tcBorders>
              <w:bottom w:val="single" w:sz="8"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 Jeffrey M. Dayno</w:t>
            </w:r>
          </w:p>
        </w:tc>
      </w:tr>
      <w:tr>
        <w:trPr/>
        <w:tc>
          <w:tcPr>
            <w:tcW w:w="124"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Name:</w:t>
            </w:r>
          </w:p>
        </w:tc>
        <w:tc>
          <w:tcPr>
            <w:tcW w:w="146" w:type="dxa"/>
            <w:tcBorders/>
            <w:shd w:fill="auto" w:val="clear"/>
            <w:vAlign w:val="center"/>
          </w:tcPr>
          <w:p>
            <w:pPr>
              <w:pStyle w:val="TableContents"/>
              <w:spacing w:before="0" w:after="0"/>
              <w:ind w:left="0" w:right="0" w:hanging="0"/>
              <w:rPr/>
            </w:pPr>
            <w:r>
              <w:rPr/>
              <w:t> </w:t>
            </w:r>
          </w:p>
        </w:tc>
        <w:tc>
          <w:tcPr>
            <w:tcW w:w="6631" w:type="dxa"/>
            <w:tcBorders>
              <w:top w:val="single" w:sz="8" w:space="0" w:color="000000"/>
            </w:tcBorders>
            <w:shd w:fill="auto" w:val="clear"/>
            <w:tcMar>
              <w:top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Jeffrey M. Dayno</w:t>
            </w:r>
          </w:p>
        </w:tc>
      </w:tr>
      <w:tr>
        <w:trPr/>
        <w:tc>
          <w:tcPr>
            <w:tcW w:w="124"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Title:</w:t>
            </w:r>
          </w:p>
        </w:tc>
        <w:tc>
          <w:tcPr>
            <w:tcW w:w="146" w:type="dxa"/>
            <w:tcBorders/>
            <w:shd w:fill="auto" w:val="clear"/>
            <w:vAlign w:val="center"/>
          </w:tcPr>
          <w:p>
            <w:pPr>
              <w:pStyle w:val="TableContents"/>
              <w:spacing w:before="0" w:after="0"/>
              <w:ind w:left="0" w:right="0" w:hanging="0"/>
              <w:rPr/>
            </w:pPr>
            <w:r>
              <w:rPr/>
              <w:t>​</w:t>
            </w:r>
          </w:p>
        </w:tc>
        <w:tc>
          <w:tcPr>
            <w:tcW w:w="66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President, Chief Executive Officer and Director (principal executive officer)</w:t>
            </w:r>
          </w:p>
        </w:tc>
      </w:tr>
      <w:tr>
        <w:trPr/>
        <w:tc>
          <w:tcPr>
            <w:tcW w:w="124"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Date:</w:t>
            </w:r>
          </w:p>
        </w:tc>
        <w:tc>
          <w:tcPr>
            <w:tcW w:w="146" w:type="dxa"/>
            <w:tcBorders/>
            <w:shd w:fill="auto" w:val="clear"/>
            <w:vAlign w:val="center"/>
          </w:tcPr>
          <w:p>
            <w:pPr>
              <w:pStyle w:val="TableContents"/>
              <w:spacing w:before="0" w:after="0"/>
              <w:ind w:left="0" w:right="0" w:hanging="0"/>
              <w:rPr/>
            </w:pPr>
            <w:r>
              <w:rPr/>
              <w:t> </w:t>
            </w:r>
          </w:p>
        </w:tc>
        <w:tc>
          <w:tcPr>
            <w:tcW w:w="66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May 2, 2023</w:t>
            </w:r>
          </w:p>
        </w:tc>
      </w:tr>
      <w:tr>
        <w:trPr/>
        <w:tc>
          <w:tcPr>
            <w:tcW w:w="124"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663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By:</w:t>
            </w:r>
          </w:p>
        </w:tc>
        <w:tc>
          <w:tcPr>
            <w:tcW w:w="146" w:type="dxa"/>
            <w:tcBorders/>
            <w:shd w:fill="auto" w:val="clear"/>
            <w:vAlign w:val="center"/>
          </w:tcPr>
          <w:p>
            <w:pPr>
              <w:pStyle w:val="TableContents"/>
              <w:spacing w:before="0" w:after="0"/>
              <w:ind w:left="0" w:right="0" w:hanging="0"/>
              <w:rPr/>
            </w:pPr>
            <w:r>
              <w:rPr/>
              <w:t> </w:t>
            </w:r>
          </w:p>
        </w:tc>
        <w:tc>
          <w:tcPr>
            <w:tcW w:w="6631"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 Sandip Kapadia</w:t>
            </w:r>
          </w:p>
        </w:tc>
      </w:tr>
      <w:tr>
        <w:trPr/>
        <w:tc>
          <w:tcPr>
            <w:tcW w:w="124"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Name:</w:t>
            </w:r>
          </w:p>
        </w:tc>
        <w:tc>
          <w:tcPr>
            <w:tcW w:w="146" w:type="dxa"/>
            <w:tcBorders/>
            <w:shd w:fill="auto" w:val="clear"/>
            <w:vAlign w:val="center"/>
          </w:tcPr>
          <w:p>
            <w:pPr>
              <w:pStyle w:val="TableContents"/>
              <w:spacing w:before="0" w:after="0"/>
              <w:ind w:left="0" w:right="0" w:hanging="0"/>
              <w:rPr/>
            </w:pPr>
            <w:r>
              <w:rPr/>
              <w:t> </w:t>
            </w:r>
          </w:p>
        </w:tc>
        <w:tc>
          <w:tcPr>
            <w:tcW w:w="6631" w:type="dxa"/>
            <w:tcBorders>
              <w:top w:val="single" w:sz="2" w:space="0" w:color="000000"/>
            </w:tcBorders>
            <w:shd w:fill="auto" w:val="clear"/>
            <w:tcMar>
              <w:top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Sandip Kapadia</w:t>
            </w:r>
          </w:p>
        </w:tc>
      </w:tr>
      <w:tr>
        <w:trPr/>
        <w:tc>
          <w:tcPr>
            <w:tcW w:w="124"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Title:</w:t>
            </w:r>
          </w:p>
        </w:tc>
        <w:tc>
          <w:tcPr>
            <w:tcW w:w="146" w:type="dxa"/>
            <w:tcBorders/>
            <w:shd w:fill="auto" w:val="clear"/>
            <w:vAlign w:val="center"/>
          </w:tcPr>
          <w:p>
            <w:pPr>
              <w:pStyle w:val="TableContents"/>
              <w:spacing w:before="0" w:after="0"/>
              <w:ind w:left="0" w:right="0" w:hanging="0"/>
              <w:rPr/>
            </w:pPr>
            <w:r>
              <w:rPr/>
              <w:t>​</w:t>
            </w:r>
          </w:p>
        </w:tc>
        <w:tc>
          <w:tcPr>
            <w:tcW w:w="66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Chief Financial Officer (principal financial officer)</w:t>
            </w:r>
          </w:p>
        </w:tc>
      </w:tr>
      <w:tr>
        <w:trPr/>
        <w:tc>
          <w:tcPr>
            <w:tcW w:w="124"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xml:space="preserve">Date: </w:t>
            </w:r>
          </w:p>
        </w:tc>
        <w:tc>
          <w:tcPr>
            <w:tcW w:w="146" w:type="dxa"/>
            <w:tcBorders/>
            <w:shd w:fill="auto" w:val="clear"/>
            <w:vAlign w:val="center"/>
          </w:tcPr>
          <w:p>
            <w:pPr>
              <w:pStyle w:val="TableContents"/>
              <w:spacing w:before="0" w:after="0"/>
              <w:ind w:left="0" w:right="0" w:hanging="0"/>
              <w:rPr/>
            </w:pPr>
            <w:r>
              <w:rPr/>
              <w:t> </w:t>
            </w:r>
          </w:p>
        </w:tc>
        <w:tc>
          <w:tcPr>
            <w:tcW w:w="66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May 2, 2023</w:t>
            </w:r>
          </w:p>
        </w:tc>
      </w:tr>
    </w:tbl>
    <w:p>
      <w:pPr>
        <w:pStyle w:val="TextBody"/>
        <w:spacing w:before="0" w:after="0"/>
        <w:ind w:left="0" w:right="0" w:hanging="0"/>
        <w:rPr/>
      </w:pPr>
      <w:r>
        <w:rPr/>
        <w:t>​</w:t>
      </w:r>
    </w:p>
    <w:p>
      <w:pPr>
        <w:pStyle w:val="TextBody"/>
        <w:spacing w:before="0" w:after="240"/>
        <w:ind w:left="0" w:right="0" w:firstLine="72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37</w:t>
      </w:r>
      <w:r>
        <w:br w:type="page"/>
      </w:r>
    </w:p>
    <w:p>
      <w:pPr>
        <w:pStyle w:val="TextBody"/>
        <w:spacing w:before="0" w:after="0"/>
        <w:ind w:left="0" w:right="0" w:hanging="0"/>
        <w:jc w:val="right"/>
        <w:rPr>
          <w:rFonts w:ascii="Times New Roman;Times;serif" w:hAnsi="Times New Roman;Times;serif"/>
          <w:b/>
          <w:sz w:val="20"/>
        </w:rPr>
      </w:pPr>
      <w:bookmarkStart w:id="905" w:name="hrmy-20230331xex31d1.htm"/>
      <w:bookmarkStart w:id="906" w:name="kshrmy20230331xex31d1"/>
      <w:bookmarkEnd w:id="905"/>
      <w:bookmarkEnd w:id="906"/>
      <w:r>
        <w:rPr>
          <w:rFonts w:ascii="Times New Roman;Times;serif" w:hAnsi="Times New Roman;Times;serif"/>
          <w:b/>
          <w:sz w:val="20"/>
        </w:rPr>
        <w:t>Exhibit 31.1</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Jeffrey M. Dayno, certify that:</w:t>
      </w:r>
    </w:p>
    <w:p>
      <w:pPr>
        <w:pStyle w:val="TextBody"/>
        <w:spacing w:before="0" w:after="0"/>
        <w:ind w:left="0" w:right="0" w:hanging="0"/>
        <w:rPr/>
      </w:pPr>
      <w:r>
        <w:rPr/>
        <w:t>​</w:t>
      </w:r>
    </w:p>
    <w:tbl>
      <w:tblPr>
        <w:tblW w:w="7683" w:type="dxa"/>
        <w:jc w:val="left"/>
        <w:tblInd w:w="0" w:type="dxa"/>
        <w:tblCellMar>
          <w:top w:w="0" w:type="dxa"/>
          <w:left w:w="0" w:type="dxa"/>
          <w:bottom w:w="0" w:type="dxa"/>
          <w:right w:w="0" w:type="dxa"/>
        </w:tblCellMar>
      </w:tblPr>
      <w:tblGrid>
        <w:gridCol w:w="23"/>
        <w:gridCol w:w="170"/>
        <w:gridCol w:w="749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1.</w:t>
            </w:r>
          </w:p>
        </w:tc>
        <w:tc>
          <w:tcPr>
            <w:tcW w:w="749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I have reviewed this Quarterly Report on Form 10-Q of Harmony Biosciences Holdings, Inc.;</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2"/>
        <w:gridCol w:w="10040"/>
      </w:tblGrid>
      <w:tr>
        <w:trPr/>
        <w:tc>
          <w:tcPr>
            <w:tcW w:w="2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4"/>
        <w:gridCol w:w="10038"/>
      </w:tblGrid>
      <w:tr>
        <w:trPr/>
        <w:tc>
          <w:tcPr>
            <w:tcW w:w="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3.</w:t>
            </w:r>
          </w:p>
        </w:tc>
        <w:tc>
          <w:tcPr>
            <w:tcW w:w="10038"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1"/>
        <w:gridCol w:w="10041"/>
      </w:tblGrid>
      <w:tr>
        <w:trPr/>
        <w:tc>
          <w:tcPr>
            <w:tcW w:w="23"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3"/>
        <w:gridCol w:w="10039"/>
      </w:tblGrid>
      <w:tr>
        <w:trPr/>
        <w:tc>
          <w:tcPr>
            <w:tcW w:w="2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5.</w:t>
            </w:r>
          </w:p>
        </w:tc>
        <w:tc>
          <w:tcPr>
            <w:tcW w:w="1003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t>​</w:t>
      </w:r>
    </w:p>
    <w:tbl>
      <w:tblPr>
        <w:tblW w:w="684" w:type="dxa"/>
        <w:jc w:val="left"/>
        <w:tblInd w:w="0" w:type="dxa"/>
        <w:tblCellMar>
          <w:top w:w="0" w:type="dxa"/>
          <w:left w:w="0" w:type="dxa"/>
          <w:bottom w:w="0" w:type="dxa"/>
          <w:right w:w="0" w:type="dxa"/>
        </w:tblCellMar>
      </w:tblPr>
      <w:tblGrid>
        <w:gridCol w:w="124"/>
        <w:gridCol w:w="406"/>
        <w:gridCol w:w="154"/>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78740" cy="29210"/>
                      <wp:effectExtent l="0" t="0" r="0" b="0"/>
                      <wp:wrapNone/>
                      <wp:docPr id="196" name="Frame196"/>
                      <a:graphic xmlns:a="http://schemas.openxmlformats.org/drawingml/2006/main">
                        <a:graphicData uri="http://schemas.microsoft.com/office/word/2010/wordprocessingShape">
                          <wps:wsp>
                            <wps:cNvSpPr txBox="1"/>
                            <wps:spPr>
                              <a:xfrm>
                                <a:off x="0" y="0"/>
                                <a:ext cx="7874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97790" cy="29210"/>
                      <wp:effectExtent l="0" t="0" r="0" b="0"/>
                      <wp:wrapNone/>
                      <wp:docPr id="197" name="Frame197"/>
                      <a:graphic xmlns:a="http://schemas.openxmlformats.org/drawingml/2006/main">
                        <a:graphicData uri="http://schemas.microsoft.com/office/word/2010/wordprocessingShape">
                          <wps:wsp>
                            <wps:cNvSpPr txBox="1"/>
                            <wps:spPr>
                              <a:xfrm>
                                <a:off x="0" y="0"/>
                                <a:ext cx="9779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78740" cy="2538730"/>
                      <wp:effectExtent l="0" t="0" r="0" b="0"/>
                      <wp:wrapNone/>
                      <wp:docPr id="198" name="Frame198"/>
                      <a:graphic xmlns:a="http://schemas.openxmlformats.org/drawingml/2006/main">
                        <a:graphicData uri="http://schemas.microsoft.com/office/word/2010/wordprocessingShape">
                          <wps:wsp>
                            <wps:cNvSpPr txBox="1"/>
                            <wps:spPr>
                              <a:xfrm>
                                <a:off x="0" y="0"/>
                                <a:ext cx="78740" cy="2538730"/>
                              </a:xfrm>
                              <a:prstGeom prst="rect"/>
                            </wps:spPr>
                            <wps:txbx>
                              <w:txbxContent>
                                <w:p>
                                  <w:pPr>
                                    <w:pStyle w:val="TableContents"/>
                                    <w:spacing w:lineRule="auto" w:line="295" w:before="75" w:after="30"/>
                                    <w:ind w:left="0" w:right="0" w:hanging="0"/>
                                    <w:rPr>
                                      <w:rFonts w:ascii="Times New Roman;Times;serif" w:hAnsi="Times New Roman;Times;serif"/>
                                      <w:sz w:val="20"/>
                                    </w:rPr>
                                  </w:pPr>
                                  <w:r>
                                    <w:rPr>
                                      <w:rFonts w:ascii="Times New Roman;Times;serif" w:hAnsi="Times New Roman;Times;serif"/>
                                      <w:sz w:val="20"/>
                                    </w:rPr>
                                    <w:t>Date: May 2, 2023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99.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95" w:before="75" w:after="30"/>
                              <w:ind w:left="0" w:right="0" w:hanging="0"/>
                              <w:rPr>
                                <w:rFonts w:ascii="Times New Roman;Times;serif" w:hAnsi="Times New Roman;Times;serif"/>
                                <w:sz w:val="20"/>
                              </w:rPr>
                            </w:pPr>
                            <w:r>
                              <w:rPr>
                                <w:rFonts w:ascii="Times New Roman;Times;serif" w:hAnsi="Times New Roman;Times;serif"/>
                                <w:sz w:val="20"/>
                              </w:rPr>
                              <w:t>Date: May 2, 2023</w:t>
                            </w:r>
                          </w:p>
                        </w:txbxContent>
                      </v:textbox>
                    </v:rect>
                  </w:pict>
                </mc:Fallback>
              </mc:AlternateContent>
            </w:r>
          </w:p>
        </w:tc>
        <w:tc>
          <w:tcPr>
            <w:tcW w:w="406" w:type="dxa"/>
            <w:tcBorders/>
            <w:shd w:fill="auto" w:val="clear"/>
            <w:vAlign w:val="center"/>
          </w:tcPr>
          <w:p>
            <w:pPr>
              <w:pStyle w:val="TableContents"/>
              <w:spacing w:lineRule="auto" w:line="237" w:before="75" w:after="30"/>
              <w:ind w:left="0" w:right="0" w:hanging="0"/>
              <w:rPr>
                <w:rFonts w:ascii="Times New Roman;Times;serif" w:hAnsi="Times New Roman;Times;serif"/>
                <w:sz w:val="20"/>
              </w:rPr>
            </w:pPr>
            <w:r>
              <w:rPr>
                <w:rFonts w:ascii="Times New Roman;Times;serif" w:hAnsi="Times New Roman;Times;serif"/>
                <w:sz w:val="20"/>
              </w:rPr>
              <w:t>By:</w:t>
            </w:r>
          </w:p>
        </w:tc>
        <w:tc>
          <w:tcPr>
            <w:tcW w:w="154"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97790" cy="2219325"/>
                      <wp:effectExtent l="0" t="0" r="0" b="0"/>
                      <wp:wrapNone/>
                      <wp:docPr id="199" name="Frame199"/>
                      <a:graphic xmlns:a="http://schemas.openxmlformats.org/drawingml/2006/main">
                        <a:graphicData uri="http://schemas.microsoft.com/office/word/2010/wordprocessingShape">
                          <wps:wsp>
                            <wps:cNvSpPr txBox="1"/>
                            <wps:spPr>
                              <a:xfrm>
                                <a:off x="0" y="0"/>
                                <a:ext cx="97790" cy="2219325"/>
                              </a:xfrm>
                              <a:prstGeom prst="rect"/>
                            </wps:spPr>
                            <wps:txbx>
                              <w:txbxContent>
                                <w:p>
                                  <w:pPr>
                                    <w:pStyle w:val="TableContents"/>
                                    <w:spacing w:lineRule="auto" w:line="237" w:before="75" w:after="30"/>
                                    <w:ind w:left="0" w:right="0" w:hanging="0"/>
                                    <w:rPr>
                                      <w:rFonts w:ascii="Times New Roman;Times;serif" w:hAnsi="Times New Roman;Times;serif"/>
                                      <w:sz w:val="20"/>
                                    </w:rPr>
                                  </w:pPr>
                                  <w:r>
                                    <w:rPr>
                                      <w:rFonts w:ascii="Times New Roman;Times;serif" w:hAnsi="Times New Roman;Times;serif"/>
                                      <w:sz w:val="20"/>
                                    </w:rPr>
                                    <w:t>/s/ Jeffrey M. Dayno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74.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37" w:before="75" w:after="30"/>
                              <w:ind w:left="0" w:right="0" w:hanging="0"/>
                              <w:rPr>
                                <w:rFonts w:ascii="Times New Roman;Times;serif" w:hAnsi="Times New Roman;Times;serif"/>
                                <w:sz w:val="20"/>
                              </w:rPr>
                            </w:pPr>
                            <w:r>
                              <w:rPr>
                                <w:rFonts w:ascii="Times New Roman;Times;serif" w:hAnsi="Times New Roman;Times;serif"/>
                                <w:sz w:val="20"/>
                              </w:rPr>
                              <w:t>/s/ Jeffrey M. Dayno</w:t>
                            </w:r>
                          </w:p>
                        </w:txbxContent>
                      </v:textbox>
                    </v:rect>
                  </w:pict>
                </mc:Fallback>
              </mc:AlternateConten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78740" cy="175260"/>
                      <wp:effectExtent l="0" t="0" r="0" b="0"/>
                      <wp:wrapNone/>
                      <wp:docPr id="200" name="Frame200"/>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lineRule="auto" w:line="328"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28"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57810" cy="175260"/>
                      <wp:effectExtent l="0" t="0" r="0" b="0"/>
                      <wp:wrapNone/>
                      <wp:docPr id="201" name="Frame201"/>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lineRule="auto" w:line="328"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28" w:before="0" w:after="0"/>
                              <w:ind w:left="0" w:right="0" w:hanging="0"/>
                              <w:rPr/>
                            </w:pPr>
                            <w:r>
                              <w:rPr/>
                              <w:t>​</w:t>
                            </w:r>
                          </w:p>
                        </w:txbxContent>
                      </v:textbox>
                    </v:rect>
                  </w:pict>
                </mc:Fallback>
              </mc:AlternateContent>
            </w:r>
          </w:p>
        </w:tc>
        <w:tc>
          <w:tcPr>
            <w:tcW w:w="154" w:type="dxa"/>
            <w:tcBorders>
              <w:top w:val="single" w:sz="8" w:space="0" w:color="000000"/>
            </w:tcBorders>
            <w:shd w:fill="FFFFFF"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97790" cy="1917065"/>
                      <wp:effectExtent l="0" t="0" r="0" b="0"/>
                      <wp:wrapNone/>
                      <wp:docPr id="202" name="Frame202"/>
                      <a:graphic xmlns:a="http://schemas.openxmlformats.org/drawingml/2006/main">
                        <a:graphicData uri="http://schemas.microsoft.com/office/word/2010/wordprocessingShape">
                          <wps:wsp>
                            <wps:cNvSpPr txBox="1"/>
                            <wps:spPr>
                              <a:xfrm>
                                <a:off x="0" y="0"/>
                                <a:ext cx="97790" cy="1917065"/>
                              </a:xfrm>
                              <a:prstGeom prst="rect"/>
                            </wps:spPr>
                            <wps:txbx>
                              <w:txbxContent>
                                <w:p>
                                  <w:pPr>
                                    <w:pStyle w:val="TableContents"/>
                                    <w:spacing w:lineRule="auto" w:line="237" w:before="55" w:after="30"/>
                                    <w:ind w:left="0" w:right="0" w:hanging="0"/>
                                    <w:rPr>
                                      <w:rFonts w:ascii="Times New Roman;Times;serif" w:hAnsi="Times New Roman;Times;serif"/>
                                      <w:sz w:val="20"/>
                                    </w:rPr>
                                  </w:pPr>
                                  <w:r>
                                    <w:rPr>
                                      <w:rFonts w:ascii="Times New Roman;Times;serif" w:hAnsi="Times New Roman;Times;serif"/>
                                      <w:sz w:val="20"/>
                                    </w:rPr>
                                    <w:t>Jeffrey M. Dayno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50.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37" w:before="55" w:after="30"/>
                              <w:ind w:left="0" w:right="0" w:hanging="0"/>
                              <w:rPr>
                                <w:rFonts w:ascii="Times New Roman;Times;serif" w:hAnsi="Times New Roman;Times;serif"/>
                                <w:sz w:val="20"/>
                              </w:rPr>
                            </w:pPr>
                            <w:r>
                              <w:rPr>
                                <w:rFonts w:ascii="Times New Roman;Times;serif" w:hAnsi="Times New Roman;Times;serif"/>
                                <w:sz w:val="20"/>
                              </w:rPr>
                              <w:t>Jeffrey M. Dayno</w:t>
                            </w:r>
                          </w:p>
                        </w:txbxContent>
                      </v:textbox>
                    </v:rect>
                  </w:pict>
                </mc:Fallback>
              </mc:AlternateConten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78740" cy="175260"/>
                      <wp:effectExtent l="0" t="0" r="0" b="0"/>
                      <wp:wrapNone/>
                      <wp:docPr id="203" name="Frame203"/>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lineRule="auto" w:line="328"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28"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57810" cy="175260"/>
                      <wp:effectExtent l="0" t="0" r="0" b="0"/>
                      <wp:wrapNone/>
                      <wp:docPr id="204" name="Frame204"/>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lineRule="auto" w:line="328"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28"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97790" cy="9752330"/>
                      <wp:effectExtent l="0" t="0" r="0" b="0"/>
                      <wp:wrapNone/>
                      <wp:docPr id="205" name="Frame205"/>
                      <a:graphic xmlns:a="http://schemas.openxmlformats.org/drawingml/2006/main">
                        <a:graphicData uri="http://schemas.microsoft.com/office/word/2010/wordprocessingShape">
                          <wps:wsp>
                            <wps:cNvSpPr txBox="1"/>
                            <wps:spPr>
                              <a:xfrm>
                                <a:off x="0" y="0"/>
                                <a:ext cx="97790" cy="9752330"/>
                              </a:xfrm>
                              <a:prstGeom prst="rect"/>
                            </wps:spPr>
                            <wps:txbx>
                              <w:txbxContent>
                                <w:p>
                                  <w:pPr>
                                    <w:pStyle w:val="TableContents"/>
                                    <w:spacing w:lineRule="auto" w:line="295" w:before="75" w:after="0"/>
                                    <w:ind w:left="0" w:right="0" w:hanging="0"/>
                                    <w:rPr>
                                      <w:rFonts w:ascii="Times New Roman;Times;serif" w:hAnsi="Times New Roman;Times;serif"/>
                                      <w:sz w:val="20"/>
                                    </w:rPr>
                                  </w:pPr>
                                  <w:r>
                                    <w:rPr>
                                      <w:rFonts w:ascii="Times New Roman;Times;serif" w:hAnsi="Times New Roman;Times;serif"/>
                                      <w:sz w:val="20"/>
                                    </w:rPr>
                                    <w:t>President, Chief Executive Officer and Director</w:t>
                                  </w:r>
                                </w:p>
                                <w:p>
                                  <w:pPr>
                                    <w:pStyle w:val="TableContents"/>
                                    <w:spacing w:lineRule="auto" w:line="295" w:before="0" w:after="30"/>
                                    <w:ind w:left="0" w:right="0" w:hanging="0"/>
                                    <w:rPr>
                                      <w:rFonts w:ascii="Times New Roman;Times;serif" w:hAnsi="Times New Roman;Times;serif"/>
                                      <w:sz w:val="20"/>
                                    </w:rPr>
                                  </w:pPr>
                                  <w:r>
                                    <w:rPr>
                                      <w:rFonts w:ascii="Times New Roman;Times;serif" w:hAnsi="Times New Roman;Times;serif"/>
                                      <w:sz w:val="20"/>
                                    </w:rPr>
                                    <w:t>(Principal Executive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767.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95" w:before="75" w:after="0"/>
                              <w:ind w:left="0" w:right="0" w:hanging="0"/>
                              <w:rPr>
                                <w:rFonts w:ascii="Times New Roman;Times;serif" w:hAnsi="Times New Roman;Times;serif"/>
                                <w:sz w:val="20"/>
                              </w:rPr>
                            </w:pPr>
                            <w:r>
                              <w:rPr>
                                <w:rFonts w:ascii="Times New Roman;Times;serif" w:hAnsi="Times New Roman;Times;serif"/>
                                <w:sz w:val="20"/>
                              </w:rPr>
                              <w:t>President, Chief Executive Officer and Director</w:t>
                            </w:r>
                          </w:p>
                          <w:p>
                            <w:pPr>
                              <w:pStyle w:val="TableContents"/>
                              <w:spacing w:lineRule="auto" w:line="295" w:before="0" w:after="30"/>
                              <w:ind w:left="0" w:right="0" w:hanging="0"/>
                              <w:rPr>
                                <w:rFonts w:ascii="Times New Roman;Times;serif" w:hAnsi="Times New Roman;Times;serif"/>
                                <w:sz w:val="20"/>
                              </w:rPr>
                            </w:pPr>
                            <w:r>
                              <w:rPr>
                                <w:rFonts w:ascii="Times New Roman;Times;serif" w:hAnsi="Times New Roman;Times;serif"/>
                                <w:sz w:val="20"/>
                              </w:rPr>
                              <w:t>(Principal Executive Officer)</w:t>
                            </w:r>
                          </w:p>
                        </w:txbxContent>
                      </v:textbox>
                    </v:rect>
                  </w:pict>
                </mc:Fallback>
              </mc:AlternateConten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907" w:name="hrmy-20230331xex31d2.htm"/>
      <w:bookmarkStart w:id="908" w:name="kshrmy20230331xex31d2"/>
      <w:bookmarkEnd w:id="907"/>
      <w:bookmarkEnd w:id="908"/>
      <w:r>
        <w:rPr>
          <w:rFonts w:ascii="Times New Roman;Times;serif" w:hAnsi="Times New Roman;Times;serif"/>
          <w:b/>
          <w:sz w:val="20"/>
        </w:rPr>
        <w:t>Exhibit 31.2</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Sandip Kapadia, certify that:</w:t>
      </w:r>
    </w:p>
    <w:p>
      <w:pPr>
        <w:pStyle w:val="TextBody"/>
        <w:spacing w:before="0" w:after="0"/>
        <w:ind w:left="0" w:right="0" w:hanging="0"/>
        <w:rPr/>
      </w:pPr>
      <w:r>
        <w:rPr/>
        <w:t>​</w:t>
      </w:r>
    </w:p>
    <w:tbl>
      <w:tblPr>
        <w:tblW w:w="7683" w:type="dxa"/>
        <w:jc w:val="left"/>
        <w:tblInd w:w="0" w:type="dxa"/>
        <w:tblCellMar>
          <w:top w:w="0" w:type="dxa"/>
          <w:left w:w="0" w:type="dxa"/>
          <w:bottom w:w="0" w:type="dxa"/>
          <w:right w:w="0" w:type="dxa"/>
        </w:tblCellMar>
      </w:tblPr>
      <w:tblGrid>
        <w:gridCol w:w="23"/>
        <w:gridCol w:w="170"/>
        <w:gridCol w:w="749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1.</w:t>
            </w:r>
          </w:p>
        </w:tc>
        <w:tc>
          <w:tcPr>
            <w:tcW w:w="749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I have reviewed this Quarterly Report on Form 10-Q of Harmony Biosciences Holdings, Inc.;</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2"/>
        <w:gridCol w:w="10040"/>
      </w:tblGrid>
      <w:tr>
        <w:trPr/>
        <w:tc>
          <w:tcPr>
            <w:tcW w:w="2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4"/>
        <w:gridCol w:w="10038"/>
      </w:tblGrid>
      <w:tr>
        <w:trPr/>
        <w:tc>
          <w:tcPr>
            <w:tcW w:w="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3.</w:t>
            </w:r>
          </w:p>
        </w:tc>
        <w:tc>
          <w:tcPr>
            <w:tcW w:w="10038"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1"/>
        <w:gridCol w:w="10041"/>
      </w:tblGrid>
      <w:tr>
        <w:trPr/>
        <w:tc>
          <w:tcPr>
            <w:tcW w:w="23"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3"/>
        <w:gridCol w:w="10039"/>
      </w:tblGrid>
      <w:tr>
        <w:trPr/>
        <w:tc>
          <w:tcPr>
            <w:tcW w:w="2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5.</w:t>
            </w:r>
          </w:p>
        </w:tc>
        <w:tc>
          <w:tcPr>
            <w:tcW w:w="1003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spacing w:before="0" w:after="0"/>
        <w:ind w:left="1184" w:right="0" w:hanging="396"/>
        <w:rPr/>
      </w:pPr>
      <w:r>
        <w:rPr/>
        <w:t>​</w:t>
      </w:r>
    </w:p>
    <w:p>
      <w:pPr>
        <w:pStyle w:val="TextBody"/>
        <w:spacing w:before="0" w:after="0"/>
        <w:ind w:left="0" w:right="0" w:hanging="0"/>
        <w:rPr/>
      </w:pPr>
      <w:r>
        <w:rPr/>
        <w:t>​</w:t>
      </w:r>
    </w:p>
    <w:tbl>
      <w:tblPr>
        <w:tblW w:w="7297" w:type="dxa"/>
        <w:jc w:val="center"/>
        <w:tblInd w:w="0" w:type="dxa"/>
        <w:tblCellMar>
          <w:top w:w="0" w:type="dxa"/>
          <w:left w:w="0" w:type="dxa"/>
          <w:bottom w:w="0" w:type="dxa"/>
          <w:right w:w="0" w:type="dxa"/>
        </w:tblCellMar>
      </w:tblPr>
      <w:tblGrid>
        <w:gridCol w:w="1636"/>
        <w:gridCol w:w="109"/>
        <w:gridCol w:w="406"/>
        <w:gridCol w:w="5146"/>
      </w:tblGrid>
      <w:tr>
        <w:trPr/>
        <w:tc>
          <w:tcPr>
            <w:tcW w:w="16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038860" cy="29210"/>
                      <wp:effectExtent l="0" t="0" r="0" b="0"/>
                      <wp:wrapNone/>
                      <wp:docPr id="206" name="Frame206"/>
                      <a:graphic xmlns:a="http://schemas.openxmlformats.org/drawingml/2006/main">
                        <a:graphicData uri="http://schemas.microsoft.com/office/word/2010/wordprocessingShape">
                          <wps:wsp>
                            <wps:cNvSpPr txBox="1"/>
                            <wps:spPr>
                              <a:xfrm>
                                <a:off x="0" y="0"/>
                                <a:ext cx="10388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29210"/>
                      <wp:effectExtent l="0" t="0" r="0" b="0"/>
                      <wp:wrapNone/>
                      <wp:docPr id="207" name="Frame207"/>
                      <a:graphic xmlns:a="http://schemas.openxmlformats.org/drawingml/2006/main">
                        <a:graphicData uri="http://schemas.microsoft.com/office/word/2010/wordprocessingShape">
                          <wps:wsp>
                            <wps:cNvSpPr txBox="1"/>
                            <wps:spPr>
                              <a:xfrm>
                                <a:off x="0" y="0"/>
                                <a:ext cx="6921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5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267710" cy="29210"/>
                      <wp:effectExtent l="0" t="0" r="0" b="0"/>
                      <wp:wrapNone/>
                      <wp:docPr id="208" name="Frame208"/>
                      <a:graphic xmlns:a="http://schemas.openxmlformats.org/drawingml/2006/main">
                        <a:graphicData uri="http://schemas.microsoft.com/office/word/2010/wordprocessingShape">
                          <wps:wsp>
                            <wps:cNvSpPr txBox="1"/>
                            <wps:spPr>
                              <a:xfrm>
                                <a:off x="0" y="0"/>
                                <a:ext cx="32677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63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2, 2023</w:t>
            </w:r>
          </w:p>
        </w:tc>
        <w:tc>
          <w:tcPr>
            <w:tcW w:w="109" w:type="dxa"/>
            <w:tcBorders/>
            <w:shd w:fill="FFFFFF" w:val="clear"/>
            <w:vAlign w:val="center"/>
          </w:tcPr>
          <w:p>
            <w:pPr>
              <w:pStyle w:val="TableContents"/>
              <w:spacing w:before="0" w:after="0"/>
              <w:ind w:left="0" w:right="0" w:hanging="0"/>
              <w:rPr/>
            </w:pPr>
            <w:r>
              <w:rPr/>
              <w:t>​</w:t>
            </w:r>
          </w:p>
        </w:tc>
        <w:tc>
          <w:tcPr>
            <w:tcW w:w="40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5146" w:type="dxa"/>
            <w:tcBorders>
              <w:bottom w:val="single" w:sz="2" w:space="0" w:color="000000"/>
            </w:tcBorders>
            <w:shd w:fill="FFFF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Sandip Kapadia</w:t>
            </w:r>
          </w:p>
        </w:tc>
      </w:tr>
      <w:tr>
        <w:trPr/>
        <w:tc>
          <w:tcPr>
            <w:tcW w:w="1636" w:type="dxa"/>
            <w:tcBorders/>
            <w:shd w:fill="FFFFFF" w:val="clear"/>
            <w:vAlign w:val="center"/>
          </w:tcPr>
          <w:p>
            <w:pPr>
              <w:pStyle w:val="TableContents"/>
              <w:spacing w:before="0" w:after="0"/>
              <w:ind w:left="0" w:right="0" w:hanging="0"/>
              <w:rPr/>
            </w:pPr>
            <w:r>
              <w:rPr/>
              <w:t>​</w:t>
            </w:r>
          </w:p>
        </w:tc>
        <w:tc>
          <w:tcPr>
            <w:tcW w:w="109" w:type="dxa"/>
            <w:tcBorders/>
            <w:shd w:fill="FFFFFF" w:val="clear"/>
            <w:vAlign w:val="center"/>
          </w:tcPr>
          <w:p>
            <w:pPr>
              <w:pStyle w:val="TableContents"/>
              <w:spacing w:before="0" w:after="0"/>
              <w:ind w:left="0" w:right="0" w:hanging="0"/>
              <w:rPr/>
            </w:pPr>
            <w:r>
              <w:rPr/>
              <w:t>​</w:t>
            </w:r>
          </w:p>
        </w:tc>
        <w:tc>
          <w:tcPr>
            <w:tcW w:w="406" w:type="dxa"/>
            <w:tcBorders/>
            <w:shd w:fill="FFFFFF" w:val="clear"/>
            <w:vAlign w:val="center"/>
          </w:tcPr>
          <w:p>
            <w:pPr>
              <w:pStyle w:val="TableContents"/>
              <w:spacing w:before="0" w:after="0"/>
              <w:ind w:left="0" w:right="0" w:hanging="0"/>
              <w:rPr/>
            </w:pPr>
            <w:r>
              <w:rPr/>
              <w:t>​</w:t>
            </w:r>
          </w:p>
        </w:tc>
        <w:tc>
          <w:tcPr>
            <w:tcW w:w="5146" w:type="dxa"/>
            <w:tcBorders>
              <w:top w:val="single" w:sz="2" w:space="0" w:color="000000"/>
            </w:tcBorders>
            <w:shd w:fill="FFFF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Sandip Kapadia</w:t>
            </w:r>
          </w:p>
        </w:tc>
      </w:tr>
      <w:tr>
        <w:trPr/>
        <w:tc>
          <w:tcPr>
            <w:tcW w:w="1636" w:type="dxa"/>
            <w:tcBorders/>
            <w:shd w:fill="FFFFFF" w:val="clear"/>
            <w:vAlign w:val="center"/>
          </w:tcPr>
          <w:p>
            <w:pPr>
              <w:pStyle w:val="TableContents"/>
              <w:spacing w:before="0" w:after="0"/>
              <w:ind w:left="0" w:right="0" w:hanging="0"/>
              <w:rPr/>
            </w:pPr>
            <w:r>
              <w:rPr/>
              <w:t>​</w:t>
            </w:r>
          </w:p>
        </w:tc>
        <w:tc>
          <w:tcPr>
            <w:tcW w:w="109" w:type="dxa"/>
            <w:tcBorders/>
            <w:shd w:fill="FFFFFF" w:val="clear"/>
            <w:vAlign w:val="center"/>
          </w:tcPr>
          <w:p>
            <w:pPr>
              <w:pStyle w:val="TableContents"/>
              <w:spacing w:before="0" w:after="0"/>
              <w:ind w:left="0" w:right="0" w:hanging="0"/>
              <w:rPr/>
            </w:pPr>
            <w:r>
              <w:rPr/>
              <w:t>​</w:t>
            </w:r>
          </w:p>
        </w:tc>
        <w:tc>
          <w:tcPr>
            <w:tcW w:w="406" w:type="dxa"/>
            <w:tcBorders/>
            <w:shd w:fill="FFFFFF" w:val="clear"/>
            <w:vAlign w:val="center"/>
          </w:tcPr>
          <w:p>
            <w:pPr>
              <w:pStyle w:val="TableContents"/>
              <w:spacing w:before="0" w:after="0"/>
              <w:ind w:left="0" w:right="0" w:hanging="0"/>
              <w:rPr/>
            </w:pPr>
            <w:r>
              <w:rPr/>
              <w:t>​</w:t>
            </w:r>
          </w:p>
        </w:tc>
        <w:tc>
          <w:tcPr>
            <w:tcW w:w="514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Arial;Helvetica;sans-serif" w:hAnsi="Arial;Helvetica;sans-serif"/>
          <w:b/>
          <w:sz w:val="20"/>
        </w:rPr>
      </w:pPr>
      <w:bookmarkStart w:id="909" w:name="hrmy-20230331xex32d1.htm"/>
      <w:bookmarkStart w:id="910" w:name="kshrmy20230331xex32d1"/>
      <w:bookmarkEnd w:id="909"/>
      <w:bookmarkEnd w:id="910"/>
      <w:r>
        <w:rPr>
          <w:rFonts w:ascii="Arial;Helvetica;sans-serif" w:hAnsi="Arial;Helvetica;sans-serif"/>
          <w:b/>
          <w:sz w:val="20"/>
        </w:rPr>
        <w:t>Exhibit 32.1</w:t>
      </w:r>
    </w:p>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Certification of Principal Executive Officer</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Pursuant To 18 U.S.C. Section 1350,</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as Adopted Pursuant to</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Section 906 of The Sarbanes-Oxley Act of 2002</w:t>
      </w:r>
    </w:p>
    <w:p>
      <w:pPr>
        <w:pStyle w:val="TextBody"/>
        <w:spacing w:before="0" w:after="0"/>
        <w:ind w:left="0" w:right="0" w:hanging="0"/>
        <w:jc w:val="center"/>
        <w:rPr/>
      </w:pPr>
      <w:r>
        <w:rPr/>
        <w: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In connection with the Quarterly Report on Form 10-Q of Harmony Biosciences Holdings, Inc. (the “Company”) for the quarter ended March 31, 2023, as filed with the Securities and Exchange Commission on the date hereof (the “Report”), I certify, pursuant to 18 U.S.C. Section 1350, as adopted pursuant to Section 906 of the Sarbanes-Oxley Act of 2002, that to such officer’s knowledge:</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36"/>
        <w:gridCol w:w="9946"/>
      </w:tblGrid>
      <w:tr>
        <w:trPr/>
        <w:tc>
          <w:tcPr>
            <w:tcW w:w="2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rFonts w:ascii="Arial;Helvetica;sans-serif" w:hAnsi="Arial;Helvetica;sans-serif"/>
                <w:sz w:val="20"/>
              </w:rPr>
            </w:pPr>
            <w:r>
              <w:rPr>
                <w:rFonts w:ascii="Arial;Helvetica;sans-serif" w:hAnsi="Arial;Helvetica;sans-serif"/>
                <w:sz w:val="20"/>
              </w:rPr>
              <w:t>(1)</w:t>
            </w:r>
          </w:p>
        </w:tc>
        <w:tc>
          <w:tcPr>
            <w:tcW w:w="9946"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Report fully complies with the requirements of Section 13(a) or 15(d) of the Securities Exchange Act of 1934, as amended;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31"/>
        <w:gridCol w:w="9951"/>
      </w:tblGrid>
      <w:tr>
        <w:trPr/>
        <w:tc>
          <w:tcPr>
            <w:tcW w:w="2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rFonts w:ascii="Arial;Helvetica;sans-serif" w:hAnsi="Arial;Helvetica;sans-serif"/>
                <w:sz w:val="20"/>
              </w:rPr>
            </w:pPr>
            <w:r>
              <w:rPr>
                <w:rFonts w:ascii="Arial;Helvetica;sans-serif" w:hAnsi="Arial;Helvetica;sans-serif"/>
                <w:sz w:val="20"/>
              </w:rPr>
              <w:t>(2)</w:t>
            </w:r>
          </w:p>
        </w:tc>
        <w:tc>
          <w:tcPr>
            <w:tcW w:w="9951"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before="0" w:after="0"/>
        <w:ind w:left="720" w:right="0" w:hanging="0"/>
        <w:rPr/>
      </w:pPr>
      <w:r>
        <w:rPr/>
        <w:t>​</w:t>
      </w:r>
    </w:p>
    <w:p>
      <w:pPr>
        <w:pStyle w:val="TextBody"/>
        <w:spacing w:before="0" w:after="0"/>
        <w:ind w:left="720" w:right="0" w:hanging="0"/>
        <w:rPr/>
      </w:pPr>
      <w:r>
        <w:rPr/>
        <w:t>​</w:t>
      </w:r>
    </w:p>
    <w:tbl>
      <w:tblPr>
        <w:tblW w:w="684" w:type="dxa"/>
        <w:jc w:val="left"/>
        <w:tblInd w:w="0" w:type="dxa"/>
        <w:tblCellMar>
          <w:top w:w="0" w:type="dxa"/>
          <w:left w:w="0" w:type="dxa"/>
          <w:bottom w:w="0" w:type="dxa"/>
          <w:right w:w="0" w:type="dxa"/>
        </w:tblCellMar>
      </w:tblPr>
      <w:tblGrid>
        <w:gridCol w:w="124"/>
        <w:gridCol w:w="406"/>
        <w:gridCol w:w="154"/>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78740" cy="29210"/>
                      <wp:effectExtent l="0" t="0" r="0" b="0"/>
                      <wp:wrapNone/>
                      <wp:docPr id="209" name="Frame209"/>
                      <a:graphic xmlns:a="http://schemas.openxmlformats.org/drawingml/2006/main">
                        <a:graphicData uri="http://schemas.microsoft.com/office/word/2010/wordprocessingShape">
                          <wps:wsp>
                            <wps:cNvSpPr txBox="1"/>
                            <wps:spPr>
                              <a:xfrm>
                                <a:off x="0" y="0"/>
                                <a:ext cx="7874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97790" cy="29210"/>
                      <wp:effectExtent l="0" t="0" r="0" b="0"/>
                      <wp:wrapNone/>
                      <wp:docPr id="210" name="Frame210"/>
                      <a:graphic xmlns:a="http://schemas.openxmlformats.org/drawingml/2006/main">
                        <a:graphicData uri="http://schemas.microsoft.com/office/word/2010/wordprocessingShape">
                          <wps:wsp>
                            <wps:cNvSpPr txBox="1"/>
                            <wps:spPr>
                              <a:xfrm>
                                <a:off x="0" y="0"/>
                                <a:ext cx="9779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78740" cy="2521585"/>
                      <wp:effectExtent l="0" t="0" r="0" b="0"/>
                      <wp:wrapNone/>
                      <wp:docPr id="211" name="Frame211"/>
                      <a:graphic xmlns:a="http://schemas.openxmlformats.org/drawingml/2006/main">
                        <a:graphicData uri="http://schemas.microsoft.com/office/word/2010/wordprocessingShape">
                          <wps:wsp>
                            <wps:cNvSpPr txBox="1"/>
                            <wps:spPr>
                              <a:xfrm>
                                <a:off x="0" y="0"/>
                                <a:ext cx="78740" cy="2521585"/>
                              </a:xfrm>
                              <a:prstGeom prst="rect"/>
                            </wps:spPr>
                            <wps:txbx>
                              <w:txbxContent>
                                <w:p>
                                  <w:pPr>
                                    <w:pStyle w:val="TableContents"/>
                                    <w:spacing w:lineRule="auto" w:line="295" w:before="75" w:after="30"/>
                                    <w:ind w:left="0" w:right="0" w:hanging="0"/>
                                    <w:rPr>
                                      <w:rFonts w:ascii="Arial;Helvetica;sans-serif" w:hAnsi="Arial;Helvetica;sans-serif"/>
                                      <w:sz w:val="20"/>
                                    </w:rPr>
                                  </w:pPr>
                                  <w:r>
                                    <w:rPr>
                                      <w:rFonts w:ascii="Arial;Helvetica;sans-serif" w:hAnsi="Arial;Helvetica;sans-serif"/>
                                      <w:sz w:val="20"/>
                                    </w:rPr>
                                    <w:t>Date: May 2, 2023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98.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95" w:before="75" w:after="30"/>
                              <w:ind w:left="0" w:right="0" w:hanging="0"/>
                              <w:rPr>
                                <w:rFonts w:ascii="Arial;Helvetica;sans-serif" w:hAnsi="Arial;Helvetica;sans-serif"/>
                                <w:sz w:val="20"/>
                              </w:rPr>
                            </w:pPr>
                            <w:r>
                              <w:rPr>
                                <w:rFonts w:ascii="Arial;Helvetica;sans-serif" w:hAnsi="Arial;Helvetica;sans-serif"/>
                                <w:sz w:val="20"/>
                              </w:rPr>
                              <w:t>Date: May 2, 2023</w:t>
                            </w:r>
                          </w:p>
                        </w:txbxContent>
                      </v:textbox>
                    </v:rect>
                  </w:pict>
                </mc:Fallback>
              </mc:AlternateContent>
            </w:r>
          </w:p>
        </w:tc>
        <w:tc>
          <w:tcPr>
            <w:tcW w:w="406" w:type="dxa"/>
            <w:tcBorders/>
            <w:shd w:fill="auto" w:val="clear"/>
            <w:vAlign w:val="center"/>
          </w:tcPr>
          <w:p>
            <w:pPr>
              <w:pStyle w:val="TableContents"/>
              <w:spacing w:lineRule="auto" w:line="237" w:before="75" w:after="30"/>
              <w:ind w:left="0" w:right="0" w:hanging="0"/>
              <w:rPr>
                <w:rFonts w:ascii="Arial;Helvetica;sans-serif" w:hAnsi="Arial;Helvetica;sans-serif"/>
                <w:sz w:val="20"/>
              </w:rPr>
            </w:pPr>
            <w:r>
              <w:rPr>
                <w:rFonts w:ascii="Arial;Helvetica;sans-serif" w:hAnsi="Arial;Helvetica;sans-serif"/>
                <w:sz w:val="20"/>
              </w:rPr>
              <w:t>By:</w:t>
            </w:r>
          </w:p>
        </w:tc>
        <w:tc>
          <w:tcPr>
            <w:tcW w:w="154"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97790" cy="2353945"/>
                      <wp:effectExtent l="0" t="0" r="0" b="0"/>
                      <wp:wrapNone/>
                      <wp:docPr id="212" name="Frame212"/>
                      <a:graphic xmlns:a="http://schemas.openxmlformats.org/drawingml/2006/main">
                        <a:graphicData uri="http://schemas.microsoft.com/office/word/2010/wordprocessingShape">
                          <wps:wsp>
                            <wps:cNvSpPr txBox="1"/>
                            <wps:spPr>
                              <a:xfrm>
                                <a:off x="0" y="0"/>
                                <a:ext cx="97790" cy="2353945"/>
                              </a:xfrm>
                              <a:prstGeom prst="rect"/>
                            </wps:spPr>
                            <wps:txbx>
                              <w:txbxContent>
                                <w:p>
                                  <w:pPr>
                                    <w:pStyle w:val="TableContents"/>
                                    <w:spacing w:lineRule="auto" w:line="237" w:before="75" w:after="30"/>
                                    <w:ind w:left="0" w:right="0" w:hanging="0"/>
                                    <w:rPr>
                                      <w:rFonts w:ascii="Arial;Helvetica;sans-serif" w:hAnsi="Arial;Helvetica;sans-serif"/>
                                      <w:sz w:val="20"/>
                                    </w:rPr>
                                  </w:pPr>
                                  <w:r>
                                    <w:rPr>
                                      <w:rFonts w:ascii="Arial;Helvetica;sans-serif" w:hAnsi="Arial;Helvetica;sans-serif"/>
                                      <w:sz w:val="20"/>
                                    </w:rPr>
                                    <w:t>/s/ Jeffrey M. Dayno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85.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37" w:before="75" w:after="30"/>
                              <w:ind w:left="0" w:right="0" w:hanging="0"/>
                              <w:rPr>
                                <w:rFonts w:ascii="Arial;Helvetica;sans-serif" w:hAnsi="Arial;Helvetica;sans-serif"/>
                                <w:sz w:val="20"/>
                              </w:rPr>
                            </w:pPr>
                            <w:r>
                              <w:rPr>
                                <w:rFonts w:ascii="Arial;Helvetica;sans-serif" w:hAnsi="Arial;Helvetica;sans-serif"/>
                                <w:sz w:val="20"/>
                              </w:rPr>
                              <w:t>/s/ Jeffrey M. Dayno</w:t>
                            </w:r>
                          </w:p>
                        </w:txbxContent>
                      </v:textbox>
                    </v:rect>
                  </w:pict>
                </mc:Fallback>
              </mc:AlternateConten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78740" cy="175260"/>
                      <wp:effectExtent l="0" t="0" r="0" b="0"/>
                      <wp:wrapNone/>
                      <wp:docPr id="213" name="Frame213"/>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57810" cy="175260"/>
                      <wp:effectExtent l="0" t="0" r="0" b="0"/>
                      <wp:wrapNone/>
                      <wp:docPr id="214" name="Frame214"/>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top w:val="single" w:sz="8" w:space="0" w:color="000000"/>
            </w:tcBorders>
            <w:shd w:fill="FFFFFF"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97790" cy="1908810"/>
                      <wp:effectExtent l="0" t="0" r="0" b="0"/>
                      <wp:wrapNone/>
                      <wp:docPr id="215" name="Frame215"/>
                      <a:graphic xmlns:a="http://schemas.openxmlformats.org/drawingml/2006/main">
                        <a:graphicData uri="http://schemas.microsoft.com/office/word/2010/wordprocessingShape">
                          <wps:wsp>
                            <wps:cNvSpPr txBox="1"/>
                            <wps:spPr>
                              <a:xfrm>
                                <a:off x="0" y="0"/>
                                <a:ext cx="97790" cy="1908810"/>
                              </a:xfrm>
                              <a:prstGeom prst="rect"/>
                            </wps:spPr>
                            <wps:txbx>
                              <w:txbxContent>
                                <w:p>
                                  <w:pPr>
                                    <w:pStyle w:val="TableContents"/>
                                    <w:spacing w:lineRule="auto" w:line="237" w:before="55" w:after="30"/>
                                    <w:ind w:left="0" w:right="0" w:hanging="0"/>
                                    <w:rPr>
                                      <w:rFonts w:ascii="Arial;Helvetica;sans-serif" w:hAnsi="Arial;Helvetica;sans-serif"/>
                                      <w:sz w:val="20"/>
                                    </w:rPr>
                                  </w:pPr>
                                  <w:r>
                                    <w:rPr>
                                      <w:rFonts w:ascii="Arial;Helvetica;sans-serif" w:hAnsi="Arial;Helvetica;sans-serif"/>
                                      <w:sz w:val="20"/>
                                    </w:rPr>
                                    <w:t>Jeffrey M. Dayno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50.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37" w:before="55" w:after="30"/>
                              <w:ind w:left="0" w:right="0" w:hanging="0"/>
                              <w:rPr>
                                <w:rFonts w:ascii="Arial;Helvetica;sans-serif" w:hAnsi="Arial;Helvetica;sans-serif"/>
                                <w:sz w:val="20"/>
                              </w:rPr>
                            </w:pPr>
                            <w:r>
                              <w:rPr>
                                <w:rFonts w:ascii="Arial;Helvetica;sans-serif" w:hAnsi="Arial;Helvetica;sans-serif"/>
                                <w:sz w:val="20"/>
                              </w:rPr>
                              <w:t>Jeffrey M. Dayno</w:t>
                            </w:r>
                          </w:p>
                        </w:txbxContent>
                      </v:textbox>
                    </v:rect>
                  </w:pict>
                </mc:Fallback>
              </mc:AlternateConten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78740" cy="175260"/>
                      <wp:effectExtent l="0" t="0" r="0" b="0"/>
                      <wp:wrapNone/>
                      <wp:docPr id="216" name="Frame216"/>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57810" cy="175260"/>
                      <wp:effectExtent l="0" t="0" r="0" b="0"/>
                      <wp:wrapNone/>
                      <wp:docPr id="217" name="Frame217"/>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97790" cy="10221595"/>
                      <wp:effectExtent l="0" t="0" r="0" b="0"/>
                      <wp:wrapNone/>
                      <wp:docPr id="218" name="Frame218"/>
                      <a:graphic xmlns:a="http://schemas.openxmlformats.org/drawingml/2006/main">
                        <a:graphicData uri="http://schemas.microsoft.com/office/word/2010/wordprocessingShape">
                          <wps:wsp>
                            <wps:cNvSpPr txBox="1"/>
                            <wps:spPr>
                              <a:xfrm>
                                <a:off x="0" y="0"/>
                                <a:ext cx="97790" cy="10221595"/>
                              </a:xfrm>
                              <a:prstGeom prst="rect"/>
                            </wps:spPr>
                            <wps:txbx>
                              <w:txbxContent>
                                <w:p>
                                  <w:pPr>
                                    <w:pStyle w:val="TableContents"/>
                                    <w:spacing w:lineRule="auto" w:line="295" w:before="75" w:after="0"/>
                                    <w:ind w:left="0" w:right="0" w:hanging="0"/>
                                    <w:rPr>
                                      <w:rFonts w:ascii="Arial;Helvetica;sans-serif" w:hAnsi="Arial;Helvetica;sans-serif"/>
                                      <w:sz w:val="20"/>
                                    </w:rPr>
                                  </w:pPr>
                                  <w:r>
                                    <w:rPr>
                                      <w:rFonts w:ascii="Arial;Helvetica;sans-serif" w:hAnsi="Arial;Helvetica;sans-serif"/>
                                      <w:sz w:val="20"/>
                                    </w:rPr>
                                    <w:t>President, Chief Executive Officer and Director</w:t>
                                  </w:r>
                                </w:p>
                                <w:p>
                                  <w:pPr>
                                    <w:pStyle w:val="TableContents"/>
                                    <w:spacing w:lineRule="auto" w:line="295" w:before="0" w:after="30"/>
                                    <w:ind w:left="0" w:right="0" w:hanging="0"/>
                                    <w:rPr>
                                      <w:rFonts w:ascii="Arial;Helvetica;sans-serif" w:hAnsi="Arial;Helvetica;sans-serif"/>
                                      <w:sz w:val="20"/>
                                    </w:rPr>
                                  </w:pPr>
                                  <w:r>
                                    <w:rPr>
                                      <w:rFonts w:ascii="Arial;Helvetica;sans-serif" w:hAnsi="Arial;Helvetica;sans-serif"/>
                                      <w:sz w:val="20"/>
                                    </w:rPr>
                                    <w:t>(Principal Executive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04.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95" w:before="75" w:after="0"/>
                              <w:ind w:left="0" w:right="0" w:hanging="0"/>
                              <w:rPr>
                                <w:rFonts w:ascii="Arial;Helvetica;sans-serif" w:hAnsi="Arial;Helvetica;sans-serif"/>
                                <w:sz w:val="20"/>
                              </w:rPr>
                            </w:pPr>
                            <w:r>
                              <w:rPr>
                                <w:rFonts w:ascii="Arial;Helvetica;sans-serif" w:hAnsi="Arial;Helvetica;sans-serif"/>
                                <w:sz w:val="20"/>
                              </w:rPr>
                              <w:t>President, Chief Executive Officer and Director</w:t>
                            </w:r>
                          </w:p>
                          <w:p>
                            <w:pPr>
                              <w:pStyle w:val="TableContents"/>
                              <w:spacing w:lineRule="auto" w:line="295" w:before="0" w:after="30"/>
                              <w:ind w:left="0" w:right="0" w:hanging="0"/>
                              <w:rPr>
                                <w:rFonts w:ascii="Arial;Helvetica;sans-serif" w:hAnsi="Arial;Helvetica;sans-serif"/>
                                <w:sz w:val="20"/>
                              </w:rPr>
                            </w:pPr>
                            <w:r>
                              <w:rPr>
                                <w:rFonts w:ascii="Arial;Helvetica;sans-serif" w:hAnsi="Arial;Helvetica;sans-serif"/>
                                <w:sz w:val="20"/>
                              </w:rPr>
                              <w:t>(Principal Executive Officer)</w:t>
                            </w:r>
                          </w:p>
                        </w:txbxContent>
                      </v:textbox>
                    </v:rect>
                  </w:pict>
                </mc:Fallback>
              </mc:AlternateConten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A signed original of this written statement required by Section 906 has been provided to the Company and will be retained by the Company and furnished to the Securities and Exchange Commission or its staff upon request.</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foregoing certification is being furnished solely pursuant to 18 U.S.C. Section 1350 and is not being filed as a part of the Report or on a separate disclosure document.</w:t>
      </w:r>
    </w:p>
    <w:p>
      <w:pPr>
        <w:pStyle w:val="HorizontalLine"/>
        <w:rPr/>
      </w:pPr>
      <w:r>
        <w:rPr/>
      </w:r>
      <w:r>
        <w:br w:type="page"/>
      </w:r>
    </w:p>
    <w:p>
      <w:pPr>
        <w:pStyle w:val="TextBody"/>
        <w:spacing w:before="0" w:after="0"/>
        <w:ind w:left="0" w:right="0" w:hanging="0"/>
        <w:jc w:val="right"/>
        <w:rPr>
          <w:rFonts w:ascii="Arial;Helvetica;sans-serif" w:hAnsi="Arial;Helvetica;sans-serif"/>
          <w:b/>
          <w:sz w:val="20"/>
        </w:rPr>
      </w:pPr>
      <w:bookmarkStart w:id="911" w:name="hrmy-20230331xex32d2.htm"/>
      <w:bookmarkStart w:id="912" w:name="kshrmy20230331xex32d2"/>
      <w:bookmarkEnd w:id="911"/>
      <w:bookmarkEnd w:id="912"/>
      <w:r>
        <w:rPr>
          <w:rFonts w:ascii="Arial;Helvetica;sans-serif" w:hAnsi="Arial;Helvetica;sans-serif"/>
          <w:b/>
          <w:sz w:val="20"/>
        </w:rPr>
        <w:t>Exhibit 32.2</w:t>
      </w:r>
    </w:p>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Certification of Principal Financial Officer</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Pursuant To 18 U.S.C. Section 1350,</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as Adopted Pursuant to</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Section 906 of The Sarbanes-Oxley Act of 2002</w:t>
      </w:r>
    </w:p>
    <w:p>
      <w:pPr>
        <w:pStyle w:val="TextBody"/>
        <w:spacing w:before="0" w:after="0"/>
        <w:ind w:left="0" w:right="0" w:hanging="0"/>
        <w:jc w:val="center"/>
        <w:rPr/>
      </w:pPr>
      <w:r>
        <w:rPr/>
        <w:t>​</w:t>
      </w:r>
    </w:p>
    <w:p>
      <w:pPr>
        <w:pStyle w:val="TextBody"/>
        <w:spacing w:before="0" w:after="0"/>
        <w:ind w:left="0" w:right="360" w:firstLine="395"/>
        <w:rPr>
          <w:rFonts w:ascii="Arial;Helvetica;sans-serif" w:hAnsi="Arial;Helvetica;sans-serif"/>
          <w:sz w:val="20"/>
        </w:rPr>
      </w:pPr>
      <w:r>
        <w:rPr>
          <w:rFonts w:ascii="Arial;Helvetica;sans-serif" w:hAnsi="Arial;Helvetica;sans-serif"/>
          <w:sz w:val="20"/>
        </w:rPr>
        <w:t>In connection with the Quarterly Report on Form 10-Q of Harmony Biosciences Holdings, Inc. (the “Company”) for the period ended March 31, 2023 as filed with the Securities and Exchange Commission on the date hereof (the “Report”), I certify, pursuant to 18 U.S.C. Section 1350, as adopted pursuant to Section 906 of the Sarbanes-Oxley Act of 2002, that to such officer’s knowledge:</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36"/>
        <w:gridCol w:w="9946"/>
      </w:tblGrid>
      <w:tr>
        <w:trPr/>
        <w:tc>
          <w:tcPr>
            <w:tcW w:w="2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0"/>
              <w:rPr>
                <w:rFonts w:ascii="Arial;Helvetica;sans-serif" w:hAnsi="Arial;Helvetica;sans-serif"/>
                <w:sz w:val="20"/>
              </w:rPr>
            </w:pPr>
            <w:r>
              <w:rPr>
                <w:rFonts w:ascii="Arial;Helvetica;sans-serif" w:hAnsi="Arial;Helvetica;sans-serif"/>
                <w:sz w:val="20"/>
              </w:rPr>
              <w:t>(1)</w:t>
            </w:r>
          </w:p>
        </w:tc>
        <w:tc>
          <w:tcPr>
            <w:tcW w:w="9946" w:type="dxa"/>
            <w:tcBorders/>
            <w:shd w:fill="auto" w:val="clear"/>
            <w:vAlign w:val="center"/>
          </w:tcPr>
          <w:p>
            <w:pPr>
              <w:pStyle w:val="TableContents"/>
              <w:spacing w:before="0" w:after="0"/>
              <w:rPr>
                <w:rFonts w:ascii="Arial;Helvetica;sans-serif" w:hAnsi="Arial;Helvetica;sans-serif"/>
                <w:sz w:val="20"/>
              </w:rPr>
            </w:pPr>
            <w:r>
              <w:rPr>
                <w:rFonts w:ascii="Arial;Helvetica;sans-serif" w:hAnsi="Arial;Helvetica;sans-serif"/>
                <w:sz w:val="20"/>
              </w:rPr>
              <w:t>The Report fully complies with the requirements of Section 13(a) or 15(d) of the Securities Exchange Act of 1934, as amended;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31"/>
        <w:gridCol w:w="9951"/>
      </w:tblGrid>
      <w:tr>
        <w:trPr/>
        <w:tc>
          <w:tcPr>
            <w:tcW w:w="2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0"/>
              <w:rPr>
                <w:rFonts w:ascii="Arial;Helvetica;sans-serif" w:hAnsi="Arial;Helvetica;sans-serif"/>
                <w:sz w:val="20"/>
              </w:rPr>
            </w:pPr>
            <w:r>
              <w:rPr>
                <w:rFonts w:ascii="Arial;Helvetica;sans-serif" w:hAnsi="Arial;Helvetica;sans-serif"/>
                <w:sz w:val="20"/>
              </w:rPr>
              <w:t>(2)</w:t>
            </w:r>
          </w:p>
        </w:tc>
        <w:tc>
          <w:tcPr>
            <w:tcW w:w="9951" w:type="dxa"/>
            <w:tcBorders/>
            <w:shd w:fill="auto" w:val="clear"/>
            <w:vAlign w:val="center"/>
          </w:tcPr>
          <w:p>
            <w:pPr>
              <w:pStyle w:val="TableContents"/>
              <w:spacing w:before="0" w:after="0"/>
              <w:rPr>
                <w:rFonts w:ascii="Arial;Helvetica;sans-serif" w:hAnsi="Arial;Helvetica;sans-serif"/>
                <w:sz w:val="20"/>
              </w:rPr>
            </w:pPr>
            <w:r>
              <w:rPr>
                <w:rFonts w:ascii="Arial;Helvetica;sans-serif" w:hAnsi="Arial;Helvetica;sans-serif"/>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t>​</w:t>
      </w:r>
    </w:p>
    <w:tbl>
      <w:tblPr>
        <w:tblW w:w="684" w:type="dxa"/>
        <w:jc w:val="left"/>
        <w:tblInd w:w="0" w:type="dxa"/>
        <w:tblCellMar>
          <w:top w:w="0" w:type="dxa"/>
          <w:left w:w="0" w:type="dxa"/>
          <w:bottom w:w="0" w:type="dxa"/>
          <w:right w:w="0" w:type="dxa"/>
        </w:tblCellMar>
      </w:tblPr>
      <w:tblGrid>
        <w:gridCol w:w="124"/>
        <w:gridCol w:w="406"/>
        <w:gridCol w:w="154"/>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78740" cy="29210"/>
                      <wp:effectExtent l="0" t="0" r="0" b="0"/>
                      <wp:wrapNone/>
                      <wp:docPr id="219" name="Frame219"/>
                      <a:graphic xmlns:a="http://schemas.openxmlformats.org/drawingml/2006/main">
                        <a:graphicData uri="http://schemas.microsoft.com/office/word/2010/wordprocessingShape">
                          <wps:wsp>
                            <wps:cNvSpPr txBox="1"/>
                            <wps:spPr>
                              <a:xfrm>
                                <a:off x="0" y="0"/>
                                <a:ext cx="7874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97790" cy="29210"/>
                      <wp:effectExtent l="0" t="0" r="0" b="0"/>
                      <wp:wrapNone/>
                      <wp:docPr id="220" name="Frame220"/>
                      <a:graphic xmlns:a="http://schemas.openxmlformats.org/drawingml/2006/main">
                        <a:graphicData uri="http://schemas.microsoft.com/office/word/2010/wordprocessingShape">
                          <wps:wsp>
                            <wps:cNvSpPr txBox="1"/>
                            <wps:spPr>
                              <a:xfrm>
                                <a:off x="0" y="0"/>
                                <a:ext cx="9779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78740" cy="2521585"/>
                      <wp:effectExtent l="0" t="0" r="0" b="0"/>
                      <wp:wrapNone/>
                      <wp:docPr id="221" name="Frame221"/>
                      <a:graphic xmlns:a="http://schemas.openxmlformats.org/drawingml/2006/main">
                        <a:graphicData uri="http://schemas.microsoft.com/office/word/2010/wordprocessingShape">
                          <wps:wsp>
                            <wps:cNvSpPr txBox="1"/>
                            <wps:spPr>
                              <a:xfrm>
                                <a:off x="0" y="0"/>
                                <a:ext cx="78740" cy="2521585"/>
                              </a:xfrm>
                              <a:prstGeom prst="rect"/>
                            </wps:spPr>
                            <wps:txbx>
                              <w:txbxContent>
                                <w:p>
                                  <w:pPr>
                                    <w:pStyle w:val="TableContents"/>
                                    <w:spacing w:lineRule="auto" w:line="295" w:before="75" w:after="30"/>
                                    <w:ind w:left="0" w:right="0" w:hanging="0"/>
                                    <w:rPr>
                                      <w:rFonts w:ascii="Arial;Helvetica;sans-serif" w:hAnsi="Arial;Helvetica;sans-serif"/>
                                      <w:sz w:val="20"/>
                                    </w:rPr>
                                  </w:pPr>
                                  <w:r>
                                    <w:rPr>
                                      <w:rFonts w:ascii="Arial;Helvetica;sans-serif" w:hAnsi="Arial;Helvetica;sans-serif"/>
                                      <w:sz w:val="20"/>
                                    </w:rPr>
                                    <w:t>Date: May 2, 2023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98.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95" w:before="75" w:after="30"/>
                              <w:ind w:left="0" w:right="0" w:hanging="0"/>
                              <w:rPr>
                                <w:rFonts w:ascii="Arial;Helvetica;sans-serif" w:hAnsi="Arial;Helvetica;sans-serif"/>
                                <w:sz w:val="20"/>
                              </w:rPr>
                            </w:pPr>
                            <w:r>
                              <w:rPr>
                                <w:rFonts w:ascii="Arial;Helvetica;sans-serif" w:hAnsi="Arial;Helvetica;sans-serif"/>
                                <w:sz w:val="20"/>
                              </w:rPr>
                              <w:t>Date: May 2, 2023</w:t>
                            </w:r>
                          </w:p>
                        </w:txbxContent>
                      </v:textbox>
                    </v:rect>
                  </w:pict>
                </mc:Fallback>
              </mc:AlternateContent>
            </w:r>
          </w:p>
        </w:tc>
        <w:tc>
          <w:tcPr>
            <w:tcW w:w="406" w:type="dxa"/>
            <w:tcBorders/>
            <w:shd w:fill="auto" w:val="clear"/>
            <w:vAlign w:val="center"/>
          </w:tcPr>
          <w:p>
            <w:pPr>
              <w:pStyle w:val="TableContents"/>
              <w:spacing w:lineRule="auto" w:line="237" w:before="75" w:after="30"/>
              <w:ind w:left="0" w:right="0" w:hanging="0"/>
              <w:rPr>
                <w:rFonts w:ascii="Arial;Helvetica;sans-serif" w:hAnsi="Arial;Helvetica;sans-serif"/>
                <w:sz w:val="20"/>
              </w:rPr>
            </w:pPr>
            <w:r>
              <w:rPr>
                <w:rFonts w:ascii="Arial;Helvetica;sans-serif" w:hAnsi="Arial;Helvetica;sans-serif"/>
                <w:sz w:val="20"/>
              </w:rPr>
              <w:t>By:</w:t>
            </w:r>
          </w:p>
        </w:tc>
        <w:tc>
          <w:tcPr>
            <w:tcW w:w="154"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97790" cy="2353945"/>
                      <wp:effectExtent l="0" t="0" r="0" b="0"/>
                      <wp:wrapNone/>
                      <wp:docPr id="222" name="Frame222"/>
                      <a:graphic xmlns:a="http://schemas.openxmlformats.org/drawingml/2006/main">
                        <a:graphicData uri="http://schemas.microsoft.com/office/word/2010/wordprocessingShape">
                          <wps:wsp>
                            <wps:cNvSpPr txBox="1"/>
                            <wps:spPr>
                              <a:xfrm>
                                <a:off x="0" y="0"/>
                                <a:ext cx="97790" cy="2353945"/>
                              </a:xfrm>
                              <a:prstGeom prst="rect"/>
                            </wps:spPr>
                            <wps:txbx>
                              <w:txbxContent>
                                <w:p>
                                  <w:pPr>
                                    <w:pStyle w:val="TableContents"/>
                                    <w:spacing w:lineRule="auto" w:line="237" w:before="75" w:after="30"/>
                                    <w:ind w:left="0" w:right="0" w:hanging="0"/>
                                    <w:rPr>
                                      <w:rFonts w:ascii="Arial;Helvetica;sans-serif" w:hAnsi="Arial;Helvetica;sans-serif"/>
                                      <w:sz w:val="20"/>
                                    </w:rPr>
                                  </w:pPr>
                                  <w:r>
                                    <w:rPr>
                                      <w:rFonts w:ascii="Arial;Helvetica;sans-serif" w:hAnsi="Arial;Helvetica;sans-serif"/>
                                      <w:sz w:val="20"/>
                                    </w:rPr>
                                    <w:t>/s/ Sandip Kapadia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85.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37" w:before="75" w:after="30"/>
                              <w:ind w:left="0" w:right="0" w:hanging="0"/>
                              <w:rPr>
                                <w:rFonts w:ascii="Arial;Helvetica;sans-serif" w:hAnsi="Arial;Helvetica;sans-serif"/>
                                <w:sz w:val="20"/>
                              </w:rPr>
                            </w:pPr>
                            <w:r>
                              <w:rPr>
                                <w:rFonts w:ascii="Arial;Helvetica;sans-serif" w:hAnsi="Arial;Helvetica;sans-serif"/>
                                <w:sz w:val="20"/>
                              </w:rPr>
                              <w:t>/s/ Sandip Kapadia</w:t>
                            </w:r>
                          </w:p>
                        </w:txbxContent>
                      </v:textbox>
                    </v:rect>
                  </w:pict>
                </mc:Fallback>
              </mc:AlternateConten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8740" cy="175260"/>
                      <wp:effectExtent l="0" t="0" r="0" b="0"/>
                      <wp:wrapNone/>
                      <wp:docPr id="223" name="Frame223"/>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57810" cy="175260"/>
                      <wp:effectExtent l="0" t="0" r="0" b="0"/>
                      <wp:wrapNone/>
                      <wp:docPr id="224" name="Frame224"/>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top w:val="single" w:sz="8" w:space="0" w:color="000000"/>
            </w:tcBorders>
            <w:shd w:fill="FFFFFF"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97790" cy="1908810"/>
                      <wp:effectExtent l="0" t="0" r="0" b="0"/>
                      <wp:wrapNone/>
                      <wp:docPr id="225" name="Frame225"/>
                      <a:graphic xmlns:a="http://schemas.openxmlformats.org/drawingml/2006/main">
                        <a:graphicData uri="http://schemas.microsoft.com/office/word/2010/wordprocessingShape">
                          <wps:wsp>
                            <wps:cNvSpPr txBox="1"/>
                            <wps:spPr>
                              <a:xfrm>
                                <a:off x="0" y="0"/>
                                <a:ext cx="97790" cy="1908810"/>
                              </a:xfrm>
                              <a:prstGeom prst="rect"/>
                            </wps:spPr>
                            <wps:txbx>
                              <w:txbxContent>
                                <w:p>
                                  <w:pPr>
                                    <w:pStyle w:val="TableContents"/>
                                    <w:spacing w:lineRule="auto" w:line="237" w:before="55" w:after="30"/>
                                    <w:ind w:left="0" w:right="0" w:hanging="0"/>
                                    <w:rPr>
                                      <w:rFonts w:ascii="Arial;Helvetica;sans-serif" w:hAnsi="Arial;Helvetica;sans-serif"/>
                                      <w:sz w:val="20"/>
                                    </w:rPr>
                                  </w:pPr>
                                  <w:r>
                                    <w:rPr>
                                      <w:rFonts w:ascii="Arial;Helvetica;sans-serif" w:hAnsi="Arial;Helvetica;sans-serif"/>
                                      <w:sz w:val="20"/>
                                    </w:rPr>
                                    <w:t>Sandip Kapadia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50.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37" w:before="55" w:after="30"/>
                              <w:ind w:left="0" w:right="0" w:hanging="0"/>
                              <w:rPr>
                                <w:rFonts w:ascii="Arial;Helvetica;sans-serif" w:hAnsi="Arial;Helvetica;sans-serif"/>
                                <w:sz w:val="20"/>
                              </w:rPr>
                            </w:pPr>
                            <w:r>
                              <w:rPr>
                                <w:rFonts w:ascii="Arial;Helvetica;sans-serif" w:hAnsi="Arial;Helvetica;sans-serif"/>
                                <w:sz w:val="20"/>
                              </w:rPr>
                              <w:t>Sandip Kapadia</w:t>
                            </w:r>
                          </w:p>
                        </w:txbxContent>
                      </v:textbox>
                    </v:rect>
                  </w:pict>
                </mc:Fallback>
              </mc:AlternateConten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78740" cy="175260"/>
                      <wp:effectExtent l="0" t="0" r="0" b="0"/>
                      <wp:wrapNone/>
                      <wp:docPr id="226" name="Frame226"/>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57810" cy="175260"/>
                      <wp:effectExtent l="0" t="0" r="0" b="0"/>
                      <wp:wrapNone/>
                      <wp:docPr id="227" name="Frame227"/>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97790" cy="10654030"/>
                      <wp:effectExtent l="0" t="0" r="0" b="0"/>
                      <wp:wrapNone/>
                      <wp:docPr id="228" name="Frame228"/>
                      <a:graphic xmlns:a="http://schemas.openxmlformats.org/drawingml/2006/main">
                        <a:graphicData uri="http://schemas.microsoft.com/office/word/2010/wordprocessingShape">
                          <wps:wsp>
                            <wps:cNvSpPr txBox="1"/>
                            <wps:spPr>
                              <a:xfrm>
                                <a:off x="0" y="0"/>
                                <a:ext cx="97790" cy="10654030"/>
                              </a:xfrm>
                              <a:prstGeom prst="rect"/>
                            </wps:spPr>
                            <wps:txbx>
                              <w:txbxContent>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Chief Financial Officer</w:t>
                                  </w:r>
                                </w:p>
                                <w:p>
                                  <w:pPr>
                                    <w:pStyle w:val="TableContents"/>
                                    <w:spacing w:lineRule="auto" w:line="295" w:before="0" w:after="30"/>
                                    <w:ind w:left="0" w:right="0" w:hanging="0"/>
                                    <w:rPr>
                                      <w:rFonts w:ascii="Arial;Helvetica;sans-serif" w:hAnsi="Arial;Helvetica;sans-serif"/>
                                      <w:sz w:val="20"/>
                                    </w:rPr>
                                  </w:pPr>
                                  <w:r>
                                    <w:rPr>
                                      <w:rFonts w:ascii="Arial;Helvetica;sans-serif" w:hAnsi="Arial;Helvetica;sans-serif"/>
                                      <w:sz w:val="20"/>
                                    </w:rPr>
                                    <w:t>(Principal Financial Officer and Principal Accounting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Chief Financial Officer</w:t>
                            </w:r>
                          </w:p>
                          <w:p>
                            <w:pPr>
                              <w:pStyle w:val="TableContents"/>
                              <w:spacing w:lineRule="auto" w:line="295" w:before="0" w:after="30"/>
                              <w:ind w:left="0" w:right="0" w:hanging="0"/>
                              <w:rPr>
                                <w:rFonts w:ascii="Arial;Helvetica;sans-serif" w:hAnsi="Arial;Helvetica;sans-serif"/>
                                <w:sz w:val="20"/>
                              </w:rPr>
                            </w:pPr>
                            <w:r>
                              <w:rPr>
                                <w:rFonts w:ascii="Arial;Helvetica;sans-serif" w:hAnsi="Arial;Helvetica;sans-serif"/>
                                <w:sz w:val="20"/>
                              </w:rPr>
                              <w:t>(Principal Financial Officer and Principal Accounting Officer)</w:t>
                            </w:r>
                          </w:p>
                        </w:txbxContent>
                      </v:textbox>
                    </v:rect>
                  </w:pict>
                </mc:Fallback>
              </mc:AlternateContent>
            </w:r>
          </w:p>
        </w:tc>
      </w:tr>
    </w:tbl>
    <w:p>
      <w:pPr>
        <w:pStyle w:val="TextBody"/>
        <w:spacing w:before="0" w:after="0"/>
        <w:ind w:left="0" w:right="0" w:hanging="0"/>
        <w:rPr/>
      </w:pPr>
      <w:r>
        <w:rPr/>
        <w:t>​</w:t>
      </w:r>
    </w:p>
    <w:p>
      <w:pPr>
        <w:pStyle w:val="TextBody"/>
        <w:spacing w:before="0" w:after="0"/>
        <w:ind w:left="0" w:right="576" w:hanging="0"/>
        <w:rPr>
          <w:rFonts w:ascii="Arial;Helvetica;sans-serif" w:hAnsi="Arial;Helvetica;sans-serif"/>
          <w:sz w:val="20"/>
        </w:rPr>
      </w:pPr>
      <w:r>
        <w:rPr>
          <w:rFonts w:ascii="Arial;Helvetica;sans-serif" w:hAnsi="Arial;Helvetica;sans-serif"/>
          <w:sz w:val="20"/>
        </w:rPr>
        <w:t>A signed original of this written statement required by Section 906 has been provided to the Company and will be retained by the Company and furnished to the Securities and Exchange Commission or its staff upon request.</w:t>
      </w:r>
    </w:p>
    <w:p>
      <w:pPr>
        <w:pStyle w:val="TextBody"/>
        <w:spacing w:before="0" w:after="0"/>
        <w:ind w:left="0" w:right="0" w:hanging="0"/>
        <w:rPr/>
      </w:pPr>
      <w:r>
        <w:rPr/>
        <w:t>​</w:t>
      </w:r>
    </w:p>
    <w:p>
      <w:pPr>
        <w:pStyle w:val="TextBody"/>
        <w:spacing w:before="0" w:after="0"/>
        <w:ind w:left="0" w:right="576" w:hanging="0"/>
        <w:rPr>
          <w:rFonts w:ascii="Arial;Helvetica;sans-serif" w:hAnsi="Arial;Helvetica;sans-serif"/>
          <w:sz w:val="20"/>
        </w:rPr>
      </w:pPr>
      <w:r>
        <w:rPr>
          <w:rFonts w:ascii="Arial;Helvetica;sans-serif" w:hAnsi="Arial;Helvetica;sans-serif"/>
          <w:sz w:val="20"/>
        </w:rPr>
        <w:t>The foregoing certification is being furnished solely pursuant to 18 U.S.C. Section 1350 and is not being filed as a part of the Report or on a separate disclosure document.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02665/000119312520226978/d97999dex31.htm" TargetMode="External"/><Relationship Id="rId3" Type="http://schemas.openxmlformats.org/officeDocument/2006/relationships/hyperlink" Target="https://www.sec.gov/Archives/edgar/data/0001802665/000119312520226978/d97999dex31.htm" TargetMode="External"/><Relationship Id="rId4" Type="http://schemas.openxmlformats.org/officeDocument/2006/relationships/hyperlink" Target="https://www.sec.gov/Archives/edgar/data/0001802665/000119312520226978/d97999dex31.htm" TargetMode="External"/><Relationship Id="rId5" Type="http://schemas.openxmlformats.org/officeDocument/2006/relationships/hyperlink" Target="https://www.sec.gov/Archives/edgar/data/0001802665/000119312520226978/d97999d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16304</Words>
  <CharactersWithSpaces>107865</CharactersWithSpaces>
  <Paragraphs>3536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