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154305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UNITED STATES</w:t>
      </w:r>
    </w:p>
    <w:p>
      <w:pPr>
        <w:jc w:val="center"/>
        <w:ind w:right="-9"/>
        <w:spacing w:after="0" w:line="231"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2595880</wp:posOffset>
            </wp:positionH>
            <wp:positionV relativeFrom="paragraph">
              <wp:posOffset>53340</wp:posOffset>
            </wp:positionV>
            <wp:extent cx="13030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17145"/>
                    </a:xfrm>
                    <a:prstGeom prst="rect">
                      <a:avLst/>
                    </a:prstGeom>
                    <a:noFill/>
                  </pic:spPr>
                </pic:pic>
              </a:graphicData>
            </a:graphic>
          </wp:anchor>
        </w:drawing>
      </w:r>
    </w:p>
    <w:p>
      <w:pPr>
        <w:spacing w:after="0" w:line="135"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2595880</wp:posOffset>
            </wp:positionH>
            <wp:positionV relativeFrom="paragraph">
              <wp:posOffset>66040</wp:posOffset>
            </wp:positionV>
            <wp:extent cx="13030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17145"/>
                    </a:xfrm>
                    <a:prstGeom prst="rect">
                      <a:avLst/>
                    </a:prstGeom>
                    <a:noFill/>
                  </pic:spPr>
                </pic:pic>
              </a:graphicData>
            </a:graphic>
          </wp:anchor>
        </w:drawing>
      </w:r>
    </w:p>
    <w:p>
      <w:pPr>
        <w:spacing w:after="0" w:line="179" w:lineRule="exact"/>
        <w:rPr>
          <w:sz w:val="24"/>
          <w:szCs w:val="24"/>
          <w:color w:val="auto"/>
        </w:rPr>
      </w:pPr>
    </w:p>
    <w:p>
      <w:pPr>
        <w:ind w:left="10"/>
        <w:spacing w:after="0"/>
        <w:rPr>
          <w:sz w:val="20"/>
          <w:szCs w:val="20"/>
          <w:color w:val="auto"/>
        </w:rPr>
      </w:pPr>
      <w:r>
        <w:rPr>
          <w:rFonts w:ascii="Arial" w:cs="Arial" w:eastAsia="Arial" w:hAnsi="Arial"/>
          <w:sz w:val="11"/>
          <w:szCs w:val="11"/>
          <w:color w:val="auto"/>
        </w:rPr>
        <w:t>(Mark One)</w:t>
      </w:r>
    </w:p>
    <w:p>
      <w:pPr>
        <w:spacing w:after="0" w:line="10" w:lineRule="exact"/>
        <w:rPr>
          <w:sz w:val="24"/>
          <w:szCs w:val="24"/>
          <w:color w:val="auto"/>
        </w:rPr>
      </w:pPr>
    </w:p>
    <w:p>
      <w:pPr>
        <w:ind w:left="3670" w:right="2120" w:hanging="3670"/>
        <w:spacing w:after="0" w:line="289" w:lineRule="auto"/>
        <w:tabs>
          <w:tab w:leader="none" w:pos="647"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ANNUAL REPORT PURSUANT TO SECTION 13 OR 15(d) OF THE SECURITIES AND EXCHANGE ACT OF 1934 </w:t>
      </w:r>
      <w:r>
        <w:rPr>
          <w:rFonts w:ascii="Arial" w:cs="Arial" w:eastAsia="Arial" w:hAnsi="Arial"/>
          <w:sz w:val="14"/>
          <w:szCs w:val="14"/>
          <w:color w:val="auto"/>
        </w:rPr>
        <w:t>For the fiscal year ended December 31, 2025</w:t>
      </w:r>
    </w:p>
    <w:p>
      <w:pPr>
        <w:spacing w:after="0" w:line="7" w:lineRule="exact"/>
        <w:rPr>
          <w:sz w:val="24"/>
          <w:szCs w:val="24"/>
          <w:color w:val="auto"/>
        </w:rPr>
      </w:pPr>
    </w:p>
    <w:p>
      <w:pPr>
        <w:jc w:val="center"/>
        <w:ind w:right="-9"/>
        <w:spacing w:after="0"/>
        <w:rPr>
          <w:sz w:val="20"/>
          <w:szCs w:val="20"/>
          <w:color w:val="auto"/>
        </w:rPr>
      </w:pPr>
      <w:r>
        <w:rPr>
          <w:rFonts w:ascii="Arial" w:cs="Arial" w:eastAsia="Arial" w:hAnsi="Arial"/>
          <w:sz w:val="14"/>
          <w:szCs w:val="14"/>
          <w:color w:val="auto"/>
        </w:rPr>
        <w:t>OR</w:t>
      </w:r>
    </w:p>
    <w:p>
      <w:pPr>
        <w:spacing w:after="0" w:line="69" w:lineRule="exact"/>
        <w:rPr>
          <w:sz w:val="24"/>
          <w:szCs w:val="24"/>
          <w:color w:val="auto"/>
        </w:rPr>
      </w:pPr>
    </w:p>
    <w:p>
      <w:pPr>
        <w:ind w:left="650" w:hanging="650"/>
        <w:spacing w:after="0"/>
        <w:tabs>
          <w:tab w:leader="none" w:pos="65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0230"/>
          </w:cols>
          <w:pgMar w:left="830" w:top="661" w:right="839" w:bottom="1440" w:gutter="0" w:footer="0" w:header="0"/>
        </w:sectPr>
      </w:pPr>
    </w:p>
    <w:p>
      <w:pPr>
        <w:spacing w:after="0" w:line="44" w:lineRule="exact"/>
        <w:rPr>
          <w:sz w:val="24"/>
          <w:szCs w:val="24"/>
          <w:color w:val="auto"/>
        </w:rPr>
      </w:pPr>
    </w:p>
    <w:p>
      <w:pPr>
        <w:ind w:left="3730"/>
        <w:spacing w:after="0"/>
        <w:tabs>
          <w:tab w:leader="none" w:pos="6350" w:val="left"/>
        </w:tabs>
        <w:rPr>
          <w:sz w:val="20"/>
          <w:szCs w:val="20"/>
          <w:color w:val="auto"/>
        </w:rPr>
      </w:pPr>
      <w:r>
        <w:rPr>
          <w:rFonts w:ascii="Arial" w:cs="Arial" w:eastAsia="Arial" w:hAnsi="Arial"/>
          <w:sz w:val="14"/>
          <w:szCs w:val="14"/>
          <w:color w:val="auto"/>
        </w:rPr>
        <w:t>For the transition period from</w:t>
      </w:r>
      <w:r>
        <w:rPr>
          <w:sz w:val="20"/>
          <w:szCs w:val="20"/>
          <w:color w:val="auto"/>
        </w:rPr>
        <w:tab/>
      </w:r>
      <w:r>
        <w:rPr>
          <w:rFonts w:ascii="Arial" w:cs="Arial" w:eastAsia="Arial" w:hAnsi="Arial"/>
          <w:sz w:val="14"/>
          <w:szCs w:val="14"/>
          <w:color w:val="auto"/>
        </w:rPr>
        <w:t>to</w:t>
      </w:r>
    </w:p>
    <w:p>
      <w:pPr>
        <w:sectPr>
          <w:pgSz w:w="11900" w:h="16838" w:orient="portrait"/>
          <w:cols w:equalWidth="0" w:num="1">
            <w:col w:w="10230"/>
          </w:cols>
          <w:pgMar w:left="830" w:top="661" w:right="839" w:bottom="1440" w:gutter="0" w:footer="0" w:header="0"/>
          <w:type w:val="continuous"/>
        </w:sectPr>
      </w:pPr>
    </w:p>
    <w:p>
      <w:pPr>
        <w:spacing w:after="0" w:line="53" w:lineRule="exact"/>
        <w:rPr>
          <w:sz w:val="24"/>
          <w:szCs w:val="24"/>
          <w:color w:val="auto"/>
        </w:rPr>
      </w:pPr>
    </w:p>
    <w:p>
      <w:pPr>
        <w:jc w:val="center"/>
        <w:ind w:right="-9"/>
        <w:spacing w:after="0"/>
        <w:rPr>
          <w:sz w:val="20"/>
          <w:szCs w:val="20"/>
          <w:color w:val="auto"/>
        </w:rPr>
      </w:pPr>
      <w:r>
        <w:rPr>
          <w:rFonts w:ascii="Arial" w:cs="Arial" w:eastAsia="Arial" w:hAnsi="Arial"/>
          <w:sz w:val="14"/>
          <w:szCs w:val="14"/>
          <w:color w:val="auto"/>
        </w:rPr>
        <w:t>Commission File Number: 001-39450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2595880</wp:posOffset>
            </wp:positionH>
            <wp:positionV relativeFrom="paragraph">
              <wp:posOffset>66675</wp:posOffset>
            </wp:positionV>
            <wp:extent cx="1303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p>
      <w:pPr>
        <w:spacing w:after="0" w:line="176" w:lineRule="exact"/>
        <w:rPr>
          <w:sz w:val="24"/>
          <w:szCs w:val="24"/>
          <w:color w:val="auto"/>
        </w:rPr>
      </w:pPr>
    </w:p>
    <w:p>
      <w:pPr>
        <w:jc w:val="center"/>
        <w:ind w:right="-9"/>
        <w:spacing w:after="0"/>
        <w:rPr>
          <w:sz w:val="20"/>
          <w:szCs w:val="20"/>
          <w:color w:val="auto"/>
        </w:rPr>
      </w:pPr>
      <w:r>
        <w:rPr>
          <w:rFonts w:ascii="Arial" w:cs="Arial" w:eastAsia="Arial" w:hAnsi="Arial"/>
          <w:sz w:val="20"/>
          <w:szCs w:val="20"/>
          <w:b w:val="1"/>
          <w:bCs w:val="1"/>
          <w:color w:val="auto"/>
        </w:rPr>
        <w:t>HARMONY BIOSCIENCES HOLDINGS, INC.</w:t>
      </w:r>
    </w:p>
    <w:p>
      <w:pPr>
        <w:spacing w:after="0" w:line="14" w:lineRule="exact"/>
        <w:rPr>
          <w:sz w:val="24"/>
          <w:szCs w:val="24"/>
          <w:color w:val="auto"/>
        </w:rPr>
      </w:pPr>
    </w:p>
    <w:p>
      <w:pPr>
        <w:jc w:val="center"/>
        <w:ind w:right="-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2595880</wp:posOffset>
            </wp:positionH>
            <wp:positionV relativeFrom="paragraph">
              <wp:posOffset>57785</wp:posOffset>
            </wp:positionV>
            <wp:extent cx="1303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05"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3180" w:type="dxa"/>
            <w:vAlign w:val="bottom"/>
          </w:tcPr>
          <w:p>
            <w:pPr>
              <w:jc w:val="center"/>
              <w:ind w:left="1848"/>
              <w:spacing w:after="0"/>
              <w:rPr>
                <w:sz w:val="20"/>
                <w:szCs w:val="20"/>
                <w:color w:val="auto"/>
              </w:rPr>
            </w:pPr>
            <w:r>
              <w:rPr>
                <w:rFonts w:ascii="Arial" w:cs="Arial" w:eastAsia="Arial" w:hAnsi="Arial"/>
                <w:sz w:val="14"/>
                <w:szCs w:val="14"/>
                <w:b w:val="1"/>
                <w:bCs w:val="1"/>
                <w:color w:val="auto"/>
              </w:rPr>
              <w:t>Delaware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80" w:type="dxa"/>
            <w:vAlign w:val="bottom"/>
          </w:tcPr>
          <w:p>
            <w:pPr>
              <w:jc w:val="right"/>
              <w:ind w:right="2108"/>
              <w:spacing w:after="0"/>
              <w:rPr>
                <w:sz w:val="20"/>
                <w:szCs w:val="20"/>
                <w:color w:val="auto"/>
              </w:rPr>
            </w:pPr>
            <w:r>
              <w:rPr>
                <w:rFonts w:ascii="Arial" w:cs="Arial" w:eastAsia="Arial" w:hAnsi="Arial"/>
                <w:sz w:val="14"/>
                <w:szCs w:val="14"/>
                <w:b w:val="1"/>
                <w:bCs w:val="1"/>
                <w:color w:val="auto"/>
              </w:rPr>
              <w:t>82-2279923</w:t>
            </w:r>
          </w:p>
        </w:tc>
        <w:tc>
          <w:tcPr>
            <w:tcW w:w="0" w:type="dxa"/>
            <w:vAlign w:val="bottom"/>
          </w:tcPr>
          <w:p>
            <w:pPr>
              <w:spacing w:after="0"/>
              <w:rPr>
                <w:sz w:val="1"/>
                <w:szCs w:val="1"/>
                <w:color w:val="auto"/>
              </w:rPr>
            </w:pPr>
          </w:p>
        </w:tc>
      </w:tr>
      <w:tr>
        <w:trPr>
          <w:trHeight w:val="190"/>
        </w:trPr>
        <w:tc>
          <w:tcPr>
            <w:tcW w:w="4580" w:type="dxa"/>
            <w:vAlign w:val="bottom"/>
            <w:gridSpan w:val="4"/>
          </w:tcPr>
          <w:p>
            <w:pPr>
              <w:jc w:val="center"/>
              <w:ind w:left="468"/>
              <w:spacing w:after="0"/>
              <w:rPr>
                <w:sz w:val="20"/>
                <w:szCs w:val="20"/>
                <w:color w:val="auto"/>
              </w:rPr>
            </w:pPr>
            <w:r>
              <w:rPr>
                <w:rFonts w:ascii="Arial" w:cs="Arial" w:eastAsia="Arial" w:hAnsi="Arial"/>
                <w:sz w:val="14"/>
                <w:szCs w:val="14"/>
                <w:color w:val="auto"/>
              </w:rPr>
              <w:t>(State or other jurisdiction of</w:t>
            </w:r>
          </w:p>
        </w:tc>
        <w:tc>
          <w:tcPr>
            <w:tcW w:w="2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80" w:type="dxa"/>
            <w:vAlign w:val="bottom"/>
          </w:tcPr>
          <w:p>
            <w:pPr>
              <w:jc w:val="center"/>
              <w:ind w:right="1848"/>
              <w:spacing w:after="0"/>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203"/>
        </w:trPr>
        <w:tc>
          <w:tcPr>
            <w:tcW w:w="4580" w:type="dxa"/>
            <w:vAlign w:val="bottom"/>
            <w:gridSpan w:val="4"/>
          </w:tcPr>
          <w:p>
            <w:pPr>
              <w:jc w:val="center"/>
              <w:ind w:left="448"/>
              <w:spacing w:after="0"/>
              <w:rPr>
                <w:sz w:val="20"/>
                <w:szCs w:val="20"/>
                <w:color w:val="auto"/>
              </w:rPr>
            </w:pPr>
            <w:r>
              <w:rPr>
                <w:rFonts w:ascii="Arial" w:cs="Arial" w:eastAsia="Arial" w:hAnsi="Arial"/>
                <w:sz w:val="14"/>
                <w:szCs w:val="14"/>
                <w:color w:val="auto"/>
              </w:rPr>
              <w:t>incorporation or organization)</w:t>
            </w:r>
          </w:p>
        </w:tc>
        <w:tc>
          <w:tcPr>
            <w:tcW w:w="2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80" w:type="dxa"/>
            <w:vAlign w:val="bottom"/>
          </w:tcPr>
          <w:p>
            <w:pPr>
              <w:jc w:val="center"/>
              <w:ind w:right="1868"/>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62"/>
        </w:trPr>
        <w:tc>
          <w:tcPr>
            <w:tcW w:w="4580" w:type="dxa"/>
            <w:vAlign w:val="bottom"/>
            <w:gridSpan w:val="4"/>
          </w:tcPr>
          <w:p>
            <w:pPr>
              <w:jc w:val="center"/>
              <w:ind w:left="468"/>
              <w:spacing w:after="0"/>
              <w:rPr>
                <w:sz w:val="20"/>
                <w:szCs w:val="20"/>
                <w:color w:val="auto"/>
              </w:rPr>
            </w:pPr>
            <w:r>
              <w:rPr>
                <w:rFonts w:ascii="Arial" w:cs="Arial" w:eastAsia="Arial" w:hAnsi="Arial"/>
                <w:sz w:val="14"/>
                <w:szCs w:val="14"/>
                <w:b w:val="1"/>
                <w:bCs w:val="1"/>
                <w:color w:val="auto"/>
              </w:rPr>
              <w:t>630 W. Germantown Pike, Suite 215, Plymouth Meeting, PA</w:t>
            </w:r>
          </w:p>
        </w:tc>
        <w:tc>
          <w:tcPr>
            <w:tcW w:w="2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80" w:type="dxa"/>
            <w:vAlign w:val="bottom"/>
          </w:tcPr>
          <w:p>
            <w:pPr>
              <w:jc w:val="right"/>
              <w:ind w:right="2288"/>
              <w:spacing w:after="0"/>
              <w:rPr>
                <w:sz w:val="20"/>
                <w:szCs w:val="20"/>
                <w:color w:val="auto"/>
              </w:rPr>
            </w:pPr>
            <w:r>
              <w:rPr>
                <w:rFonts w:ascii="Arial" w:cs="Arial" w:eastAsia="Arial" w:hAnsi="Arial"/>
                <w:sz w:val="14"/>
                <w:szCs w:val="14"/>
                <w:b w:val="1"/>
                <w:bCs w:val="1"/>
                <w:color w:val="auto"/>
              </w:rPr>
              <w:t>19462</w:t>
            </w:r>
          </w:p>
        </w:tc>
        <w:tc>
          <w:tcPr>
            <w:tcW w:w="0" w:type="dxa"/>
            <w:vAlign w:val="bottom"/>
          </w:tcPr>
          <w:p>
            <w:pPr>
              <w:spacing w:after="0"/>
              <w:rPr>
                <w:sz w:val="1"/>
                <w:szCs w:val="1"/>
                <w:color w:val="auto"/>
              </w:rPr>
            </w:pPr>
          </w:p>
        </w:tc>
      </w:tr>
      <w:tr>
        <w:trPr>
          <w:trHeight w:val="210"/>
        </w:trPr>
        <w:tc>
          <w:tcPr>
            <w:tcW w:w="4580" w:type="dxa"/>
            <w:vAlign w:val="bottom"/>
            <w:gridSpan w:val="4"/>
          </w:tcPr>
          <w:p>
            <w:pPr>
              <w:jc w:val="center"/>
              <w:ind w:left="448"/>
              <w:spacing w:after="0"/>
              <w:rPr>
                <w:sz w:val="20"/>
                <w:szCs w:val="20"/>
                <w:color w:val="auto"/>
              </w:rPr>
            </w:pPr>
            <w:r>
              <w:rPr>
                <w:rFonts w:ascii="Arial" w:cs="Arial" w:eastAsia="Arial" w:hAnsi="Arial"/>
                <w:sz w:val="14"/>
                <w:szCs w:val="14"/>
                <w:color w:val="auto"/>
              </w:rPr>
              <w:t>(Address of principal executive offices)</w:t>
            </w:r>
          </w:p>
        </w:tc>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80" w:type="dxa"/>
            <w:vAlign w:val="bottom"/>
          </w:tcPr>
          <w:p>
            <w:pPr>
              <w:jc w:val="center"/>
              <w:ind w:right="1868"/>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276"/>
        </w:trPr>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80" w:type="dxa"/>
            <w:vAlign w:val="bottom"/>
          </w:tcPr>
          <w:p>
            <w:pPr>
              <w:jc w:val="center"/>
              <w:ind w:right="1048"/>
              <w:spacing w:after="0"/>
              <w:rPr>
                <w:sz w:val="20"/>
                <w:szCs w:val="20"/>
                <w:color w:val="auto"/>
              </w:rPr>
            </w:pPr>
            <w:r>
              <w:rPr>
                <w:rFonts w:ascii="Arial" w:cs="Arial" w:eastAsia="Arial" w:hAnsi="Arial"/>
                <w:sz w:val="14"/>
                <w:szCs w:val="14"/>
                <w:b w:val="1"/>
                <w:bCs w:val="1"/>
                <w:color w:val="auto"/>
              </w:rPr>
              <w:t>(484) 539-9800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4"/>
          </w:tcPr>
          <w:p>
            <w:pPr>
              <w:jc w:val="center"/>
              <w:ind w:left="48"/>
              <w:spacing w:after="0"/>
              <w:rPr>
                <w:sz w:val="20"/>
                <w:szCs w:val="20"/>
                <w:color w:val="auto"/>
              </w:rPr>
            </w:pPr>
            <w:r>
              <w:rPr>
                <w:rFonts w:ascii="Arial" w:cs="Arial" w:eastAsia="Arial" w:hAnsi="Arial"/>
                <w:sz w:val="14"/>
                <w:szCs w:val="14"/>
                <w:color w:val="auto"/>
              </w:rPr>
              <w:t>(Registrant’s telephone number, including area code)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80" w:type="dxa"/>
            <w:vAlign w:val="bottom"/>
          </w:tcPr>
          <w:p>
            <w:pPr>
              <w:spacing w:after="0"/>
              <w:rPr>
                <w:sz w:val="21"/>
                <w:szCs w:val="21"/>
                <w:color w:val="auto"/>
              </w:rPr>
            </w:pPr>
          </w:p>
        </w:tc>
        <w:tc>
          <w:tcPr>
            <w:tcW w:w="3860" w:type="dxa"/>
            <w:vAlign w:val="bottom"/>
            <w:gridSpan w:val="7"/>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c>
          <w:tcPr>
            <w:tcW w:w="3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224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Trading</w:t>
            </w:r>
          </w:p>
        </w:tc>
        <w:tc>
          <w:tcPr>
            <w:tcW w:w="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3180" w:type="dxa"/>
            <w:vAlign w:val="bottom"/>
          </w:tcPr>
          <w:p>
            <w:pPr>
              <w:jc w:val="center"/>
              <w:ind w:right="28"/>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78"/>
        </w:trPr>
        <w:tc>
          <w:tcPr>
            <w:tcW w:w="3180" w:type="dxa"/>
            <w:vAlign w:val="bottom"/>
          </w:tcPr>
          <w:p>
            <w:pPr>
              <w:jc w:val="center"/>
              <w:ind w:left="28"/>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24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rPr>
              <w:t>Symbol(s)</w:t>
            </w:r>
          </w:p>
        </w:tc>
        <w:tc>
          <w:tcPr>
            <w:tcW w:w="220" w:type="dxa"/>
            <w:vAlign w:val="bottom"/>
            <w:gridSpan w:val="2"/>
            <w:vMerge w:val="continue"/>
          </w:tcPr>
          <w:p>
            <w:pPr>
              <w:spacing w:after="0"/>
              <w:rPr>
                <w:sz w:val="15"/>
                <w:szCs w:val="15"/>
                <w:color w:val="auto"/>
              </w:rPr>
            </w:pPr>
          </w:p>
        </w:tc>
        <w:tc>
          <w:tcPr>
            <w:tcW w:w="3180" w:type="dxa"/>
            <w:vAlign w:val="bottom"/>
          </w:tcPr>
          <w:p>
            <w:pPr>
              <w:jc w:val="center"/>
              <w:ind w:right="28"/>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146"/>
        </w:trPr>
        <w:tc>
          <w:tcPr>
            <w:tcW w:w="3180" w:type="dxa"/>
            <w:vAlign w:val="bottom"/>
            <w:tcBorders>
              <w:top w:val="single" w:sz="8" w:color="auto"/>
            </w:tcBorders>
          </w:tcPr>
          <w:p>
            <w:pPr>
              <w:jc w:val="center"/>
              <w:ind w:left="28"/>
              <w:spacing w:after="0" w:line="147" w:lineRule="exact"/>
              <w:rPr>
                <w:sz w:val="20"/>
                <w:szCs w:val="20"/>
                <w:color w:val="auto"/>
              </w:rPr>
            </w:pPr>
            <w:r>
              <w:rPr>
                <w:rFonts w:ascii="Arial" w:cs="Arial" w:eastAsia="Arial" w:hAnsi="Arial"/>
                <w:sz w:val="14"/>
                <w:szCs w:val="14"/>
                <w:color w:val="auto"/>
              </w:rPr>
              <w:t>Common Stock, par value $0.00001 value per</w:t>
            </w:r>
          </w:p>
        </w:tc>
        <w:tc>
          <w:tcPr>
            <w:tcW w:w="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1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180" w:type="dxa"/>
            <w:vAlign w:val="bottom"/>
          </w:tcPr>
          <w:p>
            <w:pPr>
              <w:jc w:val="center"/>
              <w:ind w:left="28"/>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40" w:type="dxa"/>
            <w:vAlign w:val="bottom"/>
            <w:gridSpan w:val="2"/>
          </w:tcPr>
          <w:p>
            <w:pPr>
              <w:jc w:val="center"/>
              <w:ind w:right="1180"/>
              <w:spacing w:after="0"/>
              <w:rPr>
                <w:sz w:val="20"/>
                <w:szCs w:val="20"/>
                <w:color w:val="auto"/>
              </w:rPr>
            </w:pPr>
            <w:r>
              <w:rPr>
                <w:rFonts w:ascii="Arial" w:cs="Arial" w:eastAsia="Arial" w:hAnsi="Arial"/>
                <w:sz w:val="14"/>
                <w:szCs w:val="14"/>
                <w:color w:val="auto"/>
              </w:rPr>
              <w:t>HRMY</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80" w:type="dxa"/>
            <w:vAlign w:val="bottom"/>
          </w:tcPr>
          <w:p>
            <w:pPr>
              <w:jc w:val="center"/>
              <w:ind w:right="2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bl>
    <w:p>
      <w:pPr>
        <w:spacing w:after="0" w:line="12" w:lineRule="exact"/>
        <w:rPr>
          <w:sz w:val="24"/>
          <w:szCs w:val="24"/>
          <w:color w:val="auto"/>
        </w:rPr>
      </w:pPr>
    </w:p>
    <w:p>
      <w:pPr>
        <w:ind w:left="7830"/>
        <w:spacing w:after="0"/>
        <w:rPr>
          <w:sz w:val="20"/>
          <w:szCs w:val="20"/>
          <w:color w:val="auto"/>
        </w:rPr>
      </w:pPr>
      <w:r>
        <w:rPr>
          <w:rFonts w:ascii="Arial" w:cs="Arial" w:eastAsia="Arial" w:hAnsi="Arial"/>
          <w:sz w:val="14"/>
          <w:szCs w:val="14"/>
          <w:color w:val="auto"/>
        </w:rPr>
        <w:t>(Nasdaq Global Market)</w:t>
      </w:r>
    </w:p>
    <w:p>
      <w:pPr>
        <w:spacing w:after="0" w:line="195" w:lineRule="exact"/>
        <w:rPr>
          <w:sz w:val="24"/>
          <w:szCs w:val="24"/>
          <w:color w:val="auto"/>
        </w:rPr>
      </w:pPr>
    </w:p>
    <w:p>
      <w:pPr>
        <w:ind w:left="10"/>
        <w:spacing w:after="0"/>
        <w:rPr>
          <w:sz w:val="20"/>
          <w:szCs w:val="20"/>
          <w:color w:val="auto"/>
        </w:rPr>
      </w:pPr>
      <w:r>
        <w:rPr>
          <w:rFonts w:ascii="Arial" w:cs="Arial" w:eastAsia="Arial" w:hAnsi="Arial"/>
          <w:sz w:val="13"/>
          <w:szCs w:val="13"/>
          <w:color w:val="auto"/>
        </w:rPr>
        <w:t>Securities registered pursuant to Section 12(g) of the Act: None</w:t>
      </w:r>
    </w:p>
    <w:p>
      <w:pPr>
        <w:spacing w:after="0" w:line="38" w:lineRule="exact"/>
        <w:rPr>
          <w:sz w:val="24"/>
          <w:szCs w:val="24"/>
          <w:color w:val="auto"/>
        </w:rPr>
      </w:pPr>
    </w:p>
    <w:p>
      <w:pPr>
        <w:ind w:left="10" w:right="2920"/>
        <w:spacing w:after="0" w:line="221"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ind w:left="10" w:right="40"/>
        <w:spacing w:after="0" w:line="16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p>
    <w:p>
      <w:pPr>
        <w:ind w:left="10" w:right="20"/>
        <w:spacing w:after="0" w:line="16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3" w:lineRule="exact"/>
        <w:rPr>
          <w:sz w:val="24"/>
          <w:szCs w:val="24"/>
          <w:color w:val="auto"/>
        </w:rPr>
      </w:pPr>
    </w:p>
    <w:p>
      <w:pPr>
        <w:ind w:left="1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w:t>
      </w:r>
    </w:p>
    <w:p>
      <w:pPr>
        <w:spacing w:after="0" w:line="9" w:lineRule="exact"/>
        <w:rPr>
          <w:sz w:val="24"/>
          <w:szCs w:val="24"/>
          <w:color w:val="auto"/>
        </w:rPr>
      </w:pPr>
    </w:p>
    <w:p>
      <w:pPr>
        <w:ind w:left="10"/>
        <w:spacing w:after="0"/>
        <w:rPr>
          <w:sz w:val="20"/>
          <w:szCs w:val="20"/>
          <w:color w:val="auto"/>
        </w:rPr>
      </w:pPr>
      <w:r>
        <w:rPr>
          <w:rFonts w:ascii="Arial" w:cs="Arial" w:eastAsia="Arial" w:hAnsi="Arial"/>
          <w:sz w:val="13"/>
          <w:szCs w:val="13"/>
          <w:color w:val="auto"/>
        </w:rPr>
        <w:t>See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90" w:type="dxa"/>
        <w:tblCellMar>
          <w:top w:w="0" w:type="dxa"/>
          <w:left w:w="0" w:type="dxa"/>
          <w:bottom w:w="0" w:type="dxa"/>
          <w:right w:w="0" w:type="dxa"/>
        </w:tblCellMar>
      </w:tblPr>
      <w:tr>
        <w:trPr>
          <w:trHeight w:val="165"/>
        </w:trPr>
        <w:tc>
          <w:tcPr>
            <w:tcW w:w="19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188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3220" w:type="dxa"/>
            <w:vAlign w:val="bottom"/>
          </w:tcPr>
          <w:p>
            <w:pPr>
              <w:ind w:left="1180"/>
              <w:spacing w:after="0"/>
              <w:rPr>
                <w:sz w:val="20"/>
                <w:szCs w:val="20"/>
                <w:color w:val="auto"/>
              </w:rPr>
            </w:pPr>
            <w:r>
              <w:rPr>
                <w:rFonts w:ascii="Arial" w:cs="Arial" w:eastAsia="Arial" w:hAnsi="Arial"/>
                <w:sz w:val="13"/>
                <w:szCs w:val="13"/>
                <w:color w:val="auto"/>
              </w:rPr>
              <w:t>Accelerated filer</w:t>
            </w:r>
          </w:p>
        </w:tc>
        <w:tc>
          <w:tcPr>
            <w:tcW w:w="5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1920" w:type="dxa"/>
            <w:vAlign w:val="bottom"/>
          </w:tcPr>
          <w:p>
            <w:pPr>
              <w:spacing w:after="0"/>
              <w:rPr>
                <w:sz w:val="20"/>
                <w:szCs w:val="20"/>
                <w:color w:val="auto"/>
              </w:rPr>
            </w:pPr>
            <w:r>
              <w:rPr>
                <w:rFonts w:ascii="Arial" w:cs="Arial" w:eastAsia="Arial" w:hAnsi="Arial"/>
                <w:sz w:val="13"/>
                <w:szCs w:val="13"/>
                <w:color w:val="auto"/>
              </w:rPr>
              <w:t>Non-accelerated filer</w:t>
            </w:r>
          </w:p>
        </w:tc>
        <w:tc>
          <w:tcPr>
            <w:tcW w:w="188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3220" w:type="dxa"/>
            <w:vAlign w:val="bottom"/>
          </w:tcPr>
          <w:p>
            <w:pPr>
              <w:ind w:left="1180"/>
              <w:spacing w:after="0"/>
              <w:rPr>
                <w:sz w:val="20"/>
                <w:szCs w:val="20"/>
                <w:color w:val="auto"/>
              </w:rPr>
            </w:pPr>
            <w:r>
              <w:rPr>
                <w:rFonts w:ascii="Arial" w:cs="Arial" w:eastAsia="Arial" w:hAnsi="Arial"/>
                <w:sz w:val="13"/>
                <w:szCs w:val="13"/>
                <w:color w:val="auto"/>
              </w:rPr>
              <w:t>Smaller reporting company</w:t>
            </w:r>
          </w:p>
        </w:tc>
        <w:tc>
          <w:tcPr>
            <w:tcW w:w="5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9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220" w:type="dxa"/>
            <w:vAlign w:val="bottom"/>
          </w:tcPr>
          <w:p>
            <w:pPr>
              <w:ind w:left="1180"/>
              <w:spacing w:after="0"/>
              <w:rPr>
                <w:sz w:val="20"/>
                <w:szCs w:val="20"/>
                <w:color w:val="auto"/>
              </w:rPr>
            </w:pPr>
            <w:r>
              <w:rPr>
                <w:rFonts w:ascii="Arial" w:cs="Arial" w:eastAsia="Arial" w:hAnsi="Arial"/>
                <w:sz w:val="13"/>
                <w:szCs w:val="13"/>
                <w:color w:val="auto"/>
              </w:rPr>
              <w:t>Emerging growth company</w:t>
            </w:r>
          </w:p>
        </w:tc>
        <w:tc>
          <w:tcPr>
            <w:tcW w:w="5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79" w:lineRule="exact"/>
        <w:rPr>
          <w:sz w:val="24"/>
          <w:szCs w:val="24"/>
          <w:color w:val="auto"/>
        </w:rPr>
      </w:pPr>
    </w:p>
    <w:p>
      <w:pPr>
        <w:ind w:left="10" w:right="20"/>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p>
    <w:p>
      <w:pPr>
        <w:ind w:left="10" w:right="220"/>
        <w:spacing w:after="0" w:line="166"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3" w:lineRule="exact"/>
        <w:rPr>
          <w:sz w:val="24"/>
          <w:szCs w:val="24"/>
          <w:color w:val="auto"/>
        </w:rPr>
      </w:pPr>
    </w:p>
    <w:p>
      <w:pPr>
        <w:ind w:left="10" w:right="40"/>
        <w:spacing w:after="0" w:line="166"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0" w:lineRule="exact"/>
        <w:rPr>
          <w:sz w:val="24"/>
          <w:szCs w:val="24"/>
          <w:color w:val="auto"/>
        </w:rPr>
      </w:pPr>
    </w:p>
    <w:p>
      <w:pPr>
        <w:ind w:left="10" w:right="160"/>
        <w:spacing w:after="0" w:line="166"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4" w:lineRule="exact"/>
        <w:rPr>
          <w:sz w:val="24"/>
          <w:szCs w:val="24"/>
          <w:color w:val="auto"/>
        </w:rPr>
      </w:pPr>
    </w:p>
    <w:p>
      <w:pPr>
        <w:ind w:left="1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98" w:lineRule="exact"/>
        <w:rPr>
          <w:sz w:val="24"/>
          <w:szCs w:val="24"/>
          <w:color w:val="auto"/>
        </w:rPr>
      </w:pPr>
    </w:p>
    <w:p>
      <w:pPr>
        <w:ind w:left="10" w:right="240"/>
        <w:spacing w:after="0" w:line="283" w:lineRule="auto"/>
        <w:rPr>
          <w:sz w:val="20"/>
          <w:szCs w:val="20"/>
          <w:color w:val="auto"/>
        </w:rPr>
      </w:pPr>
      <w:r>
        <w:rPr>
          <w:rFonts w:ascii="Arial" w:cs="Arial" w:eastAsia="Arial" w:hAnsi="Arial"/>
          <w:sz w:val="12"/>
          <w:szCs w:val="12"/>
          <w:color w:val="auto"/>
        </w:rPr>
        <w:t>The aggregate market value of the voting and non-voting stock held by non-affiliates of the Registrant, as of June 30, 2025, the last business day of the registrant’s most recently completed second fiscal quarter, was $1,322.4 million. As of February 20, 2026, the registrant had 57,840,614 shares of common stock, $0.00001 par value per share, outstanding.</w:t>
      </w:r>
    </w:p>
    <w:p>
      <w:pPr>
        <w:spacing w:after="0" w:line="21" w:lineRule="exact"/>
        <w:rPr>
          <w:sz w:val="24"/>
          <w:szCs w:val="24"/>
          <w:color w:val="auto"/>
        </w:rPr>
      </w:pPr>
    </w:p>
    <w:p>
      <w:pPr>
        <w:jc w:val="center"/>
        <w:ind w:right="-9"/>
        <w:spacing w:after="0"/>
        <w:rPr>
          <w:sz w:val="20"/>
          <w:szCs w:val="20"/>
          <w:color w:val="auto"/>
        </w:rPr>
      </w:pPr>
      <w:r>
        <w:rPr>
          <w:rFonts w:ascii="Arial" w:cs="Arial" w:eastAsia="Arial" w:hAnsi="Arial"/>
          <w:sz w:val="14"/>
          <w:szCs w:val="14"/>
          <w:b w:val="1"/>
          <w:bCs w:val="1"/>
          <w:color w:val="auto"/>
        </w:rPr>
        <w:t>DOCUMENTS INCORPORATED BY REFERENCE</w:t>
      </w:r>
    </w:p>
    <w:p>
      <w:pPr>
        <w:spacing w:after="0" w:line="82" w:lineRule="exact"/>
        <w:rPr>
          <w:sz w:val="24"/>
          <w:szCs w:val="24"/>
          <w:color w:val="auto"/>
        </w:rPr>
      </w:pPr>
    </w:p>
    <w:p>
      <w:pPr>
        <w:ind w:left="10" w:right="120" w:firstLine="648"/>
        <w:spacing w:after="0" w:line="274" w:lineRule="auto"/>
        <w:rPr>
          <w:sz w:val="20"/>
          <w:szCs w:val="20"/>
          <w:color w:val="auto"/>
        </w:rPr>
      </w:pPr>
      <w:r>
        <w:rPr>
          <w:rFonts w:ascii="Arial" w:cs="Arial" w:eastAsia="Arial" w:hAnsi="Arial"/>
          <w:sz w:val="14"/>
          <w:szCs w:val="14"/>
          <w:color w:val="auto"/>
        </w:rPr>
        <w:t>Portions of the registrant’s definitive proxy statement relating to its 2026 Annual Meeting of Stockholders to be filed with the Securities and Exchange Commission within 120 days after the end of the fiscal year ended December 31, 2025, are incorporated herein by reference in Part III where indicated</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450215</wp:posOffset>
            </wp:positionV>
            <wp:extent cx="6497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29845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73025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20" w:type="dxa"/>
            <w:vAlign w:val="bottom"/>
            <w:gridSpan w:val="37"/>
            <w:vMerge w:val="restart"/>
          </w:tcPr>
          <w:p>
            <w:pPr>
              <w:spacing w:after="0"/>
              <w:rPr>
                <w:sz w:val="20"/>
                <w:szCs w:val="20"/>
                <w:color w:val="auto"/>
              </w:rPr>
            </w:pPr>
            <w:r>
              <w:rPr>
                <w:rFonts w:ascii="Arial" w:cs="Arial" w:eastAsia="Arial" w:hAnsi="Arial"/>
                <w:sz w:val="18"/>
                <w:szCs w:val="18"/>
                <w:color w:val="0000EE"/>
              </w:rPr>
              <w:t>Part I</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9220" w:type="dxa"/>
            <w:vAlign w:val="bottom"/>
            <w:gridSpan w:val="37"/>
            <w:vMerge w:val="continue"/>
          </w:tcPr>
          <w:p>
            <w:pPr>
              <w:spacing w:after="0"/>
              <w:rPr>
                <w:sz w:val="14"/>
                <w:szCs w:val="14"/>
                <w:color w:val="auto"/>
              </w:rPr>
            </w:pPr>
          </w:p>
        </w:tc>
        <w:tc>
          <w:tcPr>
            <w:tcW w:w="7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CAUTIONARY NOTE REGARDING FORWARD-LOOKING STATEMENTS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ITEM 1. BUSINESS.</w:t>
            </w: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1A. RISK FACTORS.</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6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ITEM 1B. UNRESOLVED</w:t>
            </w:r>
          </w:p>
        </w:tc>
        <w:tc>
          <w:tcPr>
            <w:tcW w:w="6080" w:type="dxa"/>
            <w:vAlign w:val="bottom"/>
            <w:gridSpan w:val="25"/>
          </w:tcPr>
          <w:p>
            <w:pPr>
              <w:jc w:val="center"/>
              <w:ind w:right="4460"/>
              <w:spacing w:after="0" w:line="182" w:lineRule="exact"/>
              <w:rPr>
                <w:sz w:val="20"/>
                <w:szCs w:val="20"/>
                <w:color w:val="auto"/>
              </w:rPr>
            </w:pPr>
            <w:r>
              <w:rPr>
                <w:rFonts w:ascii="Arial" w:cs="Arial" w:eastAsia="Arial" w:hAnsi="Arial"/>
                <w:sz w:val="18"/>
                <w:szCs w:val="18"/>
                <w:color w:val="0000EE"/>
                <w:w w:val="94"/>
              </w:rPr>
              <w:t>STAFF COMMENTS.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ITEM 1C. CYBERSECURITY</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4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ITEM 2. PROPERTIES.</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00" w:type="dxa"/>
            <w:vAlign w:val="bottom"/>
            <w:tcBorders>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ITEM 3. LEGAL PROCEEDINGS.</w:t>
            </w:r>
          </w:p>
        </w:tc>
        <w:tc>
          <w:tcPr>
            <w:tcW w:w="5540" w:type="dxa"/>
            <w:vAlign w:val="bottom"/>
            <w:gridSpan w:val="21"/>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4. MINE SAFETY DISCLOSURES.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83"/>
        </w:trPr>
        <w:tc>
          <w:tcPr>
            <w:tcW w:w="1000" w:type="dxa"/>
            <w:vAlign w:val="bottom"/>
            <w:gridSpan w:val="6"/>
          </w:tcPr>
          <w:p>
            <w:pPr>
              <w:spacing w:after="0" w:line="182" w:lineRule="exact"/>
              <w:rPr>
                <w:sz w:val="20"/>
                <w:szCs w:val="20"/>
                <w:color w:val="auto"/>
              </w:rPr>
            </w:pPr>
            <w:r>
              <w:rPr>
                <w:rFonts w:ascii="Arial" w:cs="Arial" w:eastAsia="Arial" w:hAnsi="Arial"/>
                <w:sz w:val="18"/>
                <w:szCs w:val="18"/>
                <w:color w:val="0000EE"/>
              </w:rPr>
              <w:t>Part II</w:t>
            </w:r>
          </w:p>
        </w:tc>
        <w:tc>
          <w:tcPr>
            <w:tcW w:w="11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gridSpan w:val="2"/>
          </w:tcPr>
          <w:p>
            <w:pPr>
              <w:spacing w:after="0"/>
              <w:rPr>
                <w:sz w:val="15"/>
                <w:szCs w:val="15"/>
                <w:color w:val="auto"/>
              </w:rPr>
            </w:pPr>
          </w:p>
        </w:tc>
        <w:tc>
          <w:tcPr>
            <w:tcW w:w="460" w:type="dxa"/>
            <w:vAlign w:val="bottom"/>
            <w:tcBorders>
              <w:top w:val="single" w:sz="8" w:color="0000EE"/>
            </w:tcBorders>
            <w:gridSpan w:val="3"/>
          </w:tcPr>
          <w:p>
            <w:pPr>
              <w:spacing w:after="0"/>
              <w:rPr>
                <w:sz w:val="15"/>
                <w:szCs w:val="15"/>
                <w:color w:val="auto"/>
              </w:rPr>
            </w:pPr>
          </w:p>
        </w:tc>
        <w:tc>
          <w:tcPr>
            <w:tcW w:w="160" w:type="dxa"/>
            <w:vAlign w:val="bottom"/>
            <w:tcBorders>
              <w:top w:val="single" w:sz="8" w:color="0000EE"/>
            </w:tcBorders>
            <w:gridSpan w:val="2"/>
          </w:tcPr>
          <w:p>
            <w:pPr>
              <w:spacing w:after="0"/>
              <w:rPr>
                <w:sz w:val="15"/>
                <w:szCs w:val="15"/>
                <w:color w:val="auto"/>
              </w:rPr>
            </w:pPr>
          </w:p>
        </w:tc>
        <w:tc>
          <w:tcPr>
            <w:tcW w:w="360" w:type="dxa"/>
            <w:vAlign w:val="bottom"/>
            <w:tcBorders>
              <w:top w:val="single" w:sz="8" w:color="0000EE"/>
            </w:tcBorders>
            <w:gridSpan w:val="2"/>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5. MARKET FOR REGISTRANT’S COMMON EQUITY, RELATED STOCKHOLDER MATTERS</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20" w:type="dxa"/>
            <w:vAlign w:val="bottom"/>
            <w:tcBorders>
              <w:top w:val="single" w:sz="8" w:color="0000EE"/>
            </w:tcBorders>
            <w:gridSpan w:val="28"/>
          </w:tcPr>
          <w:p>
            <w:pPr>
              <w:spacing w:after="0" w:line="182" w:lineRule="exact"/>
              <w:rPr>
                <w:sz w:val="20"/>
                <w:szCs w:val="20"/>
                <w:color w:val="auto"/>
              </w:rPr>
            </w:pPr>
            <w:r>
              <w:rPr>
                <w:rFonts w:ascii="Arial" w:cs="Arial" w:eastAsia="Arial" w:hAnsi="Arial"/>
                <w:sz w:val="18"/>
                <w:szCs w:val="18"/>
                <w:color w:val="0000EE"/>
              </w:rPr>
              <w:t>AND ISSUER PURCHASES OF EQUITY SECURITIES.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8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ITEM 6: [RESERVED]</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7. MANAGEMENT’S DISCUSSION AND ANALYSIS OF FINANCIAL CONDITION AND</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20" w:type="dxa"/>
            <w:vAlign w:val="bottom"/>
            <w:tcBorders>
              <w:top w:val="single" w:sz="8" w:color="0000EE"/>
            </w:tcBorders>
            <w:gridSpan w:val="27"/>
          </w:tcPr>
          <w:p>
            <w:pPr>
              <w:spacing w:after="0" w:line="182" w:lineRule="exact"/>
              <w:rPr>
                <w:sz w:val="20"/>
                <w:szCs w:val="20"/>
                <w:color w:val="auto"/>
              </w:rPr>
            </w:pPr>
            <w:r>
              <w:rPr>
                <w:rFonts w:ascii="Arial" w:cs="Arial" w:eastAsia="Arial" w:hAnsi="Arial"/>
                <w:sz w:val="18"/>
                <w:szCs w:val="18"/>
                <w:color w:val="0000EE"/>
              </w:rPr>
              <w:t>RESULTS OF OPERATIONS.</w:t>
            </w:r>
          </w:p>
        </w:tc>
        <w:tc>
          <w:tcPr>
            <w:tcW w:w="34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7A. QUANTITATIVE AND QUALITATIVE DISCLOSURES ABOUT MARKET RISK.</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40" w:type="dxa"/>
            <w:vAlign w:val="bottom"/>
            <w:tcBorders>
              <w:top w:val="single" w:sz="8" w:color="0000EE"/>
            </w:tcBorders>
            <w:gridSpan w:val="25"/>
          </w:tcPr>
          <w:p>
            <w:pPr>
              <w:spacing w:after="0" w:line="182" w:lineRule="exact"/>
              <w:rPr>
                <w:sz w:val="20"/>
                <w:szCs w:val="20"/>
                <w:color w:val="auto"/>
              </w:rPr>
            </w:pPr>
            <w:r>
              <w:rPr>
                <w:rFonts w:ascii="Arial" w:cs="Arial" w:eastAsia="Arial" w:hAnsi="Arial"/>
                <w:sz w:val="18"/>
                <w:szCs w:val="18"/>
                <w:color w:val="0000EE"/>
              </w:rPr>
              <w:t>ITEM 8. FINANCIAL STATEMENTS AND SUPPLEMENTARY DATA.</w:t>
            </w:r>
          </w:p>
        </w:tc>
        <w:tc>
          <w:tcPr>
            <w:tcW w:w="22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3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6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w w:val="94"/>
              </w:rPr>
              <w:t>ITEM 9. CHANGES IN AND DISAGREEMENTS WITH ACCOUNTANTS</w:t>
            </w:r>
          </w:p>
        </w:tc>
        <w:tc>
          <w:tcPr>
            <w:tcW w:w="2780" w:type="dxa"/>
            <w:vAlign w:val="bottom"/>
            <w:gridSpan w:val="10"/>
          </w:tcPr>
          <w:p>
            <w:pPr>
              <w:ind w:left="340"/>
              <w:spacing w:after="0" w:line="182" w:lineRule="exact"/>
              <w:rPr>
                <w:sz w:val="20"/>
                <w:szCs w:val="20"/>
                <w:color w:val="auto"/>
              </w:rPr>
            </w:pPr>
            <w:r>
              <w:rPr>
                <w:rFonts w:ascii="Arial" w:cs="Arial" w:eastAsia="Arial" w:hAnsi="Arial"/>
                <w:sz w:val="18"/>
                <w:szCs w:val="18"/>
                <w:color w:val="0000EE"/>
              </w:rPr>
              <w:t>ON ACCOUNTING AND</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760" w:type="dxa"/>
            <w:vAlign w:val="bottom"/>
            <w:tcBorders>
              <w:top w:val="single" w:sz="8" w:color="0000EE"/>
            </w:tcBorders>
            <w:gridSpan w:val="28"/>
          </w:tcPr>
          <w:p>
            <w:pPr>
              <w:spacing w:after="0" w:line="182" w:lineRule="exact"/>
              <w:rPr>
                <w:sz w:val="20"/>
                <w:szCs w:val="20"/>
                <w:color w:val="auto"/>
              </w:rPr>
            </w:pPr>
            <w:r>
              <w:rPr>
                <w:rFonts w:ascii="Arial" w:cs="Arial" w:eastAsia="Arial" w:hAnsi="Arial"/>
                <w:sz w:val="18"/>
                <w:szCs w:val="18"/>
                <w:color w:val="0000EE"/>
              </w:rPr>
              <w:t>FINANCIAL DISCLOSURE.</w:t>
            </w:r>
          </w:p>
        </w:tc>
        <w:tc>
          <w:tcPr>
            <w:tcW w:w="3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2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8"/>
              </w:rPr>
              <w:t>ITEM 9A. CONTROLS AND</w:t>
            </w:r>
          </w:p>
        </w:tc>
        <w:tc>
          <w:tcPr>
            <w:tcW w:w="6020" w:type="dxa"/>
            <w:vAlign w:val="bottom"/>
            <w:gridSpan w:val="24"/>
          </w:tcPr>
          <w:p>
            <w:pPr>
              <w:jc w:val="center"/>
              <w:ind w:right="4580"/>
              <w:spacing w:after="0" w:line="182" w:lineRule="exact"/>
              <w:rPr>
                <w:sz w:val="20"/>
                <w:szCs w:val="20"/>
                <w:color w:val="auto"/>
              </w:rPr>
            </w:pPr>
            <w:r>
              <w:rPr>
                <w:rFonts w:ascii="Arial" w:cs="Arial" w:eastAsia="Arial" w:hAnsi="Arial"/>
                <w:sz w:val="18"/>
                <w:szCs w:val="18"/>
                <w:color w:val="0000EE"/>
                <w:w w:val="99"/>
              </w:rPr>
              <w:t>PROCEDURES.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80" w:type="dxa"/>
            <w:vAlign w:val="bottom"/>
            <w:tcBorders>
              <w:top w:val="single" w:sz="8" w:color="0000EE"/>
              <w:bottom w:val="single" w:sz="8" w:color="0000EE"/>
            </w:tcBorders>
            <w:gridSpan w:val="13"/>
          </w:tcPr>
          <w:p>
            <w:pPr>
              <w:spacing w:after="0" w:line="182" w:lineRule="exact"/>
              <w:rPr>
                <w:sz w:val="20"/>
                <w:szCs w:val="20"/>
                <w:color w:val="auto"/>
              </w:rPr>
            </w:pPr>
            <w:r>
              <w:rPr>
                <w:rFonts w:ascii="Arial" w:cs="Arial" w:eastAsia="Arial" w:hAnsi="Arial"/>
                <w:sz w:val="18"/>
                <w:szCs w:val="18"/>
                <w:color w:val="0000EE"/>
                <w:w w:val="98"/>
              </w:rPr>
              <w:t>ITEM 9B. OTHER INFORMATION.</w:t>
            </w:r>
          </w:p>
        </w:tc>
        <w:tc>
          <w:tcPr>
            <w:tcW w:w="820" w:type="dxa"/>
            <w:vAlign w:val="bottom"/>
            <w:tcBorders>
              <w:top w:val="single" w:sz="8" w:color="0000EE"/>
            </w:tcBorders>
            <w:gridSpan w:val="4"/>
          </w:tcPr>
          <w:p>
            <w:pPr>
              <w:spacing w:after="0"/>
              <w:rPr>
                <w:sz w:val="15"/>
                <w:szCs w:val="15"/>
                <w:color w:val="auto"/>
              </w:rPr>
            </w:pPr>
          </w:p>
        </w:tc>
        <w:tc>
          <w:tcPr>
            <w:tcW w:w="13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920" w:type="dxa"/>
            <w:vAlign w:val="bottom"/>
            <w:gridSpan w:val="3"/>
          </w:tcPr>
          <w:p>
            <w:pPr>
              <w:spacing w:after="0"/>
              <w:rPr>
                <w:sz w:val="15"/>
                <w:szCs w:val="15"/>
                <w:color w:val="auto"/>
              </w:rPr>
            </w:pPr>
          </w:p>
        </w:tc>
        <w:tc>
          <w:tcPr>
            <w:tcW w:w="360" w:type="dxa"/>
            <w:vAlign w:val="bottom"/>
            <w:gridSpan w:val="2"/>
          </w:tcPr>
          <w:p>
            <w:pPr>
              <w:spacing w:after="0"/>
              <w:rPr>
                <w:sz w:val="15"/>
                <w:szCs w:val="15"/>
                <w:color w:val="auto"/>
              </w:rPr>
            </w:pPr>
          </w:p>
        </w:tc>
        <w:tc>
          <w:tcPr>
            <w:tcW w:w="88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w w:val="99"/>
              </w:rPr>
              <w:t>ITEM 9C. DISCLOSURES REGARDING FOREIGN JURISDICTIONS THAT PREVENT INSPECTIONS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83"/>
        </w:trPr>
        <w:tc>
          <w:tcPr>
            <w:tcW w:w="1000" w:type="dxa"/>
            <w:vAlign w:val="bottom"/>
            <w:gridSpan w:val="6"/>
          </w:tcPr>
          <w:p>
            <w:pPr>
              <w:spacing w:after="0" w:line="182" w:lineRule="exact"/>
              <w:rPr>
                <w:sz w:val="20"/>
                <w:szCs w:val="20"/>
                <w:color w:val="auto"/>
              </w:rPr>
            </w:pPr>
            <w:r>
              <w:rPr>
                <w:rFonts w:ascii="Arial" w:cs="Arial" w:eastAsia="Arial" w:hAnsi="Arial"/>
                <w:sz w:val="18"/>
                <w:szCs w:val="18"/>
                <w:color w:val="0000EE"/>
              </w:rPr>
              <w:t>Part III</w:t>
            </w:r>
          </w:p>
        </w:tc>
        <w:tc>
          <w:tcPr>
            <w:tcW w:w="11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260" w:type="dxa"/>
            <w:vAlign w:val="bottom"/>
            <w:tcBorders>
              <w:top w:val="single" w:sz="8" w:color="0000EE"/>
            </w:tcBorders>
            <w:gridSpan w:val="9"/>
          </w:tcPr>
          <w:p>
            <w:pPr>
              <w:spacing w:after="0"/>
              <w:rPr>
                <w:sz w:val="15"/>
                <w:szCs w:val="15"/>
                <w:color w:val="auto"/>
              </w:rPr>
            </w:pPr>
          </w:p>
        </w:tc>
        <w:tc>
          <w:tcPr>
            <w:tcW w:w="440" w:type="dxa"/>
            <w:vAlign w:val="bottom"/>
            <w:tcBorders>
              <w:top w:val="single" w:sz="8" w:color="0000EE"/>
            </w:tcBorders>
            <w:gridSpan w:val="2"/>
          </w:tcPr>
          <w:p>
            <w:pPr>
              <w:spacing w:after="0"/>
              <w:rPr>
                <w:sz w:val="15"/>
                <w:szCs w:val="15"/>
                <w:color w:val="auto"/>
              </w:rPr>
            </w:pPr>
          </w:p>
        </w:tc>
        <w:tc>
          <w:tcPr>
            <w:tcW w:w="160" w:type="dxa"/>
            <w:vAlign w:val="bottom"/>
            <w:tcBorders>
              <w:top w:val="single" w:sz="8" w:color="0000EE"/>
            </w:tcBorders>
            <w:gridSpan w:val="2"/>
          </w:tcPr>
          <w:p>
            <w:pPr>
              <w:spacing w:after="0"/>
              <w:rPr>
                <w:sz w:val="15"/>
                <w:szCs w:val="15"/>
                <w:color w:val="auto"/>
              </w:rPr>
            </w:pPr>
          </w:p>
        </w:tc>
        <w:tc>
          <w:tcPr>
            <w:tcW w:w="1620" w:type="dxa"/>
            <w:vAlign w:val="bottom"/>
            <w:tcBorders>
              <w:top w:val="single" w:sz="8" w:color="0000EE"/>
            </w:tcBorders>
            <w:gridSpan w:val="4"/>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920" w:type="dxa"/>
            <w:vAlign w:val="bottom"/>
            <w:tcBorders>
              <w:top w:val="single" w:sz="8" w:color="0000EE"/>
            </w:tcBorders>
            <w:gridSpan w:val="3"/>
          </w:tcPr>
          <w:p>
            <w:pPr>
              <w:spacing w:after="0"/>
              <w:rPr>
                <w:sz w:val="15"/>
                <w:szCs w:val="15"/>
                <w:color w:val="auto"/>
              </w:rPr>
            </w:pPr>
          </w:p>
        </w:tc>
        <w:tc>
          <w:tcPr>
            <w:tcW w:w="360" w:type="dxa"/>
            <w:vAlign w:val="bottom"/>
            <w:tcBorders>
              <w:top w:val="single" w:sz="8" w:color="0000EE"/>
            </w:tcBorders>
            <w:gridSpan w:val="2"/>
          </w:tcPr>
          <w:p>
            <w:pPr>
              <w:spacing w:after="0"/>
              <w:rPr>
                <w:sz w:val="15"/>
                <w:szCs w:val="15"/>
                <w:color w:val="auto"/>
              </w:rPr>
            </w:pPr>
          </w:p>
        </w:tc>
        <w:tc>
          <w:tcPr>
            <w:tcW w:w="880" w:type="dxa"/>
            <w:vAlign w:val="bottom"/>
            <w:tcBorders>
              <w:top w:val="single" w:sz="8" w:color="0000EE"/>
            </w:tcBorders>
            <w:gridSpan w:val="4"/>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10. DIRECTORS, EXECUTIVE OFFICERS AND CORPORATE GOVERNANCE.</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80" w:type="dxa"/>
            <w:vAlign w:val="bottom"/>
            <w:tcBorders>
              <w:top w:val="single" w:sz="8" w:color="0000EE"/>
            </w:tcBorders>
            <w:gridSpan w:val="23"/>
          </w:tcPr>
          <w:p>
            <w:pPr>
              <w:spacing w:after="0" w:line="182" w:lineRule="exact"/>
              <w:rPr>
                <w:sz w:val="20"/>
                <w:szCs w:val="20"/>
                <w:color w:val="auto"/>
              </w:rPr>
            </w:pPr>
            <w:r>
              <w:rPr>
                <w:rFonts w:ascii="Arial" w:cs="Arial" w:eastAsia="Arial" w:hAnsi="Arial"/>
                <w:sz w:val="18"/>
                <w:szCs w:val="18"/>
                <w:color w:val="0000EE"/>
              </w:rPr>
              <w:t>ITEM 11. EXECUTIVE COMPENSATION.</w:t>
            </w:r>
          </w:p>
        </w:tc>
        <w:tc>
          <w:tcPr>
            <w:tcW w:w="360" w:type="dxa"/>
            <w:vAlign w:val="bottom"/>
            <w:gridSpan w:val="2"/>
          </w:tcPr>
          <w:p>
            <w:pPr>
              <w:spacing w:after="0"/>
              <w:rPr>
                <w:sz w:val="15"/>
                <w:szCs w:val="15"/>
                <w:color w:val="auto"/>
              </w:rPr>
            </w:pPr>
          </w:p>
        </w:tc>
        <w:tc>
          <w:tcPr>
            <w:tcW w:w="880" w:type="dxa"/>
            <w:vAlign w:val="bottom"/>
            <w:gridSpan w:val="4"/>
          </w:tcPr>
          <w:p>
            <w:pPr>
              <w:spacing w:after="0"/>
              <w:rPr>
                <w:sz w:val="15"/>
                <w:szCs w:val="15"/>
                <w:color w:val="auto"/>
              </w:rPr>
            </w:pPr>
          </w:p>
        </w:tc>
        <w:tc>
          <w:tcPr>
            <w:tcW w:w="100" w:type="dxa"/>
            <w:vAlign w:val="bottom"/>
            <w:gridSpan w:val="2"/>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4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ITEM 12. SECURITY OWNERSHIP OF</w:t>
            </w:r>
          </w:p>
        </w:tc>
        <w:tc>
          <w:tcPr>
            <w:tcW w:w="4900" w:type="dxa"/>
            <w:vAlign w:val="bottom"/>
            <w:gridSpan w:val="16"/>
          </w:tcPr>
          <w:p>
            <w:pPr>
              <w:spacing w:after="0" w:line="182" w:lineRule="exact"/>
              <w:rPr>
                <w:sz w:val="20"/>
                <w:szCs w:val="20"/>
                <w:color w:val="auto"/>
              </w:rPr>
            </w:pPr>
            <w:r>
              <w:rPr>
                <w:rFonts w:ascii="Arial" w:cs="Arial" w:eastAsia="Arial" w:hAnsi="Arial"/>
                <w:sz w:val="18"/>
                <w:szCs w:val="18"/>
                <w:color w:val="0000EE"/>
                <w:w w:val="98"/>
              </w:rPr>
              <w:t>CERTAIN BENEFICIAL OWNERS AND MANAGEMENT AND</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140" w:type="dxa"/>
            <w:vAlign w:val="bottom"/>
            <w:tcBorders>
              <w:top w:val="single" w:sz="8" w:color="0000EE"/>
            </w:tcBorders>
            <w:gridSpan w:val="30"/>
          </w:tcPr>
          <w:p>
            <w:pPr>
              <w:spacing w:after="0" w:line="182" w:lineRule="exact"/>
              <w:rPr>
                <w:sz w:val="20"/>
                <w:szCs w:val="20"/>
                <w:color w:val="auto"/>
              </w:rPr>
            </w:pPr>
            <w:r>
              <w:rPr>
                <w:rFonts w:ascii="Arial" w:cs="Arial" w:eastAsia="Arial" w:hAnsi="Arial"/>
                <w:sz w:val="18"/>
                <w:szCs w:val="18"/>
                <w:color w:val="0000EE"/>
              </w:rPr>
              <w:t>RELATED STOCKHOLDER MATTERS.</w:t>
            </w:r>
          </w:p>
        </w:tc>
        <w:tc>
          <w:tcPr>
            <w:tcW w:w="100" w:type="dxa"/>
            <w:vAlign w:val="bottom"/>
            <w:gridSpan w:val="2"/>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gridSpan w:val="9"/>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13. CERTAIN RELATIONSHIPS AND RELATED TRANSACTIONS, AND DIRECTOR</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60" w:type="dxa"/>
            <w:vAlign w:val="bottom"/>
            <w:tcBorders>
              <w:top w:val="single" w:sz="8" w:color="0000EE"/>
            </w:tcBorders>
            <w:gridSpan w:val="26"/>
          </w:tcPr>
          <w:p>
            <w:pPr>
              <w:spacing w:after="0" w:line="182" w:lineRule="exact"/>
              <w:rPr>
                <w:sz w:val="20"/>
                <w:szCs w:val="20"/>
                <w:color w:val="auto"/>
              </w:rPr>
            </w:pPr>
            <w:r>
              <w:rPr>
                <w:rFonts w:ascii="Arial" w:cs="Arial" w:eastAsia="Arial" w:hAnsi="Arial"/>
                <w:sz w:val="18"/>
                <w:szCs w:val="18"/>
                <w:color w:val="0000EE"/>
              </w:rPr>
              <w:t>INDEPENDENCE.</w:t>
            </w:r>
          </w:p>
        </w:tc>
        <w:tc>
          <w:tcPr>
            <w:tcW w:w="980" w:type="dxa"/>
            <w:vAlign w:val="bottom"/>
            <w:gridSpan w:val="6"/>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11"/>
          </w:tcPr>
          <w:p>
            <w:pPr>
              <w:spacing w:after="0" w:line="20" w:lineRule="exact"/>
              <w:rPr>
                <w:sz w:val="1"/>
                <w:szCs w:val="1"/>
                <w:color w:val="auto"/>
              </w:rPr>
            </w:pPr>
          </w:p>
        </w:tc>
        <w:tc>
          <w:tcPr>
            <w:tcW w:w="72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14. PRINCIPAL ACCOUNTANT FEES AND SERVICES.</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gridSpan w:val="6"/>
          </w:tcPr>
          <w:p>
            <w:pPr>
              <w:spacing w:after="0" w:line="182" w:lineRule="exact"/>
              <w:rPr>
                <w:sz w:val="20"/>
                <w:szCs w:val="20"/>
                <w:color w:val="auto"/>
              </w:rPr>
            </w:pPr>
            <w:r>
              <w:rPr>
                <w:rFonts w:ascii="Arial" w:cs="Arial" w:eastAsia="Arial" w:hAnsi="Arial"/>
                <w:sz w:val="18"/>
                <w:szCs w:val="18"/>
                <w:color w:val="0000EE"/>
              </w:rPr>
              <w:t>Part IV</w:t>
            </w:r>
          </w:p>
        </w:tc>
        <w:tc>
          <w:tcPr>
            <w:tcW w:w="1140" w:type="dxa"/>
            <w:vAlign w:val="bottom"/>
            <w:tcBorders>
              <w:top w:val="single" w:sz="8" w:color="0000EE"/>
            </w:tcBorders>
          </w:tcPr>
          <w:p>
            <w:pPr>
              <w:spacing w:after="0"/>
              <w:rPr>
                <w:sz w:val="15"/>
                <w:szCs w:val="15"/>
                <w:color w:val="auto"/>
              </w:rPr>
            </w:pPr>
          </w:p>
        </w:tc>
        <w:tc>
          <w:tcPr>
            <w:tcW w:w="1580" w:type="dxa"/>
            <w:vAlign w:val="bottom"/>
            <w:tcBorders>
              <w:top w:val="single" w:sz="8" w:color="0000EE"/>
            </w:tcBorders>
            <w:gridSpan w:val="10"/>
          </w:tcPr>
          <w:p>
            <w:pPr>
              <w:spacing w:after="0"/>
              <w:rPr>
                <w:sz w:val="15"/>
                <w:szCs w:val="15"/>
                <w:color w:val="auto"/>
              </w:rPr>
            </w:pPr>
          </w:p>
        </w:tc>
        <w:tc>
          <w:tcPr>
            <w:tcW w:w="2220" w:type="dxa"/>
            <w:vAlign w:val="bottom"/>
            <w:tcBorders>
              <w:top w:val="single" w:sz="8" w:color="0000EE"/>
            </w:tcBorders>
            <w:gridSpan w:val="8"/>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260" w:type="dxa"/>
            <w:vAlign w:val="bottom"/>
            <w:gridSpan w:val="11"/>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20" w:type="dxa"/>
            <w:vAlign w:val="bottom"/>
          </w:tcPr>
          <w:p>
            <w:pPr>
              <w:spacing w:after="0"/>
              <w:rPr>
                <w:sz w:val="15"/>
                <w:szCs w:val="15"/>
                <w:color w:val="auto"/>
              </w:rPr>
            </w:pPr>
          </w:p>
        </w:tc>
        <w:tc>
          <w:tcPr>
            <w:tcW w:w="8240" w:type="dxa"/>
            <w:vAlign w:val="bottom"/>
            <w:gridSpan w:val="32"/>
          </w:tcPr>
          <w:p>
            <w:pPr>
              <w:spacing w:after="0" w:line="182" w:lineRule="exact"/>
              <w:rPr>
                <w:sz w:val="20"/>
                <w:szCs w:val="20"/>
                <w:color w:val="auto"/>
              </w:rPr>
            </w:pPr>
            <w:r>
              <w:rPr>
                <w:rFonts w:ascii="Arial" w:cs="Arial" w:eastAsia="Arial" w:hAnsi="Arial"/>
                <w:sz w:val="18"/>
                <w:szCs w:val="18"/>
                <w:color w:val="0000EE"/>
              </w:rPr>
              <w:t>ITEM 15. EXHIBITS, FINANCIAL STATEMENT SCHEDULES.</w:t>
            </w: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4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ITEM 16. FORM 10-K SUMMARY.</w:t>
            </w:r>
          </w:p>
        </w:tc>
        <w:tc>
          <w:tcPr>
            <w:tcW w:w="3280" w:type="dxa"/>
            <w:vAlign w:val="bottom"/>
            <w:gridSpan w:val="12"/>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4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SIGNATURES</w:t>
            </w:r>
          </w:p>
        </w:tc>
        <w:tc>
          <w:tcPr>
            <w:tcW w:w="5500" w:type="dxa"/>
            <w:vAlign w:val="bottom"/>
            <w:gridSpan w:val="20"/>
          </w:tcPr>
          <w:p>
            <w:pPr>
              <w:spacing w:after="0"/>
              <w:rPr>
                <w:sz w:val="15"/>
                <w:szCs w:val="15"/>
                <w:color w:val="auto"/>
              </w:rPr>
            </w:pPr>
          </w:p>
        </w:tc>
        <w:tc>
          <w:tcPr>
            <w:tcW w:w="7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783"/>
        </w:trPr>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including statements regarding our future results of operations and financial position, our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important factors that could cause actual results to differ materially from those in the forward-looking statements, including the factors described under the sections in this Annual Report on Form 10-K titled “—Item 1A. Risk Factors.” and “Part II—Item 7. Management’s Discussion and Analysis of Financial Condition and Results of Operations.”</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5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Unless otherwise indicated, information contained in this Annual Report on Form 10-K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herein under “—Item 1A. Risk Factors.” These and other factors could cause results to differ materially from those expressed and forecasts in the estimates made by the independent parties and by us.</w:t>
      </w:r>
    </w:p>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used herein, the terms “Harmony,” “we,” “us,” “our” and “the Company” refer to Harmony Biosciences Holdings, Inc., a Delaware corporation, and our operating subsidiaries, Harmony Biosciences Management, Inc. and Harmony Biosciences, LLC.</w:t>
      </w:r>
    </w:p>
    <w:p>
      <w:pPr>
        <w:spacing w:after="0" w:line="16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Further, we have in-licensed from Bioprojet Société Civile de Recherche (“Bioprojet”) the registered trademark product name WAKIX® in the United States. We also have registered trademark protection in the United States for KNOW NARCOLEPSY®, REM AT THE WRONG TIME® and NON-REM AT THE WRONG TIME®, as well as our brand and logo HB®, HB HARMONY BIOSCIENCES® and HARMONY BIOSCIENCES®. This report also includes trademarks, service marks and trade names of other companies. Trademarks, service marks and trade names appearing in this Annual Report on Form 10-K are the property of their respective owners.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business is subject to numerous risks and uncertainties. You should carefully consider these risks and uncertainties when investing in our securities. The principal risks and uncertainties affecting our business include the following:</w:t>
      </w:r>
    </w:p>
    <w:p>
      <w:pPr>
        <w:spacing w:after="0" w:line="142" w:lineRule="exact"/>
        <w:rPr>
          <w:sz w:val="20"/>
          <w:szCs w:val="20"/>
          <w:color w:val="auto"/>
        </w:rPr>
      </w:pPr>
    </w:p>
    <w:p>
      <w:pPr>
        <w:jc w:val="both"/>
        <w:ind w:left="1000" w:hanging="317"/>
        <w:spacing w:after="0" w:line="252"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substantially dependent on the commercial success of our only approved product, WAKIX. If we are unable to maintain or increase sales of WAKIX, our ability to generate revenue and our financial condition will be adversely affected.</w:t>
      </w:r>
    </w:p>
    <w:p>
      <w:pPr>
        <w:spacing w:after="0" w:line="130"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continued commercial adoption of WAKIX and any other product candidates we develop will depend on the degree of their market acceptance.</w:t>
      </w:r>
    </w:p>
    <w:p>
      <w:pPr>
        <w:spacing w:after="0" w:line="113"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our license agreements with Bioprojet to provide rights to the core intellectual property relating to pitolisant, and any termination or loss of significant rights under the agreement would adversely affect our development and/or commercialization of pitolisant.</w:t>
      </w:r>
    </w:p>
    <w:p>
      <w:pPr>
        <w:spacing w:after="0" w:line="143"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Because a number of companies compete with us, many of which have greater resources than we do, and because we face rapid changes in science in our industry, we cannot be certain that our products will be accepted in the marketplace or capture market share.</w:t>
      </w:r>
    </w:p>
    <w:p>
      <w:pPr>
        <w:spacing w:after="0" w:line="13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Public health pandemics, such as the COVID-19 pandemic, may result in disruptions to our commercialization, clinical trials, manufacturing and other business operations, which could have a material adverse effect on our business, financial condition, operating results, cash flows and prospects.</w:t>
      </w:r>
    </w:p>
    <w:p>
      <w:pPr>
        <w:spacing w:after="0" w:line="130"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operating history and history of commercializing drugs, which may make it difficult for you to evaluate the success of our business to date and assess our future viability.</w:t>
      </w:r>
    </w:p>
    <w:p>
      <w:pPr>
        <w:spacing w:after="0" w:line="127"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successful in our efforts to identify other indications for pitolisant beyond EDS and/or cataplexy in adults and pediatric patients six years and older with narcolepsy identify or in-license or acquire, discover, develop or commercialize additional product candidates.</w:t>
      </w:r>
    </w:p>
    <w:p>
      <w:pPr>
        <w:spacing w:after="0" w:line="130" w:lineRule="exact"/>
        <w:rPr>
          <w:rFonts w:ascii="Times New Roman" w:cs="Times New Roman" w:eastAsia="Times New Roman" w:hAnsi="Times New Roman"/>
          <w:sz w:val="18"/>
          <w:szCs w:val="18"/>
          <w:color w:val="auto"/>
        </w:rPr>
      </w:pPr>
    </w:p>
    <w:p>
      <w:pPr>
        <w:jc w:val="both"/>
        <w:ind w:left="1000" w:hanging="317"/>
        <w:spacing w:after="0" w:line="246"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regulatory approval process of the FDA is costly, lengthy and inherently unpredictable, and our business may be substantially harmed if experience insufficient results in the course of our business development or are ultimately unable to obtain regulatory approval for any of our ongoing development programs in other potential indications.</w:t>
      </w:r>
    </w:p>
    <w:p>
      <w:pPr>
        <w:spacing w:after="0" w:line="136"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obtain and sustain an adequate level of coverage and reimbursement for WAKIX and other product candidates by third-party payors, sales would be adversely affected.</w:t>
      </w:r>
    </w:p>
    <w:p>
      <w:pPr>
        <w:spacing w:after="0" w:line="127"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made and may be required in the future to make significant payments to Bioprojet under our licensing and collaboration agreements for pitolisant.</w:t>
      </w:r>
    </w:p>
    <w:p>
      <w:pPr>
        <w:spacing w:after="0" w:line="113" w:lineRule="exact"/>
        <w:rPr>
          <w:rFonts w:ascii="Times New Roman" w:cs="Times New Roman" w:eastAsia="Times New Roman" w:hAnsi="Times New Roman"/>
          <w:sz w:val="18"/>
          <w:szCs w:val="18"/>
          <w:color w:val="auto"/>
        </w:rPr>
      </w:pPr>
    </w:p>
    <w:p>
      <w:pPr>
        <w:jc w:val="both"/>
        <w:ind w:left="1000" w:hanging="317"/>
        <w:spacing w:after="0" w:line="246"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Raising additional funds by issuing securities may cause dilution to existing shareholders, raising additional funds through debt financings may involve restrictive covenants, and raising funds through lending and licensing arrangements may restrict our operations or require us to relinquish proprietary rights to our technologies or product candidates.</w:t>
      </w:r>
    </w:p>
    <w:p>
      <w:pPr>
        <w:spacing w:after="0" w:line="136" w:lineRule="exact"/>
        <w:rPr>
          <w:rFonts w:ascii="Times New Roman" w:cs="Times New Roman" w:eastAsia="Times New Roman" w:hAnsi="Times New Roman"/>
          <w:sz w:val="18"/>
          <w:szCs w:val="18"/>
          <w:color w:val="auto"/>
        </w:rPr>
      </w:pPr>
    </w:p>
    <w:p>
      <w:pPr>
        <w:jc w:val="both"/>
        <w:ind w:left="1000" w:hanging="317"/>
        <w:spacing w:after="0" w:line="242"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WAKIX has been approved by the FDA for the treatment of EDS and/or cataplexy in adults and pediatric patients six years and older with narcolepsy. Regulatory approval is limited by the FDA to the specific indication for which approval has been granted and, unless we seek regulatory approval for additional indications, we will be prohibited from marketing pitolisant for other indications. We may be subject to fines, penalties or injunctions if we are determined to have promoted or be promoting the use of pitolisant for unapproved or “off-label” uses, resulting in damage to our reputation and business.</w:t>
      </w:r>
    </w:p>
    <w:p>
      <w:pPr>
        <w:spacing w:after="0" w:line="150"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obtain and maintain patent protection for our technology and products, or if the scope of the patent protection obtained is not sufficiently broad, we may not be able to compete effectively in our markets.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left="1000" w:right="20" w:hanging="317"/>
        <w:spacing w:after="0" w:line="252" w:lineRule="auto"/>
        <w:tabs>
          <w:tab w:leader="none" w:pos="10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comply with our obligations under any license, collaboration or other agreements, we may be required to pay damages and could lose intellectual property rights that are necessary for developing and protecting our current and future product candidates.</w:t>
      </w:r>
    </w:p>
    <w:p>
      <w:pPr>
        <w:spacing w:after="0" w:line="130"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directors, officers and principal stockholders beneficially own a significant percentage of our stock and are able to exert significant control over matters subject to stockholder approval.</w:t>
      </w:r>
    </w:p>
    <w:p>
      <w:pPr>
        <w:spacing w:after="0" w:line="127"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Future sales of our common stock in the public market, including sales by our directors, officers, or significant shareholders, could cause our share price to fall.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are cultivating a differentiated neuroscience company, rooted in innovation and driven by a commitment to addressing the unmet needs of patients living with neurological diseases. To date, we have focused on rare neurological diseases with a growing portfolio now spanning sleep/wake, rare epilepsy, and neurobehavioral and we are harnessing scientific insights and pioneering approaches to advance meaningful treatments that help patients thrive.</w:t>
      </w:r>
    </w:p>
    <w:p>
      <w:pPr>
        <w:spacing w:after="0" w:line="147"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In July 2017, we entered into a License Agreement (as amended, the “2017 LCA”) with Bioprojet Société Civile de Recherche (“Bioprojet”) whereby we acquired the exclusive right to commercialize the pharmaceutical compound pitolisant. Our lead product, WAKIX® (pitolisant) (“WAKIX”), is a first-in-class therapy with a novel mechanism of action designed to enhance histamine signaling in the brain by binding to H</w:t>
      </w:r>
      <w:r>
        <w:rPr>
          <w:rFonts w:ascii="Arial" w:cs="Arial" w:eastAsia="Arial" w:hAnsi="Arial"/>
          <w:sz w:val="26"/>
          <w:szCs w:val="26"/>
          <w:color w:val="auto"/>
          <w:vertAlign w:val="subscript"/>
        </w:rPr>
        <w:t>3</w:t>
      </w:r>
      <w:r>
        <w:rPr>
          <w:rFonts w:ascii="Arial" w:cs="Arial" w:eastAsia="Arial" w:hAnsi="Arial"/>
          <w:sz w:val="18"/>
          <w:szCs w:val="18"/>
          <w:color w:val="auto"/>
        </w:rPr>
        <w:t xml:space="preserve"> receptors. Since its initial FDA approval in 2019 for excessive</w:t>
      </w:r>
    </w:p>
    <w:p>
      <w:pPr>
        <w:jc w:val="both"/>
        <w:spacing w:after="0"/>
        <w:rPr>
          <w:sz w:val="20"/>
          <w:szCs w:val="20"/>
          <w:color w:val="auto"/>
        </w:rPr>
      </w:pPr>
      <w:r>
        <w:rPr>
          <w:rFonts w:ascii="Arial" w:cs="Arial" w:eastAsia="Arial" w:hAnsi="Arial"/>
          <w:sz w:val="18"/>
          <w:szCs w:val="18"/>
          <w:color w:val="auto"/>
        </w:rPr>
        <w:t>daytime sleepiness (“EDS”) in adult patients with narcolepsy and subsequent approvals for cataplexy in adult patients in 2020, EDS in pediatric patients six years and older in 2024 and cataplexy in pediatric patients six years and older in 2026, WAKIX has continued to reshape the treatment landscape for narcolepsy and remains the only FDA-approved treatment for narcolepsy that is not scheduled as a controlled substance by the U.S. Drug Enforcement Administration (“DEA”).</w:t>
      </w:r>
    </w:p>
    <w:p>
      <w:pPr>
        <w:spacing w:after="0" w:line="14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Beyond narcolepsy, we have taken a mechanistic-based approach to expanding the reach of pitolisant, advancing late-stage clinical programs exploring pitolisant in idiopathic hypersomnia (“IH”), Prader-Willi syndrome (“PWS”) and myotonic dystrophy type 1 (“DM1”) and continue to grow our impact in other rare neurological diseases. In July 2022, we entered into a License and Commercialization Agreement with Bioprojet (the “2022 LCA”) whereby we obtained exclusive rights to manufacture, develop and commercialize one or more next generation pitolisant based products in the United States and Latin America. Two of the next generation formulations, pitolisant Gastro-Resistant (“Pitolisant GR”) and pitolisant High-Dose (“Pitolisant HD”) are currently in clinical development.</w:t>
      </w:r>
    </w:p>
    <w:p>
      <w:pPr>
        <w:spacing w:after="0" w:line="14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April 2024, we expanded into orexin science through a sublicense agreement with Bioprojet for an orexin 2 receptor agonist (“BP1.15205”) in preclinical development for narcolepsy and other potential indications (the “Sublicense”). Under the Sublicense, we obtained the exclusive right to develop, manufacture and commercialize BP1.15205 in the United States and Latin American territories, which are rights originally licensed from Teijin Pharma, the innovator of BP1.15205. We further broadened our portfolio into rare epilepsy with the acquisition of Epygenix Therapeutics, Inc., adding global rights to develop, manufacture and commercialize EPX-100, a serotonin (5HT-2) receptor agonist, and EPX-200, a selective 5HT-2C agonist. EPX-100 is in two Phase 3 registrational trials, one each for Dravet Syndrome (“DS”) and Lennox-Gastaut Syndrome (“LGS”), and EPX-200 is in the pre-IND phase for developmental and epileptic encephalopathies (“DEEs”).</w:t>
      </w:r>
    </w:p>
    <w:p>
      <w:pPr>
        <w:spacing w:after="0" w:line="15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June 2025, we entered into a research collaboration, option and license agreement (the “CiRC Agreement”) with a related party, CiRC Biosciences, Inc. (“CiRC”). Under this agreement, Harmony and CiRC will collaborate on the research and development of two discovery-stage candidates, CBS105 for treatment-resistant narcolepsy and CBS104 for refractory epilepsy (together the “Candidates”), using cell replacement therapy for the treatment of refractory epilepsies and treatment-resistant narcolepsy.</w:t>
      </w:r>
    </w:p>
    <w:p>
      <w:pPr>
        <w:spacing w:after="0" w:line="13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innovative portfolio of assets reflects our dedication to novel science, innovative therapies and excellence in delivering these treatments to patients with serious medical conditions who have few or no available options.</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operations are conducted by our wholly owned subsidiaries, Harmony Biosciences, LLC and Harmony Biosciences Management, Inc.</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Product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Sleep/Wake Franchise</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b w:val="1"/>
          <w:bCs w:val="1"/>
          <w:color w:val="auto"/>
        </w:rPr>
        <w:t xml:space="preserve">WAKIX (pitolisant). </w:t>
      </w:r>
      <w:r>
        <w:rPr>
          <w:rFonts w:ascii="Arial" w:cs="Arial" w:eastAsia="Arial" w:hAnsi="Arial"/>
          <w:sz w:val="18"/>
          <w:szCs w:val="18"/>
          <w:color w:val="auto"/>
        </w:rPr>
        <w:t>Pitolisant was developed by Bioprojet and approved by the European Medicines Agency (the</w:t>
      </w:r>
      <w:r>
        <w:rPr>
          <w:rFonts w:ascii="Arial" w:cs="Arial" w:eastAsia="Arial" w:hAnsi="Arial"/>
          <w:sz w:val="18"/>
          <w:szCs w:val="18"/>
          <w:b w:val="1"/>
          <w:bCs w:val="1"/>
          <w:color w:val="auto"/>
        </w:rPr>
        <w:t xml:space="preserve"> </w:t>
      </w:r>
      <w:r>
        <w:rPr>
          <w:rFonts w:ascii="Arial" w:cs="Arial" w:eastAsia="Arial" w:hAnsi="Arial"/>
          <w:sz w:val="18"/>
          <w:szCs w:val="18"/>
          <w:color w:val="auto"/>
        </w:rPr>
        <w:t>“EMA”) in 2016 for the treatment of narcolepsy in adult patients with or without cataplexy and in 2021 for the treatment of EDS in adult patients with obstructive sleep apnea. We acquired an exclusive license to develop, manufacture and commercialize pitolisant in the United States pursuant to the 2017 LCA. Pitolisant was granted Orphan Drug designation for the treatment of narcolepsy by the FDA in 2010. It received Breakthrough Therapy designation for the treatment of cataplexy in patients with narcolepsy and Fast Track designation for the treatment of EDS and cataplexy in patients with narcolepsy in April 2018. In August 2019, WAKIX was approved by the FDA for the treatment of EDS in adult patients with narcolepsy, and its U.S. commercial launch was initiated in November 2019. In October 2020, WAKIX was approved by the FDA for the treatment of cataplexy in adult patients with narcolepsy. WAKIX was approved by the FDA for treatment of EDS and cataplexy in patients six years and older in 2024 and 2026, respectively.</w:t>
      </w:r>
    </w:p>
    <w:p>
      <w:pPr>
        <w:spacing w:after="0" w:line="1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WAKIX represents a novel approach to narcolepsy treatment. We believe that WAKIX offers a meaningfully differentiated product profile over current treatment options for the following reasons:</w:t>
      </w:r>
    </w:p>
    <w:p>
      <w:pPr>
        <w:spacing w:after="0" w:line="113" w:lineRule="exact"/>
        <w:rPr>
          <w:sz w:val="20"/>
          <w:szCs w:val="20"/>
          <w:color w:val="auto"/>
        </w:rPr>
      </w:pPr>
    </w:p>
    <w:p>
      <w:pPr>
        <w:jc w:val="both"/>
        <w:ind w:left="1000" w:hanging="317"/>
        <w:spacing w:after="0" w:line="243" w:lineRule="auto"/>
        <w:tabs>
          <w:tab w:leader="none" w:pos="10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First-in-class molecule with a novel MOA</w:t>
      </w:r>
      <w:r>
        <w:rPr>
          <w:rFonts w:ascii="Arial" w:cs="Arial" w:eastAsia="Arial" w:hAnsi="Arial"/>
          <w:sz w:val="18"/>
          <w:szCs w:val="18"/>
          <w:color w:val="auto"/>
        </w:rPr>
        <w:t>. WAKIX is a first-in-class molecule with a novel mechanism of</w:t>
      </w:r>
      <w:r>
        <w:rPr>
          <w:rFonts w:ascii="Arial" w:cs="Arial" w:eastAsia="Arial" w:hAnsi="Arial"/>
          <w:sz w:val="18"/>
          <w:szCs w:val="18"/>
          <w:b w:val="1"/>
          <w:bCs w:val="1"/>
          <w:color w:val="auto"/>
        </w:rPr>
        <w:t xml:space="preserve"> </w:t>
      </w:r>
      <w:r>
        <w:rPr>
          <w:rFonts w:ascii="Arial" w:cs="Arial" w:eastAsia="Arial" w:hAnsi="Arial"/>
          <w:sz w:val="18"/>
          <w:szCs w:val="18"/>
          <w:color w:val="auto"/>
        </w:rPr>
        <w:t>action (“MOA”) and is the only selective H</w:t>
      </w:r>
      <w:r>
        <w:rPr>
          <w:rFonts w:ascii="Arial" w:cs="Arial" w:eastAsia="Arial" w:hAnsi="Arial"/>
          <w:sz w:val="11"/>
          <w:szCs w:val="11"/>
          <w:color w:val="auto"/>
        </w:rPr>
        <w:t>3</w:t>
      </w:r>
      <w:r>
        <w:rPr>
          <w:rFonts w:ascii="Arial" w:cs="Arial" w:eastAsia="Arial" w:hAnsi="Arial"/>
          <w:sz w:val="18"/>
          <w:szCs w:val="18"/>
          <w:color w:val="auto"/>
        </w:rPr>
        <w:t xml:space="preserve"> receptor antagonist/inverse agonist approved by the FDA. Pitolisant is thought to work by regulating histamine, such that it activates wake-promoting neurons and inhibits sleep promoting neurons, which helps to stabilize states of sleep and wakefulness. We believe that these novel characteristics differentiate it from other narcolepsy treatments.</w:t>
      </w:r>
    </w:p>
    <w:p>
      <w:pPr>
        <w:spacing w:after="0" w:line="166"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First-and-only non-scheduled treatment for narcolepsy</w:t>
      </w:r>
      <w:r>
        <w:rPr>
          <w:rFonts w:ascii="Arial" w:cs="Arial" w:eastAsia="Arial" w:hAnsi="Arial"/>
          <w:sz w:val="18"/>
          <w:szCs w:val="18"/>
          <w:color w:val="auto"/>
        </w:rPr>
        <w:t>. WAKIX is the first-and-only FDA-approved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for narcolepsy that is not scheduled as a controlled substance by the DEA. We believe one of the most significant unmet needs is the availability of non-scheduled treatment options.</w:t>
      </w:r>
    </w:p>
    <w:p>
      <w:pPr>
        <w:spacing w:after="0" w:line="157" w:lineRule="exact"/>
        <w:rPr>
          <w:rFonts w:ascii="Times New Roman" w:cs="Times New Roman" w:eastAsia="Times New Roman" w:hAnsi="Times New Roman"/>
          <w:sz w:val="18"/>
          <w:szCs w:val="18"/>
          <w:color w:val="auto"/>
        </w:rPr>
      </w:pPr>
    </w:p>
    <w:p>
      <w:pPr>
        <w:jc w:val="both"/>
        <w:ind w:left="1000" w:hanging="317"/>
        <w:spacing w:after="0" w:line="243" w:lineRule="auto"/>
        <w:tabs>
          <w:tab w:leader="none" w:pos="10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WAKIX is not a stimulant. </w:t>
      </w:r>
      <w:r>
        <w:rPr>
          <w:rFonts w:ascii="Arial" w:cs="Arial" w:eastAsia="Arial" w:hAnsi="Arial"/>
          <w:sz w:val="18"/>
          <w:szCs w:val="18"/>
          <w:color w:val="auto"/>
        </w:rPr>
        <w:t>Stimulants are one of the most commonly prescribed treatments for patients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narcolepsy and have the potential for abuse so their use must be considered carefully by health care providers (“HCPs”) and patients. Unlike stimulants, in clinical trials, WAKIX showed no evidence for the development of drug tolerance or withdrawal symptoms. In addition, unlike stimulants, WAKIX does not increase dopamine levels in the brain’s reward center, which contributes to its lack of abuse potential.</w:t>
      </w:r>
    </w:p>
    <w:p>
      <w:pPr>
        <w:spacing w:after="0" w:line="166" w:lineRule="exact"/>
        <w:rPr>
          <w:rFonts w:ascii="Times New Roman" w:cs="Times New Roman" w:eastAsia="Times New Roman" w:hAnsi="Times New Roman"/>
          <w:sz w:val="18"/>
          <w:szCs w:val="18"/>
          <w:color w:val="auto"/>
        </w:rPr>
      </w:pPr>
    </w:p>
    <w:p>
      <w:pPr>
        <w:jc w:val="both"/>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WAKIX can be used as monotherapy or administered concomitantly with other narcolepsy treatments. </w:t>
      </w:r>
      <w:r>
        <w:rPr>
          <w:rFonts w:ascii="Arial" w:cs="Arial" w:eastAsia="Arial" w:hAnsi="Arial"/>
          <w:sz w:val="18"/>
          <w:szCs w:val="18"/>
          <w:color w:val="auto"/>
        </w:rPr>
        <w:t>Narcolepsy is a difficult disorder to manage, and the majority of narcolepsy patients often require multiple medications to treat their symptoms. WAKIX was studied in combination with each of modafinil and sodium oxybate (two common treatments for narcolepsy) and demonstrated no effect on the pharmacokinetic (“PK”) profile of either treatment, and neither treatment had a clinically relevant effect on the PK profile of WAKIX. We believe the ability of WAKIX to be taken as monotherapy or concomitantly with other narcolepsy medications affords HCPs the flexibility to better manage their patients with narcolepsy.</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WAKIX is a once-daily oral tablet administered in the morning upon wakening</w:t>
      </w:r>
      <w:r>
        <w:rPr>
          <w:rFonts w:ascii="Arial" w:cs="Arial" w:eastAsia="Arial" w:hAnsi="Arial"/>
          <w:sz w:val="18"/>
          <w:szCs w:val="18"/>
          <w:color w:val="auto"/>
        </w:rPr>
        <w:t>. Patients have identified a</w:t>
      </w:r>
      <w:r>
        <w:rPr>
          <w:rFonts w:ascii="Arial" w:cs="Arial" w:eastAsia="Arial" w:hAnsi="Arial"/>
          <w:sz w:val="18"/>
          <w:szCs w:val="18"/>
          <w:b w:val="1"/>
          <w:bCs w:val="1"/>
          <w:color w:val="auto"/>
        </w:rPr>
        <w:t xml:space="preserve"> </w:t>
      </w:r>
      <w:r>
        <w:rPr>
          <w:rFonts w:ascii="Arial" w:cs="Arial" w:eastAsia="Arial" w:hAnsi="Arial"/>
          <w:sz w:val="18"/>
          <w:szCs w:val="18"/>
          <w:color w:val="auto"/>
        </w:rPr>
        <w:t>need for treatment options that are easier to take and are dosed less frequently. We believe that once-daily dosing with WAKIX addresses this need and may help improve patient compliance with treatment.</w:t>
      </w:r>
    </w:p>
    <w:p>
      <w:pPr>
        <w:spacing w:after="0" w:line="14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U.S. narcolepsy market had an approximate net sales value of $3.1 billion in 2025. The market is expected to continue to grow based on several factors, including, but not limited to, the introduction of new innovative therapies that offer novel mechanisms of action resulting in improved safety/tolerability profiles while delivering clinically meaningful efficacy, additional investment in education, increased rates of diagnosis, and population growth.</w:t>
      </w:r>
    </w:p>
    <w:p>
      <w:pPr>
        <w:spacing w:after="0" w:line="1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Net product revenue related to the sales of WAKIX was $868.5 million for the year ended December 31, 2025. As of December 31, 2025, we continued to see growth in unique HCPs prescribing WAKIX since it became available in November 2019. The average number of patients on WAKIX in the fourth quarter of 2025 was approximately 8,500.</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Pipeline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Development Pipeline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146050</wp:posOffset>
            </wp:positionV>
            <wp:extent cx="6172200" cy="2743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Sleep/Wake Franchise</w:t>
      </w:r>
    </w:p>
    <w:p>
      <w:pPr>
        <w:spacing w:after="0" w:line="21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b w:val="1"/>
          <w:bCs w:val="1"/>
          <w:color w:val="auto"/>
        </w:rPr>
        <w:t xml:space="preserve">Pitolisant. </w:t>
      </w:r>
      <w:r>
        <w:rPr>
          <w:rFonts w:ascii="Arial" w:cs="Arial" w:eastAsia="Arial" w:hAnsi="Arial"/>
          <w:sz w:val="18"/>
          <w:szCs w:val="18"/>
          <w:color w:val="auto"/>
        </w:rPr>
        <w:t>We believe that pitolisant’s ability to regulate histamine and histaminergic signaling gives it the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to provide therapeutic benefit in other disorders that are mediated through the H</w:t>
      </w:r>
      <w:r>
        <w:rPr>
          <w:rFonts w:ascii="Arial" w:cs="Arial" w:eastAsia="Arial" w:hAnsi="Arial"/>
          <w:sz w:val="11"/>
          <w:szCs w:val="11"/>
          <w:color w:val="auto"/>
        </w:rPr>
        <w:t>3</w:t>
      </w:r>
      <w:r>
        <w:rPr>
          <w:rFonts w:ascii="Arial" w:cs="Arial" w:eastAsia="Arial" w:hAnsi="Arial"/>
          <w:sz w:val="18"/>
          <w:szCs w:val="18"/>
          <w:color w:val="auto"/>
        </w:rPr>
        <w:t xml:space="preserve"> receptor and histamine signaling and offers a </w:t>
      </w:r>
      <w:r>
        <w:rPr>
          <w:rFonts w:ascii="Arial" w:cs="Arial" w:eastAsia="Arial" w:hAnsi="Arial"/>
          <w:sz w:val="18"/>
          <w:szCs w:val="18"/>
          <w:i w:val="1"/>
          <w:iCs w:val="1"/>
          <w:color w:val="auto"/>
        </w:rPr>
        <w:t>portfolio in a product</w:t>
      </w:r>
      <w:r>
        <w:rPr>
          <w:rFonts w:ascii="Arial" w:cs="Arial" w:eastAsia="Arial" w:hAnsi="Arial"/>
          <w:sz w:val="18"/>
          <w:szCs w:val="18"/>
          <w:color w:val="auto"/>
        </w:rPr>
        <w:t xml:space="preserve"> opportunity. We have continued to pursue label expansion of WAKIX in narcolepsy and seek new indications in rare neurological disease patient populations that have EDS as a prominent symptom, along with other symptoms mediated by central nervous system (“CNS”) histamine signaling including: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Idiopathic Hypersomnia</w:t>
      </w:r>
    </w:p>
    <w:p>
      <w:pPr>
        <w:spacing w:after="0" w:line="21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IH is a rare central disorder of hypersomnolence characterized by EDS, non-refreshing sleep and sleep inertia. There are approximately 80,000 patients with IH in the U.S., with approximately 40,000 diagnosed. Pitolisant was studied in a phase 3 registrational study for treatment of symptoms of IH. However, pitolisant did not show a statistically significant difference compared to placebo in the randomized withdrawal period of the study, despite showing clinically meaningful improvements in the initial open-label part of the study. An sNDA was submitted and we received a refusal-to-file letter in February 2025. We are currently pursuing IH with Pitolisant HD.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Prader-Willi Syndrome</w:t>
      </w:r>
    </w:p>
    <w:p>
      <w:pPr>
        <w:spacing w:after="0" w:line="196"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18"/>
          <w:szCs w:val="18"/>
          <w:color w:val="auto"/>
        </w:rPr>
        <w:t>PWS is a rare genetic disorder caused by a loss of function of specific genes on the long arm of chromosome 15 resulting in hypothalamic dysfunction. The hypothalamus controls both sleep-wake states and hunger-satiety; therefore, two of the main symptoms in patients with PWS are hyperphagia and EDS. It is estimated that approximately 15,000 to 20,000 people in the United States suffer from PWS, and over half of the patients living with PWS experience EDS.</w:t>
      </w:r>
    </w:p>
    <w:p>
      <w:pPr>
        <w:spacing w:after="0" w:line="16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December 2020, we initiated a Phase 2 proof-of-concept clinical trial to evaluate pitolisant for the treatment of EDS and other key symptoms in patients with PWS, including behavioral symptoms and cognitive impairment. Topline results from this clinical proof-of-concept trial were reported in November 2022 and showed a positive signal on improvement in the primary outcome related to EDS. Based on the positive signals from our Phase 2 proof-of-concept signal detection clinical trial, an End-of-Phase 2 meeting with the FDA was held in June 2023. We have aligned with the FDA on the proposed Phase 3 study design to support further investigation of pitolisant as a potential treatment to address the unmet medical need for children, adolescents and adults with PWS experiencing EDS, for which there is currently no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approved treatment. The Phase 3 TEMPO study in patients with PWS has the potential to serve as a registrational trial and will support our efforts to seek pediatric exclusivity for pitolisant. In February 2024, the FDA granted Orphan Drug designation to pitolisant for the treatment of PWS. We initiated the Phase 3 TEMPO study in the first quarter of 2024.</w:t>
      </w:r>
    </w:p>
    <w:p>
      <w:pPr>
        <w:spacing w:after="0" w:line="16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remain committed to obtaining pediatric exclusivity for WAKIX. The initiation of the PWS Phase 3 registrational trial, the TEMPO study, and the data in pediatric narcolepsy are supportive of our efforts in obtaining pediatric exclusivity for WAKIX. Our partner, Bioprojet completed a Phase 3 trial in pediatric patients with narcolepsy and in March 2023, the EMA granted approval for the marketing authorization of WAKIX for the treatment of narcolepsy with or without cataplexy in children six and older. Based on the data from the positive Phase 3 trial conducted by Bioprojet, we submitted an sNDA for pediatric narcolepsy in December 2023. In June 2024, we announced that the FDA approved our sNDA for WAKIX for the treatment of EDS in pediatric patients six years of age and older with narcolepsy. In addition, in June 2024, the FDA did not approve our sNDA seeking to expand the WAKIX label for the treatment of pediatric patients with cataplexy. In October 2024, we held a Type A meeting with the FDA to discuss the pediatric cataplexy indication and reached alignment on a path to sNDA resubmission, which was submitted in the third quarter of 2025. In February 2026, the FDA approved WAKIX for the treatment of cataplexy in pediatric patients six years and older with narcolepsy.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Myotonic Dystrophy Type 1</w:t>
      </w:r>
    </w:p>
    <w:p>
      <w:pPr>
        <w:spacing w:after="0" w:line="21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DM1, otherwise known as dystrophia myotonica, is the most common form of adult-onset muscular dystrophy and affects as many as 160,000 patients in the United States. In addition to myotonia, a progressive muscle weakness which is the core symptom in patients with DM1, EDS and fatigue are hallmark clinical characteristics in patients with DM1 and occur in approximately 80% to 90% of patients. There are currently no FDA-approved treatments for patients with DM1, which represents a significant unmet medical need. We believe the therapeutic application of pitolisant may provide benefits across the key symptoms of EDS and fatigue which are often among the chief complaints of patients with DM1. We opened an IND in January 2021 and initiated a Phase 2 proof-of-concept clinical trial in adult patients with DM1 in June of 2021. The topline data were released in December 2023 and showed clinically meaningful improvements in EDS and fatigue, the two most prominent non-muscular symptoms in patients with DM1. The safety and tolerability profile of pitolisant in adult patients with DM1 was consistent with the established safety profile of pitolisant with no new safety signals detected and no serious adverse events reported.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Next Gen Pitolisant Formulations: Pitolisant Gastro-Resistant and Pitolisant High-Dose</w:t>
      </w:r>
    </w:p>
    <w:p>
      <w:pPr>
        <w:spacing w:after="0" w:line="21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July 2022, we entered into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(see “Strategic Agreements” below). The 2022 LCA expands our opportunity in narcolepsy, and potentially other indications mutually agreed upon by the parties.</w:t>
      </w:r>
    </w:p>
    <w:p>
      <w:pPr>
        <w:spacing w:after="0" w:line="17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Pursuant to the 2022 LCA, we have made progress in the development of two new formulations of pitolisant: Pitolisant GR and Pitolisant HD. Both formulations entered clinical studies in the fourth quarter of 2023. We received data from the Pitolisant GR pilot bioequivalence study, which supports further development of Pitolisant GR. In addition, we completed the a dosing optimization study that supports initiating pitolisant GR at the therapeutic dose of 17.8mg without titration. We initiated the pivotal bioequivalence study in the first quarter of 2025 and announced positive topline data in November 2025. The pivotal bioequivalence study confirmed that 17.8mg of pitolisant GR is bioequivalent to existing 17.8mg WAKIX tablets. The pitolisant GR versus WAKIX area under the curve and Cmax ratios (%) were 108.46 h*ng/mL (90% CI 103.74 – 113.41) and 99.65 ng/mL (90% CI 91.95 – 108.00), respectively. No new safety or tolerability issues were reported. Additionally, the topline data from the dosing optimization study of pitolisant GR showed 100% of patients successfully initiated treatment at the therapeutic dose of 17.8mg, eliminating the need for dose titration. With positive findings from both the pivotal bioequivalence and dosing optimization studies, we are on track to submit a New Drug Application (“NDA”) for Pitolisant GR in early 2026 with a target PDUFA date in the first quarter of 2027. We received data from the Pitolisant HD pilot pharmacokinetics study in June 2024, which also supports advancing this development program toward pivotal trials. In addition, we submitted an Investigational New Drug (“IND”) application for pitolisant HD with the FDA to initiate Phase 3 registrational trials in narcolepsy and idiopathic hypersomnia (“IH”) in the fourth quarter of 2025. After receiving “Study May Proceed” letters from the FDA, the Phase 3 registrational study in narcolepsy, ONSTRIDE1, and the Phase 3 registrational study in IH, ONSTRIDE2, were initiated. We anticipate topline data from both studies in 2027 and a potential PDUFA date for the Pitolisant HD narcolepsy and IH programs in 2028. Utility patents have been filed for Pitolisant GR and Pitolisant HD, with the potential for patent protection to the mid-2040s.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exploring an opportunity to evaluate of new formulation of pitolisant for the treatment of fatigue in larger CNS indications The histaminergic mechanism of action is uniquely positions to address all three different dimensions of fatigue – physical, emotional and cognition. We have generated clinical data to support the utility of pitolisant to treat fatigue in the phase 2 proof-of-concept study in DM1, and in a phase 3 study for the treatment of residual sleepiness in patients with obstructive sleep apnea. We plan to evaluate this new formulation for fatigue in broader indications. with fatigue in multiple sclerosis (“MS”) as the lead indication, and to explore other potential opportunities such as fatigue in stroke and Parkinson’s disease. Our current efforts are focused on formulation optimization with new modes of delivery and towards a Phase 1 PK study.</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BP1.15205. </w:t>
      </w:r>
      <w:r>
        <w:rPr>
          <w:rFonts w:ascii="Arial" w:cs="Arial" w:eastAsia="Arial" w:hAnsi="Arial"/>
          <w:sz w:val="18"/>
          <w:szCs w:val="18"/>
          <w:color w:val="auto"/>
        </w:rPr>
        <w:t>In April 2024, we entered into the Sublicense with Bioprojet for BP1.15205, an orexin 2 receptor agonist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narcolepsy and other potential indications. Under the Sublicense, we have obtained the exclusive right to develop, manufacture and commercialize BP1.15205 in the United States and Latin American territories, which are rights that Bioprojet originally licensed from Teijin Pharma, the innovator of BP1.15205. In June 2025, we announced positive pre-clinical data demonstrating significant wake-promoting and cataplexy-suppressing effects in a standard transgenic mouse model of narcolepsy type 1and presented safety data from the three-month GLP toxicity studies in two different species. We filed an investigational medicinal product dossier (“IMPD”) with the EMA and began first-in-human studies in the fourth quarter of 2025 and are on-track to receive clinical PK data in mid-2026.</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HBS-102. </w:t>
      </w:r>
      <w:r>
        <w:rPr>
          <w:rFonts w:ascii="Arial" w:cs="Arial" w:eastAsia="Arial" w:hAnsi="Arial"/>
          <w:sz w:val="18"/>
          <w:szCs w:val="18"/>
          <w:color w:val="auto"/>
        </w:rPr>
        <w:t>In August 2021, we acquired HBS-102, a Melanin-concentrating hormone receptor type 1 (MCHR1) antagonist</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developed as CSTI-100/ALB-127258(a)/ALB-127258 (the “Compound”), along with intellectual property and other assets related to the development, manufacture, and commercialization of the Compound from ConSynance Therapeutics, Inc. We acquired full development and commercialization rights for HBS-102 globally, but we have provided an indication-limited grant-back license to ConSynance for the development and commercialization of the Compound in Greater China. We conducted a preclinical PoC study to assess the effect of HBS-102 on hyperphagia, weight gain and other metabolic parameters in a mouse model of PWS. The final report was received during the third quarter of 2024 and the results are consistent with the expected results. In addition, a 13-week toxicology study has been completed, and we believe the results are encouraging. We are evaluating HBS-102 in other pre-clinical experiments for additional potential indications.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Rare Epilepsy Franchise</w:t>
      </w:r>
    </w:p>
    <w:p>
      <w:pPr>
        <w:spacing w:after="0" w:line="21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b w:val="1"/>
          <w:bCs w:val="1"/>
          <w:color w:val="auto"/>
        </w:rPr>
        <w:t xml:space="preserve">EPX-100 (clemizole hydrochloride). </w:t>
      </w:r>
      <w:r>
        <w:rPr>
          <w:rFonts w:ascii="Arial" w:cs="Arial" w:eastAsia="Arial" w:hAnsi="Arial"/>
          <w:sz w:val="18"/>
          <w:szCs w:val="18"/>
          <w:color w:val="auto"/>
        </w:rPr>
        <w:t>EPX-100 is a serotonin (5HT-2) receptor agonist evaluated for DEEs, initially</w:t>
      </w:r>
      <w:r>
        <w:rPr>
          <w:rFonts w:ascii="Arial" w:cs="Arial" w:eastAsia="Arial" w:hAnsi="Arial"/>
          <w:sz w:val="18"/>
          <w:szCs w:val="18"/>
          <w:b w:val="1"/>
          <w:bCs w:val="1"/>
          <w:color w:val="auto"/>
        </w:rPr>
        <w:t xml:space="preserve"> </w:t>
      </w:r>
      <w:r>
        <w:rPr>
          <w:rFonts w:ascii="Arial" w:cs="Arial" w:eastAsia="Arial" w:hAnsi="Arial"/>
          <w:sz w:val="18"/>
          <w:szCs w:val="18"/>
          <w:color w:val="auto"/>
        </w:rPr>
        <w:t>in DS and LGS, because of the established serotonergic mechanism of action in DEEs and based on the positive results from the zebra fish model. Patients with DS and LGS often encounter severe refractory epilepsy and extreme co-morbidities or mortality without effective treatments, even with polypharmacy. As such, there is a recognized need for improved treatment options for both conditions. We believe the total addressable market for EPX-100 among patients with DS is approximately 5,000 people based on an estimated current DS prevalence of approximately 8,600 cases and approximately 7,000 diagnosed DS cases. We believe the total addressable market for EPX-100 among patients with LGS is approximately 35,000 people based on an estimated current LGS prevalence of approximately 48,000 cases and 44,000 diagnosed LGS cases. EPX-100 has been granted orphan drug designation and rare pediatric disease designation by the FDA for treatment of both DS and LGS. EPX-100 is currently in two Phase 3 registrational clinical trials, one for each of DS (the ARGUS Study) and LGS (the LIGHTHOUSE Study). In December 2025, we announced initial open-label extension data from the ARGUS Study, which showed clinically meaningful reductions in seizure activity in participants with DS and a favorable benefit-risk profile.</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b w:val="1"/>
          <w:bCs w:val="1"/>
          <w:color w:val="auto"/>
        </w:rPr>
        <w:t xml:space="preserve">EPX-200 (liquid formulation of lorcaserin). </w:t>
      </w:r>
      <w:r>
        <w:rPr>
          <w:rFonts w:ascii="Arial" w:cs="Arial" w:eastAsia="Arial" w:hAnsi="Arial"/>
          <w:sz w:val="18"/>
          <w:szCs w:val="18"/>
          <w:color w:val="auto"/>
        </w:rPr>
        <w:t>We are currently developing EPX-200, a selective 5HT-2C agonist for</w:t>
      </w:r>
      <w:r>
        <w:rPr>
          <w:rFonts w:ascii="Arial" w:cs="Arial" w:eastAsia="Arial" w:hAnsi="Arial"/>
          <w:sz w:val="18"/>
          <w:szCs w:val="18"/>
          <w:b w:val="1"/>
          <w:bCs w:val="1"/>
          <w:color w:val="auto"/>
        </w:rPr>
        <w:t xml:space="preserve"> </w:t>
      </w:r>
      <w:r>
        <w:rPr>
          <w:rFonts w:ascii="Arial" w:cs="Arial" w:eastAsia="Arial" w:hAnsi="Arial"/>
          <w:sz w:val="18"/>
          <w:szCs w:val="18"/>
          <w:color w:val="auto"/>
        </w:rPr>
        <w:t>DEEs. EPX-200 is currently in the pre-IND phase.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Neurobehavioral Franchise</w:t>
      </w:r>
    </w:p>
    <w:p>
      <w:pPr>
        <w:spacing w:after="0" w:line="21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October 2023, we acquired Zynerba Pharmaceuticals, Inc. (“Zynerba”), adding global rights to develop, manufacture and commercialize ZYN002, which is a pharmaceutically manufactured 100% synthetic, patent protected permeation enhanced cannabidiol gel for transdermal delivery. In September 2025, we completed a Phase 3 registrational trial of ZYN002, the RECONNECT study, for the treatment of Fragile X Syndrome (“FXS”), which was designed to confirm the positive findings from the prespecified analysis of the primary outcome in the subgroup of patients with complete methylation from the Phase 2/3 CONNECT study conducted by Zynerba. The RECONNECT study did not meet the primary endpoint of improvement in social avoidance primarily due to a higher-than-expected placebo response rate. Additionally,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 open-label phase 2 proof-of-concept study conducted by Zynerba showed positive signals for ZYN002 in the treatment of behavioral symptoms associated with 22q deletion syndrome, a disorder caused by a small missing piece on the long arm of the 22nd chromosome. After an in-depth review of the data from the RECONNECT study, the ZYN002 program in FXS is being phased out and we are no longer pursuing an indication for 22q deletion syndrome.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color w:val="auto"/>
        </w:rPr>
        <w:t xml:space="preserve">WAKIX. </w:t>
      </w:r>
      <w:r>
        <w:rPr>
          <w:rFonts w:ascii="Arial" w:cs="Arial" w:eastAsia="Arial" w:hAnsi="Arial"/>
          <w:sz w:val="18"/>
          <w:szCs w:val="18"/>
          <w:color w:val="auto"/>
        </w:rPr>
        <w:t>Our industry is highly competitive and subject to rapid and significant change as research provides a</w:t>
      </w:r>
      <w:r>
        <w:rPr>
          <w:rFonts w:ascii="Arial" w:cs="Arial" w:eastAsia="Arial" w:hAnsi="Arial"/>
          <w:sz w:val="18"/>
          <w:szCs w:val="18"/>
          <w:b w:val="1"/>
          <w:bCs w:val="1"/>
          <w:color w:val="auto"/>
        </w:rPr>
        <w:t xml:space="preserve"> </w:t>
      </w:r>
      <w:r>
        <w:rPr>
          <w:rFonts w:ascii="Arial" w:cs="Arial" w:eastAsia="Arial" w:hAnsi="Arial"/>
          <w:sz w:val="18"/>
          <w:szCs w:val="18"/>
          <w:color w:val="auto"/>
        </w:rPr>
        <w:t>deeper understanding of rare neurological disorders, including narcolepsy, and as new therapies are developed. We face potential competition from multiple sources, including large pharmaceutical, biotechnology and specialty pharmaceutical companies. The key competitive factors affecting the success of WAKIX, and any other product candidates that we develop, if approved, are likely to be efficacy, safety, convenience, price, the level of generic competition and the availability of reimbursement from government and other third-party payors.</w:t>
      </w:r>
    </w:p>
    <w:p>
      <w:pPr>
        <w:spacing w:after="0" w:line="17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WAKIX competes with currently FDA-approved products for the treatment of EDS and/or cataplexy in adults and pediatric patients six years and older with narcolepsy, all of which are controlled substances. Jazz Pharmaceuticals’ Xyrem (sodium oxybate) is an FDA-approved product for the treatment of cataplexy or EDS in patients 7 years of age and older with narcolepsy. Xyrem is a Schedule III controlled substance available only through a restricted access Risk Evaluation and Mitigation Strategy (“REMS”) program. Xywav, a lower sodium formulation of Xyrem, was approved in July 2020, (became commercially available in November 2020), and is also a Schedule III controlled substance subject to the same restricted access REMS program as Xyrem. Provigil and Nuvigil, which are Schedule IV WPAs, and stimulants such as methylphenidate and amphetamine (both Schedule II controlled substances), are approved for the treatment of EDS in narcolepsy. Anti-depressants and certain other agents are sometimes used off-label for the treatment of cataplexy in narcolepsy. Axsome’s Sunosi (solriamfetol) was approved by the FDA in March 2019 and launched in July 2019. Sunosi (solriamfetol) is a Schedule IV controlled substance and is indicated to improve wakefulness in adult patients with EDS associated with narcolepsy or obstructive sleep apnea. It is not indicated for cataplexy in patients with narcolepsy. Additionally, Avadel Pharmaceuticals (acquired by Alkermes Plc in February 2026) launched a once nightly formulation version of sodium oxybate in June 2023. As of January 2023, Xyrem is now available as generic sodium oxybate – one version is marketed by Hikma Pharmaceuticals through their agreement with Jazz Pharmaceuticals (launched in January 2023), and the other version is marketed by Amneal Pharmaceuticals through their agreement with Jazz Pharmaceuticals (launched in July 2023). Additionally, in September 2025, the FDA approved Amneal Pharmaceuticals’ abbreviated new drug application (“ANDA”) for a generic sodium oxybate oral solution for cataplexy and EDS in individuals with narcolepsy. Other potential future competitive products are currently in development, including Axsome Therapeutics’ AXS-12 (reboxetine) product candidate, Suven Life Sciences’ SUVN-G3031 H3 inverse agonist product candidate, NLS Pharmaceutics mazindol ER product candidate and orexin 2 receptor agonist product candidates from Takeda, Jazz Pharmaceuticals/Sumitomo Pharma, Centessa and Alkermes among others.</w:t>
      </w:r>
    </w:p>
    <w:p>
      <w:pPr>
        <w:spacing w:after="0" w:line="19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believe WAKIX offers a meaningfully differentiated product profile that is competitive with each of the products listed above, some of which are only approved for EDS while others (Xyrem, Xywav, Lumryz and generic sodium oxybate) are approved for the treatment of both EDS and cataplexy in patients with narcolepsy. It should be noted that WAKIX has not been compared with these products in head-to-head clinical trials, but its non-scheduled status represents a distinct competitive advantage relative to those same products. Additionally, WAKIX is priced lower than Xyrem, Xywav, Lumryz and generic sodium oxybate, which we believe is a competitive advantage for WAKIX and may contribute to third-party payor preferences for WAKIX relative to each version of sodium oxybate. Conversely, WAKIX is priced higher than other competitors such as Provigil (modafinil), Nuvigil, Sunosi (armodafinil) and certain generic competitors, such as methylphenidate and amphetamine, which may contribute to third-party payor preferences for those lower-priced treatment options relative to WAKIX.</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color w:val="auto"/>
        </w:rPr>
        <w:t xml:space="preserve">PWS and DM1. </w:t>
      </w:r>
      <w:r>
        <w:rPr>
          <w:rFonts w:ascii="Arial" w:cs="Arial" w:eastAsia="Arial" w:hAnsi="Arial"/>
          <w:sz w:val="18"/>
          <w:szCs w:val="18"/>
          <w:color w:val="auto"/>
        </w:rPr>
        <w:t>Currently, there is one FDA approved therapy for PWS, Vykat XR (diazoxide choline), which was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in March 2025 and is sold by Soleno Therpeutics. Additionally, we are aware of several companies pursuing clinical development of therapies for PWS including, but not limited to, product candidates from Aardvark Therapeutics, Inc., Rhythm Pharmaceuticals, Inc. and Palobiofarma. Additionally, for DM1, there are several companies pursuing clinical development of therapies including, but not limited to, product candidates from Avidity Biosciences, Inc., Vertex Pharmaceuticals, Inc., Entrada Therapeutic, Inc. and PepGen, Inc.</w:t>
      </w:r>
    </w:p>
    <w:p>
      <w:pPr>
        <w:spacing w:after="0" w:line="165"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b w:val="1"/>
          <w:bCs w:val="1"/>
          <w:color w:val="auto"/>
        </w:rPr>
        <w:t xml:space="preserve">DS and LGS. </w:t>
      </w:r>
      <w:r>
        <w:rPr>
          <w:rFonts w:ascii="Arial" w:cs="Arial" w:eastAsia="Arial" w:hAnsi="Arial"/>
          <w:sz w:val="18"/>
          <w:szCs w:val="18"/>
          <w:color w:val="auto"/>
        </w:rPr>
        <w:t>There are multiple FDA approved therapies for the treatment of DS, LGS or both DS and LGS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products from Jazz Pharmaceuticals for the treatment of DS and LGS, UCB for the treatment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of DS and LGS, Biocodex for the treatment of DS, Eisai Co., Ltd. for the treatment of LGS, Janssen for the treatment of LGS, GlaxoSmithKline for the treatment of LGS, and Assertio Holdings for the treatment of LGS. We are also aware of several companies pursuing clinical development of therapies including, but not limited to, product candidates from Stoke Therapeutics for the treatment of DS, Encoded for the treatment of DS, Lundbeck for the treatment of DEE (including DS and LGS), Bright Minds for the treatment of DEE (including DS and LGS), and Praxis Precision Medicines for the treatment of DEE (including DS and LGS).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Supply and Distribution</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sell WAKIX to a limited number of specialty distributors, that, in turn, distribute WAKIX to patients. We do not currently own or operate facilities for product manufacturing, storage and distribution, or testing, but we have contracted directly with third parties for each of these functions.</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Manufacturing is subject to extensive regulation that imposes various procedural and documentation requirements that govern record keeping, manufacturing processes and controls, personnel, quality control and quality assurance, and more. Our systems and our contractors are required to be in compliance with these regulations, and compliance is assessed regularly through monitoring of performance and a formal audit program.</w:t>
      </w:r>
    </w:p>
    <w:p>
      <w:pPr>
        <w:spacing w:after="0" w:line="17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Our current supply chain for WAKIX involves several manufacturers that specialize in specific operations of the manufacturing process, specifically, intermediate and starting material manufacturing, drug substance manufacturing, and drug product manufacturing, labeling and secondary packaging, and distribution services:</w:t>
      </w:r>
    </w:p>
    <w:p>
      <w:pPr>
        <w:spacing w:after="0" w:line="169" w:lineRule="exact"/>
        <w:rPr>
          <w:sz w:val="20"/>
          <w:szCs w:val="20"/>
          <w:color w:val="auto"/>
        </w:rPr>
      </w:pPr>
    </w:p>
    <w:p>
      <w:pPr>
        <w:ind w:left="1000" w:hanging="317"/>
        <w:spacing w:after="0" w:line="270" w:lineRule="auto"/>
        <w:tabs>
          <w:tab w:leader="none" w:pos="10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Interor S.A. manufactures our BF4 and BF6 intermediate and starting material used in the active pharmaceutical ingredient (“API”).</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Corden Pharma Chenôve SAS, a full-service contract development and manufacturing organization (“CDMO”) manufactures our API.</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Procos, S.p.A. operates as an alternate drug substance manufacturing site for WAKIX API.</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Patheon UK Limited and Patheon Pharmaceuticals, Inc., CDMOs owned by Thermo Fisher Scientific Inc., manufacture our finished product tablets.</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Pharma Packaging Solutions, LLC dba Tjoapack, LLC, fills unlabeled bottles and performs labeling and secondary packaging.</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Cardinal Health, Inc. is our third-party logistics provider and manages reverse distribution, pharmaceutical returns and product recall, if needed.</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depend on two suppliers of the active pharmaceutical ingredient (“API”) for our commercial product, WAKIX, and single API suppliers for each of our potential product candidates.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the year ended December 31, 2025, three customers accounted for 100% of gross product revenue; Caremark LLC accounted for 38% of gross product revenue; Accredo Health Group, Inc. accounted for 36% of gross product revenue; and PANTHERx Specialty Pharmacy LLC accounted for 26% of gross product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and Commercialization Agreements with Bioprojet</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July 2017, we and Bioprojet entered into the 2017 LCA. Bioprojet granted to us an exclusive license to commercialize, in the United States and its territories, commonwealths, and protectorates, including Puerto Rico, a product containing pitolisant currently known as WAKIX for narcolepsy, obstructive sleep apnea, idiopathic hypersomnia, Parkinson’s disease, and any other indication agreed upon by the parties which currently include PWS and DM (“the field”), as well as rights to related patent rights, know-how, trademarks, trade dress, regulatory filings and approvals (the “Bioprojet Assets”). Bioprojet also granted us a co-exclusive (with Bioprojet) license to Bioprojet Assets to clinically develop and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register the pitolisant product in the field in the United States. Bioprojet retains the right to manufacture the product in the United States, and to develop outside the United States and commercialize other products that contain pitolisant as an active ingredient anywhere in the world. Bioprojet also granted us an exclusive license to use certain trademarks and trade names in connection with the commercialization of the product under the Bioprojet License Agreement.</w:t>
      </w:r>
    </w:p>
    <w:p>
      <w:pPr>
        <w:spacing w:after="0" w:line="17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paid Bioprojet an initial license fee of $150.0 million, a milestone payment of $ 50.0 million upon FDA acceptance of the NDA in February 2019, and a milestone payment of $75.0 million plus an additional $2.0 million fee for approval of the NDA in November 2019. In October 2020, we paid $2.0 million to Bioprojet to extend the Cataplexy Milestone Payment due date to within 90 days. In January 2021, we made the $100.0 million Cataplexy Milestone Payment in full to Bioprojet. The final milestone payment of $ 40.0 million was paid to Bioprojet in March 2022 upon the attainment of aggregate net sales of WAKIX in the United States of $500.0 million subsequent to the date of NDA approval by the FDA. Pursuant to the 2017 LCA, we agreed to pay royalties on the net sales of the product at tiered royalty rates of 13% to 24% based on annual total net sales during the period commencing on first commercial sale of the product and ending on the latest of 10 years from first commercial sale of the product, expiration of all regulatory exclusivity, or expiration of the last Bioprojet patent covering the product. Such royalty payments are subject to reductions based on royalties paid to any third party in order for us to commercialize the product. We also agreed to pay royalties on net sales of the product at a rate of 3% in consideration for a trademark license based on net sales for 20 years after first commercial sale of the product. We further agreed to pay minimum royalties during the third through tenth year of the Bioprojet License Agreement if the product is approved for narcolepsy to the extent such minimum royalties exceed the royalties payable as described above, which minimum amounts were calculated based on sales materially below our sales forecast.</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2017 LCA will continue until the expiration of the obligation to pay royalties with respect to the product. We and Bioprojet may each terminate the 2017 LCA for a material breach by the other party that remains uncured for 90 days. Bioprojet may terminate the 2017 LCA in its entirety if we or our sublicensees challenge the licensed patents. In addition, we and Bioprojet have the right to terminate the 2017 LCA upon the other party’s insolvency.</w:t>
      </w:r>
    </w:p>
    <w:p>
      <w:pPr>
        <w:spacing w:after="0" w:line="17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July 2022, we entered into the 2022 LCA with Bioprojet whereby we obtained exclusive rights to manufacture, use and commercialize one or more new products based on pitolisant in the United States and Latin America, with the potential to add additional indications and formulations upon the agreement of both parties. We paid an initial, non-refundable $ 30.0 million licensing fee in October 2022 and additional payments of up to $155.0 million are potentially due under the 2022 LCA upon the achievement of certain development and sales-based milestones. In addition, certain payments will become due upon the achievement of development milestones for new indications and formulations as agreed upon by both parties. The 2022 LCA also requires a fixed trademark royalty and a tiered royalty based on net sales upon commercialization, payable to Bioprojet on a quarterly basis for 10 years from the first commercial sale of each new product, the expiration of all regulatory exclusivity, or the expiration of the last Bioprojet patent covering the products. The $30.0 million licensing fee was recorded in research and development expenses within the consolidated statement of operations and comprehensive income (loss) for the year ended December 31, 2022.</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2022 LCA will continue until the expiration of the obligation to pay royalties with respect to each new product. Either party may terminate the 2022 LCA for a material breach by the other party that remains uncured for 90 days. Bioprojet may terminate the 2022 LCA in its entirety if we or our sublicensees challenge the licensed patents. In addition, we and Bioprojet have the right to terminate the 2022 LCA upon the other party’s insolvency.</w:t>
      </w:r>
    </w:p>
    <w:p>
      <w:pPr>
        <w:spacing w:after="0" w:line="17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April 2024, we entered into the Sublicense with Bioprojet for BP1.15205 to be evaluated for the treatment of narcolepsy and other potential indications. Under the Sublicense, we obtained the exclusive right to develop, manufacture and commercialize BP1.15205 in the United States and Latin American territories (the “Licensed Territories”), which are rights that Bioprojet originally licensed from Teijin Pharma, the innovator of BP115205. BP1.15205 is currently in pre-clinical development with IMPD submission anticipated in mid-2025. Under the Sublicense, we paid Bioprojet an upfront license fee of $25.5 million, which we recognized as an IPR&amp;D charge recorded in research and development within the consolidated statements of operations and comprehensive income for the year ended December 31, 2024. In November 2025, we achieved a clinical milestone for BP1.15205 that triggered a $ 4.3 million payment to Bioprojet under the Sublicense, which was paid in December 2025. We will also be obligated to pay up to $123.2 million upon the achievement of other development and regulatory milestones and up to $240.0 million upon the achievement of certain sales-based milestones, as well as royalty rates in the mid-teens on any sales of product using BP1.15205 in the Licensed Territories.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Intellectual Property</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Intellectual property, including patents, trade secrets, trademarks and copyrights, is important to our business. Our commercial success depends in part on our ability to obtain and maintain proprietary intellectual property protection for our WAKIX product and potential future pitolisant-based products, as well as for future product candidates and novel discoveries, product development technologies, and know-how. Our commercial success also depends in part on our ability to operate without infringing on the proprietary rights of others and to prevent others from infringing our proprietary rights. Our policy is to develop and maintain protection of our proprietary position by, among other methods, licensing or filing U.S. and foreign patents and applications relating to our technology, inventions, and improvements that are important to the development and implementation of our business.</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WAKIX patent portfolio consists of four U.S. patents and a U.S. patent application exclusively licensed to us from Bioprojet under the 2017 LCA. One U.S. Patent, No. 8,207,197, which has claims directed to the polymorph, i.e., a specific crystalline form, of pitolisant in WAKIX, and methods for preparing that polymorph of pitolisant, is expected to expire in March 2030 based on a granted request for patent term extension, and patent term adjustment, but without taking into consideration any possible pediatric exclusivity. A second U.S. Patent, No. 8,486,947, has claims directed to methods of treating excessive daytime sleepiness by administering pitolisant, which is expected to expire in September 2029 based on patent term adjustment. U.S. Patent No. 12,145,916 has composition claims directed to a second polymorph of pitolisant, and is expected to expire in March 2044, not including any possible extension of patent term.</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also license three pending U.S. patent applications from Bioprojet that claim the pitolisant GR and pitolisant HD formulations. Any patents that are issued from these applications are expected to expire in October 2044, without taking into consideration any possible adjustments of patent terms.</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Further, we filed a patent family that includes a pending Patent Cooperation Treaty (“PCT”) application, PCT/US2024/031835, and pending U.S. Patent Application No. 18/679,624, which claim methods of using pitolisant for treating EDS in subjects with PWS. Any patent that issues from these applications is expected to expire in May 2044, not including any possible adjustment to patent term.</w:t>
      </w:r>
    </w:p>
    <w:p>
      <w:pPr>
        <w:spacing w:after="0" w:line="17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HBS-102 patent portfolio comprises three patent families. The first patent family includes U.S. Patent No. 8,637,501, which has claims to certain melanin-concentrating hormone (MCH-1) receptor antagonists as compositions of matter, as well as methods of making the antagonists, and methods of use for treating obesity, anxiety, and depression, which is expected to expire in April 2031 based on patent term adjustment and without taking into consideration any possible patent term extension. A second patent family comprises three issued U.S. patents (Nos. 8,716,308; 9,296,743; and 9,650,378), and issued patents in Australia, Brazil, Canada, China, Germany, Spain, France, United Kingdom, Israel, Italy, Japan, Korea, Mexico, and New Zealand. The patents have claims directed to certain human MCH-1 receptor-selective antagonists as compositions of matter, and are expected to expire in June 2031 (the ‘308 patent) and January 2029 (the ‘743 and ‘378 patents, as well as the international patents). The third patent family comprises pending applications in the United States., Europe, Japan, China, and Hong Kong which have claims directed to therapeutic combinations or formulations of drugs comprising a melanin-concentrating hormone (“MCH-1”) receptor antagonist, and methods of treating or preventing hyperphagia, moderate to severe binge eating disorder, and bulimia nervosa, among other disorders, and management of obesity using an MCH-1 receptor agonist, and also has claims to certain MCH-1 receptor antagonists as compositions of matter.</w:t>
      </w:r>
    </w:p>
    <w:p>
      <w:pPr>
        <w:spacing w:after="0" w:line="18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Our EPX-100 patent family includes pending applications in the United States., Europe, Australia, Brazil, Canada, China, Hong Kong, Japan, Korea, and Eurasia. Any patent that issues from this patent family is expected to expire in June 2042, without taking into consideration any possible patent term extension or adjustment.</w:t>
      </w:r>
    </w:p>
    <w:p>
      <w:pPr>
        <w:spacing w:after="0" w:line="16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term of individual patents in our portfolio depends upon the legal term of patents in the countries in which they are obtained. In the United States, and in other foreign jurisdictions where we have sought patent protection, the patent term is 20 years from the earliest date of filing a non-provisional patent application. The term of a U.S. patent may be eligible for patent term adjustment, which permits patent term restoration as compensation for delays incurred at the U.S. Patent and Trademark Office (the “USPTO”) during the patent prosecution process. In addition, for patents that cover an FDA-approved drug, the Drug Price Competition and Patent Term Restoration Act of 1984 (the “Hatch-Waxman Act”) permits a patent term extension of up to five years beyond the expiration of the patent. While the length of the patent term extension is related to the length of time the drug is under regulatory review, patent term extension cannot extend the remaining term</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of a patent beyond a total of 14 years from the date of product approval, and only one patent per approved drug may be extended under the Hatch-Waxman Act.</w:t>
      </w:r>
    </w:p>
    <w:p>
      <w:pPr>
        <w:spacing w:after="0" w:line="15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patent positions of companies like ours are generally uncertain and involve complex legal and factual questions. Changes in either the patent laws or their interpretation in the United States, or in other foreign jurisdictions where we have sought patent protection,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enforcing patent claims that cover our technology, inventions and improvements. We cannot guarantee that patents will be granted with respect to any patent applications we may file in the future, nor can we be sure that any patents that may be granted to us in the future will be commercially useful in protecting our products, the methods of use, or the manufacture of those products. Moreover, issued patents do not guarantee the right to practice our technology in relation to the commercialization of our products. Issued patents only allow us to block potential competitors from practicing the claimed inventions of the issued patents.</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Further, patents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our issued patents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and/or our licensors also rely on protections under trade secret laws, and seek to protect and maintain the confidentiality of proprietary information to protect aspects of our business that are not amenable to, or that we do not consider appropriate for, patent protection. Our trade secrets include, for example, certain program specific synthesis, formulations, patient selection strategies and certain aspects of our research. It is our policy to require our employees, consultants, outside scientific collaborators, sponsored researchers and other advisors to execute confidentiality agreements upon the commencement of employment or consulting relationships with us, and for employees and consultants to enter into invention assignment agreements with us. These agreements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us, and as such, will become our property. There can be no assurance, however, that these agreements will provide meaningful protection or adequate remedies for our trade secrets in the event of unauthorized use or disclosure of such information.</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Further, we have in-licensed from Bioprojet the registered trademark product name “WAKIX” in the United States. We also have registered trademark protection in the United States for “KNOW NARCOLEPSY,” “REM AT THE WRONG TIME” and “NON-REM AT THE WRONG TIME,” as well as our brand and logo “HB,” “HB HARMONY BIOSCIENCES” and “HARMONY BIOSCIENCES.”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products and product candidates.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Drug Development Process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the United States, the FDA regulates drugs under the Federal Food, Drug, and Cosmetic Act (the “FDCA”) and its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or sNDAs,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54" w:lineRule="exact"/>
        <w:rPr>
          <w:sz w:val="20"/>
          <w:szCs w:val="20"/>
          <w:color w:val="auto"/>
        </w:rPr>
      </w:pPr>
    </w:p>
    <w:p>
      <w:pPr>
        <w:ind w:left="1000" w:hanging="317"/>
        <w:spacing w:after="0" w:line="270" w:lineRule="auto"/>
        <w:tabs>
          <w:tab w:leader="none" w:pos="10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certain preclinical laboratory tests, animal studies and formulation studies in compliance with the FDA’s Good Laboratory Practice (“GLP”) regulations and other applicable regulations;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independent institutional review board (“IRB”) or ethics committee at each clinical site before each trial may be initiated;</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human clinical trials in accordance with Good Clinical Practice (“GCP”) regulations to evaluate the safety and efficacy of the proposed drug product for each indication;</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NDA after completion of all pivotal trials;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advisory committee review, if applicable;</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 (“cGMP”) requirements and to assure that the facilities, methods and controls are adequate to preserve the drug’s identity, strength, quality and purity;</w:t>
      </w:r>
    </w:p>
    <w:p>
      <w:pPr>
        <w:spacing w:after="0" w:line="170"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potential inspection of selected clinical investigation sites to assess compliance with GCPs; and</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Preclinical Studies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Once a product candidate is identified for development, it enters the preclinical testing stage. Preclinical tests include laboratory evaluation of product chemistry, toxicity and formulation, as well as animal studies. An IND sponsor must submit the results of the preclinical tests, together with manufacturing information and analytical data, among other things, to the FDA as part of an IND. An IND is a request for authorization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The IND automatically becomes effective 30 days after receipt by the FDA, unless the FDA, within the 30-day time period, raises concerns or questions related to one or more proposed clinical trials and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 As a result, submission of an IND may not result in the FDA allowing clinical trials to commence.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Clinical Trials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All clinical trials must be conducted under the supervision of one or more qualified investigators in accordance with GCPs, which include, among other things, the requirement that all research subjects provide their informed consent in writing for their participation in any clinical trial. Clinical trials must be conducted under protocols detailing the objectives of the trial, dosing procedures, subject selection and exclusion criteria and the safety and effectiveness criteria to be evaluated. Each protocol must be submitted to the FDA as part of the IND, and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serious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Furthermore, an independent Institutional Review Board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Information about certain clinical trials must be submitted within specific timeframes to the NIH for public dissemination on their www.clinicaltrials.gov website.clinicaltrials.gov.</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212" w:lineRule="exact"/>
        <w:rPr>
          <w:sz w:val="20"/>
          <w:szCs w:val="20"/>
          <w:color w:val="auto"/>
        </w:rPr>
      </w:pPr>
    </w:p>
    <w:p>
      <w:pPr>
        <w:jc w:val="both"/>
        <w:ind w:left="1000" w:hanging="317"/>
        <w:spacing w:after="0" w:line="252" w:lineRule="auto"/>
        <w:tabs>
          <w:tab w:leader="none" w:pos="10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170" w:lineRule="exact"/>
        <w:rPr>
          <w:rFonts w:ascii="Times New Roman" w:cs="Times New Roman" w:eastAsia="Times New Roman" w:hAnsi="Times New Roman"/>
          <w:sz w:val="18"/>
          <w:szCs w:val="18"/>
          <w:color w:val="auto"/>
        </w:rPr>
      </w:pPr>
    </w:p>
    <w:p>
      <w:pPr>
        <w:jc w:val="both"/>
        <w:ind w:left="1000" w:right="20" w:hanging="317"/>
        <w:spacing w:after="0" w:line="252" w:lineRule="auto"/>
        <w:tabs>
          <w:tab w:leader="none" w:pos="10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Phase 2: The product candidate is administered to a limited patient population with a specified disease or condition to identify possible adverse effects and safety risks, to preliminarily evaluate the efficacy of the product for specific targeted diseases and to determine dosage tolerance and appropriate dosage.</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43" w:lineRule="auto"/>
        <w:tabs>
          <w:tab w:leader="none" w:pos="10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Phase 3: The product candidate is administered to an expanded patient population to further evaluate dosage, to provide substantial evidence of efficacy and to further test for safety,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such Phase 4 clinical trials as a condition of approval of an NDA.</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Marketing Approval</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Specifically,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for its intended use and whether its manufacturing is cGMP-compliant to assure and preserve the product’s identity, strength, quality and purity. Under the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it the application is submitted.</w:t>
      </w:r>
    </w:p>
    <w:p>
      <w:pPr>
        <w:spacing w:after="0" w:line="2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FDA also may require submission of a REMS to ensure that the benefits of the drug outweigh its risks. The REMS could include medication guides, physician communication plans, assessment plans, and/or elements to assure safe use, such as restricted distribution methods, patient registries, or other risk minimization tools. The FDA will not approve the NDA without an approved REMS, if required.</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An approval letter authorizes commercial marketing of the drug with specific prescribing information for specific indications. A complete response letter usually describes the specific deficiencies in the NDA identified by the FDA and may require additional clinical data, such as an additional clinical trial or other significant and time-consuming requirements related to clinical trials, nonclinical studies or manufacturing. Even with the resubmission of the application with this additional information, the FDA ultimately may decide that the application does not satisfy the regulatory criteria for approval.</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Even if the FDA approves a product, it may limit the approved indications for use of the product, require that contraindications, warnings or precautions be included in the product labeling, require that post-approval studies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FDA Expedited Development and Review Programs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FDA has a number of programs intended to expedite the development or review of a marketing application for an investigational drug. For example, the fast-track designation program is intended to expedite or facilitate the process for developing and reviewing product candidates that meet certain criteria. Specifically, investigational drugs are eligible for fast-track designation if they are intended to treat a serious or life-threatening disease or condition and demonstrate the potential to address unmet medical needs for the disease or condition. The sponsor of a fast-track product candidate has opportunities for more frequent interactions with the applicable FDA review team during product development and, once an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NDA is submitted, the application may be eligible for priority review. With regard to a fast track product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Any product candidate submitted to the FDA for approval, including a product candidate with a fast-track designation or breakthrough designation, may also be eligible for other types of FDA programs intended to expedite development and review, such as priority review. An NDA is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an NDA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addition, depending on the design of the applicable clinical trials, a product candidate may be eligible for accelerated approval. Specifically, drugs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drug receiving accelerated approval perform adequate and well-controlled confirmatory clinical trials and may require that such confirmatory trials be underway prior to granting accelerated approval. Drugs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Fast-track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Post-Approval Requirements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and advertising and promotion and reporting of adverse experiences with the product. After approval, most changes to the approved product, such as adding new indications, certain manufacturing changes and additional labeling claims are subject to further FDA review and approval. There also are continuing, annual program user fee requirements for any marketed products, as well as new application fees for supplemental applications with clinical data.</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Drug manufacturers and other entities involved in the manufacture and distribution of approved drugs are required to register their establishments with the FDA and certain state agencies and are subject to periodic unannounced inspections by the FDA and these certain state agencies for compliance with cGMPs and other laws and regulations. Changes to the manufacturing process are strictly regulated, and, depending on the significance of the change, may require prior FDA approval before being implemented. FDA regulations also require investigation and correction of any deviations from cGMP requirements and impose reporting and documentation requirements upon the sponsor and any third-party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manufacturers that the sponsor may decide to use. Accordingly, manufacturers must continue to expend time, money and effort in the area of production and quality control to maintain cGMP compliance.</w:t>
      </w:r>
    </w:p>
    <w:p>
      <w:pPr>
        <w:spacing w:after="0" w:line="15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Once an approval is granted,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79" w:lineRule="exact"/>
        <w:rPr>
          <w:sz w:val="20"/>
          <w:szCs w:val="20"/>
          <w:color w:val="auto"/>
        </w:rPr>
      </w:pPr>
    </w:p>
    <w:p>
      <w:pPr>
        <w:ind w:left="1000" w:right="20" w:hanging="317"/>
        <w:spacing w:after="0" w:line="270" w:lineRule="auto"/>
        <w:tabs>
          <w:tab w:leader="none" w:pos="10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mandated modification of promotional materials and labeling and the issuance of corrective information, safety alerts, Dear Healthcare Provider letters, press releases or other communications containing warning or other safety information about the product;</w:t>
      </w:r>
    </w:p>
    <w:p>
      <w:pPr>
        <w:spacing w:after="0" w:line="17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untitled letters, or holds on post-approval clinical trials;</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refusal of the FDA to approve pending NDAs or supplements to approved NDAs, or suspension or revocation of product approvals;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Marketing Exclusivity</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Market exclusivity provisions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FDCA alternatively provides three years of non-patent data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Orphan Drug Designation and Exclusivity</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which is a disease or condition that (i) affects fewer than 200,000 individuals in the United States, or (ii) if it affects more than 200,000 individuals in the United States and there is no reasonable expectation that the cost of developing and making the product available in the United States for the disease or condition will be recovered from sales of the product. Orphan designation must be requested before submitting an NDA. After the FDA grants an Orphan Drug Designation, the generic identity of the therapeutic agent and its potential orphan use are disclosed publicly by the FDA. Among other benefits of an Orphan Drug Designation are tax credits for certain research and a waiver of the user fee for the NDA. Orphan designation does not convey any advantage in, or shorten the duration of, the regulatory review and approval process.</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disease or condition,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disease or condition for which the orphan product has exclusivity. Orphan exclusivity also could block the approval of a competing product for seven years if a competitor obtains approval of the “same drug,” as defined by the FDA, or if the active moiety of the product candidate is determined to be contained within the competitor’s product for the same disease or condition. In addition, if an orphan designated product receives marketing approval for a disease or condition broader than what is designated, it may not be entitled to orphan exclusivity.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 Regulation</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Controlled Substances Act of 1970 (“CSA”) establishes registration, security, recordkeeping, reporting, storage, distribution and other requirements administered by the DEA. The DEA is concerned with the control of handlers of controlled substances, and with the equipment and raw materials used in their manufacture and packaging, in order to prevent loss and diversion into illicit channels of commerce.</w:t>
      </w:r>
    </w:p>
    <w:p>
      <w:pPr>
        <w:spacing w:after="0" w:line="17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The FDA did not recommend that the DEA schedule WAKIX as a controlled substance, and WAKIX is therefore not scheduled as a controlled substance by the DEA, however we are developing certain centrally acting product candidates that may have the potential for DEA</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scheduling, if approved</w:t>
      </w:r>
      <w:r>
        <w:rPr>
          <w:rFonts w:ascii="Times New Roman" w:cs="Times New Roman" w:eastAsia="Times New Roman" w:hAnsi="Times New Roman"/>
          <w:sz w:val="21"/>
          <w:szCs w:val="21"/>
          <w:color w:val="auto"/>
        </w:rPr>
        <w:t>.</w:t>
      </w:r>
    </w:p>
    <w:p>
      <w:pPr>
        <w:spacing w:after="0" w:line="20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DEA typically inspects a facility to review its security measures prior to issuing a registration. Security requirements vary by controlled substance schedule, with the most stringent requirements applying to Schedule I and Schedule II substances. Required security measures include background checks on employees and physical control of inventory through measures such as cages, surveillance cameras and inventory reconciliations. Records must be maintained for the handling of all controlled substances, and periodic reports made to the DEA, for example distribution reports for Schedule I and II controlled substances, Schedule III substances that are narcotics, and other designated substances. Reports must also be made for thefts or losses of any controlled substance, and to obtain authorization to destroy any controlled substance. In addition, special authorization and notification requirements apply to imports and exports.</w:t>
      </w:r>
    </w:p>
    <w:p>
      <w:pPr>
        <w:spacing w:after="0" w:line="18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addition, a DEA quota system controls and limits the availability and production of controlled substances in Schedule I or II. Distributions of any Schedule I or II controlled substance must also be accompanied by special order forms, with copies provided to the DEA. The DEA may adjust aggregate production quotas and individual production and procurement quotas from time to time during the year, although the DEA has substantial discretion in whether or not to make such adjustments. To meet its responsibilities, the DEA conducts periodic inspections of registered establishments that handle controlled substances. Individual states also regulate controlled substances.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addition to FDA regulation of pharmaceutical products, pharmaceutical companies are subject to federal healthcare laws and regulations as well as regulation by the states and foreign jurisdictions in which they conduct their business that restrict business practices in the pharmaceutical industry. These laws may impact, among other things, our current and future business operations, including our clinical research activities, and proposed sales, marketing and education programs and constrain the business or financial arrangements and relationships with healthcare providers and other parties through which we market, sell and distribute our products for which we obtain marketing approval. These laws include U.S. federal and state anti-kickback and false claims laws, civil monetary penalties laws, consumer protection and transparency laws as well as similar foreign laws in the jurisdictions outside the United States, including, without limitation, those laws described below.</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entity does not need to have actual knowledge of this statute or specific intent to violate it in order to have committed a violation.</w:t>
      </w:r>
    </w:p>
    <w:p>
      <w:pPr>
        <w:spacing w:after="0" w:line="17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federal civil and criminal false claims laws, including the civil False Claims Act, prohibit, among other things, any individual or entity from knowingly presenting, or causing to be presented, a false claim for payment to the federal government, knowingly making, using or causing to be made or used a false record or statement material to a false or fraudulent claim to the federal government, or from knowingly making a false statement to avoid, decrease or conceal an obligation to pay money to the federal government. Manufacturers can be held liable under the False Claims Act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civil False Claims Act and the civil monetary penalties statute. The False Claims Act also permits a private individual acting as a “whistleblower” to bring actions on behalf of the federal government alleging violations of the False Claims Act and to share in any monetary recovery.</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federal Civil Monetary Penalties Law prohibits, among other things, the offering or transferring of remuneration to a Medicare or Medicaid beneficiary that the person knows or should know is likely to influence the beneficiary’s selection of a particular supplier of Medicare or Medicaid payable items or services. Federal government price reporting laws require manufacturers to calculate and report complex pricing metrics to government programs.</w:t>
      </w:r>
    </w:p>
    <w:p>
      <w:pPr>
        <w:spacing w:after="0" w:line="17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federal Health Insurance Portability and Accountability Act of 1996 (“HIPAA”) created additional federal criminal statutes that prohibit, among other things, knowingly and willfully executing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knowledge of the healthcare fraud statute implemented under HIPAA or specific intent to violate it in order to have committed a violation.</w:t>
      </w:r>
    </w:p>
    <w:p>
      <w:pPr>
        <w:spacing w:after="0" w:line="15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(“CMS”) information related to payments or other transfers of value made to physicians (defined to include doctors, dentists, optometrists, podiatrists and chiropractors), certain non-physician practitioners (physician assistants, nurse practitioners, clinical nurse specialists, certified registered nurse anesthetists, anesthesiologist assistants, and certified nurse midwives) and teaching hospitals, and applicable manufacturers and applicable group purchasing organizations to report annually to CMS ownership and investment interests held by physicians and their immediate family members.</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information and marketing expenditures or which require tracking gifts and other remuneration and items of value provided to physicians, other healthcare providers and entities; and state and local laws that require the registration of pharmaceutical sales representatives.</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Violation of any of such laws or any other governmental regulations that apply may result in significant criminal, civil and administrative penalties including damages, fines, imprisonment, disgorgement, additional reporting requirements and oversight if we become subject to a corporate integrity agreement or similar agreement to resolve allegations of non-compliance with these laws, contractual damages, reputational harm, diminished profits and future earnings, disgorgement, exclusion from participation in government healthcare programs and the curtailment or restructuring of our operations. To the extent that any of our products are sold in a foreign country, we may be subject to similar foreign laws and regulations, which may include, for instance, applicable post-marketing requirements, including safety surveillance, anti-fraud and abuse laws, implementation of corporate compliance programs, and reporting of payments or transfers of value to healthcare professionals.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 Laws</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Pharmaceutical companies may be subject to U.S. federal and state health information privacy, security and data breach notification laws, which may govern the collection, use, disclosure and protection of health-related and other personal information. In the United States,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Department of Health and Human Services (“HHS”), affected individuals and if the breach is large enough, the media. Entities that are found to be in violation of HIPAA as the result of a breach of unsecured protected health information (“PHI”), a complaint about privacy practices or an audit by the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addition, certain state laws govern the privacy and security of health information in certain circumstances, some of which may be more stringent, broader in scope or offer greater individual rights with respect to PHI than HIPAA, many of which may differ from each other, thus, complicating compliance efforts. Failure to comply with these laws, where applicable, can result in the imposition of significant civil and/or criminal penalties and private litigation. For example, California recently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enacted legislation, the California Consumer Privacy Act (“CCPA”),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Further, the California Privacy Rights Act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w:t>
      </w:r>
    </w:p>
    <w:p>
      <w:pPr>
        <w:spacing w:after="0" w:line="18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Europe, the General Data Protection Regulation (“GDPR”), went into effect in May 2018 and imposes stringent data protection requirements for controllers and processors of personal data of persons within the European Economic Area (“EEA”). The GDPR applies to any company established in the EEA as well as to those outside the EEA if they collect and use personal data in connection with the offering of goods or services to individuals in the EEA or the monitoring of their behavior. The GDPR, together with national legislation, regulations and guidelines of the EEA member states and the United Kingdom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 Further, from January 1, 2021, companies have to comply with the GDPR and also the United Kingdom GDPR (“UK GDPR”) which, together with the amended UK Data Protection Act 2018, retains the GDPR in UK national law. The UK GDPR mirrors the fines under the GDPR (e.g. fines up to the greater of €20 million (£17.5 million) or 4% of global turnover). The relationship between the United Kingdom and the European Union in relation to certain aspects of data protection law remains unclear, and it is unclear how United Kingdom data protection laws and regulations will develop in the medium to longer term, and how data transfers to and from the United Kingdom will be regulated in the long term.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or extends that decision. European data protection authorities may interpret the GDPR, UK GDPR and national laws differently and impose additional requirements, which add to the complexity of processing personal data in or from the EEA or United Kingdom. Guidance on implementation and compliance practices are often updated or otherwise revised.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In the United States, no uniform policy exists for coverage and reimbursement for pharmaceutical products among third-party payors. Therefore, decisions regarding the extent of coverage and amount of reimbursement to be provided are made on a plan-by-plan basis. The process for determining whether a third-party payor will provide coverage for a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or place products at certain formulary levels that result in lower reimbursement levels and higher cost-sharing obligation imposed on patients. One third-party payor’s decision to cover a particular medical product or service does not ensure that other payors will also provide coverage for the medical product or service and the level of coverage and reimbursement can differ significantly from payor to payor. As a result, the coverage determination process will often require us to provide scientific and clinical support for the use of our products to each payor separately and can be a time-consuming process, with no assurance that coverage and adequate reimbursement will be applied consistently or obtained in the first instance. Additionally, a third-party payor’s decision to provide coverage for a product does not imply that an adequate reimbursement rate will be approved.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Furthermore, there can be no assurance that a product will be considered medically reasonable and necessary for a specific indication, that a product will be considered cost-effective by third-party payors, that an adequate level of reimbursement will be established even if coverage is available or that the third-party payors’ reimbursement policies will not adversely affect the ability to sell a product profitably.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The ACA was signed into law in 2010, which substantially changed the way healthcare is financed by both governmental and private insurers in the United States and significantly affected the pharmaceutical industry. Among the provisions of the ACA of importance to us and our business are an increase of the minimum level of Medicaid rebates payable by manufacturers of brand name drugs; expansion of manufacturer Medicaid rebate liability to include drugs paid by Medicaid managed care organizations; a non-deductible annual fee on pharmaceutical manufacturers or importers who sell certain “branded prescription drugs” to specified federal government programs; the new Patient-Centered Outcomes Research Institute to oversee, identify priorities in, and conduct comparative clinical effectiveness research; and the Center for Medicare and Medicaid Innovation at CMS to test innovative payment and service delivery models to lower Medicare and Medicaid spending.</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Since its enactment, there have been judicial, executive and Congressional legislative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Other legislative changes have also been proposed and adopted since the ACA was enacted, including aggregate reductions of Medicare payments to providers. The American Rescue Plan Act of 2021 eliminated the statutory cap on manufacturers’ Medicaid drug rebate liability, beginning January 1, 2024. The rebate was previously capped at 100% of a drug’s average manufacturer price.</w:t>
      </w:r>
    </w:p>
    <w:p>
      <w:pPr>
        <w:spacing w:after="0" w:line="17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in an attempt to control drug costs. The Inflation Reduction Act (the “IRA”) was enacted in 2022.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w:t>
      </w:r>
    </w:p>
    <w:p>
      <w:pPr>
        <w:spacing w:after="0" w:line="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2025). CMS has published the negotiated prices for the initial ten drugs, which became effective in 2026, and the subsequent 15 drugs, which will first be effective in 2027. CMS has also published the next set of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While the impact of the IRA on the pharmaceutical industry cannot yet be fully determined, it is likely to be significant.</w:t>
      </w:r>
    </w:p>
    <w:p>
      <w:pPr>
        <w:spacing w:after="0" w:line="17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Under the IRA manufacturer discount program that replaced the previous coverage gap discount program as of January 1, 2025, manufacturers must give a 10 percent discount on Part D drugs in the initial coverage phase, and a 20 percent discount on Part D drugs in the so-called “catastrophic phase” (the phase after the patient incurs costs above the initial phase out-of-pocket threshold, which is $2,000 beginning in 2025). The IRA allows the 10 and 20 percent discounts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to be phased in over time for certain drugs for “specified manufacturers.” CMS informed us that we are deemed a specified small manufacturer. We are still evaluating the potential impact of this status on our future revenues.</w:t>
      </w:r>
    </w:p>
    <w:p>
      <w:pPr>
        <w:spacing w:after="0" w:line="14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WAKIX or any other product candidate that we commercialize.</w:t>
      </w:r>
    </w:p>
    <w:p>
      <w:pPr>
        <w:spacing w:after="0" w:line="17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Trump administration is pursuing a two-fold strategy to reduce drug costs in the U.S. While it is unclear whether and how the Trump proposals will be implemented, the Trump policies are likely to have a negative impact on the pharmaceutical industry and may have a negative impact on our ability to receive adequate revenues for WAKIX.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w:t>
      </w:r>
    </w:p>
    <w:p>
      <w:pPr>
        <w:spacing w:after="0" w:line="17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Individual states in the United States have also become increasingly active in implementing regulations designed to control pharmaceutical product pricing, including price or patient reimbursement constraints, discounts, restrictions on certain product access, marketing cost disclosure, drug price reporting and other transparency measures. Some states have enacted legislation creating so-called prescription drug affordability boards, which ultimately may attempt to impose price limits on certain drugs in these states, and at least one state board is imposing an upper payment limit. States are also seeking to implement general, across the board price caps for pharmaceuticals, or are seeking to regulate drug distribution. Some measures are designed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third-party payors and governmental authorities in reference pricing systems and publication of discounts and list prices.</w:t>
      </w:r>
    </w:p>
    <w:p>
      <w:pPr>
        <w:spacing w:after="0" w:line="166"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We expect that additional state and federal healthcare reform measures, particularly in light of the new presidential administration, will be adopted in the future, any of which could limit the amounts that federal and state governments will pay</w:t>
      </w:r>
    </w:p>
    <w:p>
      <w:pPr>
        <w:spacing w:after="0"/>
        <w:rPr>
          <w:sz w:val="20"/>
          <w:szCs w:val="20"/>
          <w:color w:val="auto"/>
        </w:rPr>
      </w:pPr>
      <w:r>
        <w:rPr>
          <w:rFonts w:ascii="Arial" w:cs="Arial" w:eastAsia="Arial" w:hAnsi="Arial"/>
          <w:sz w:val="18"/>
          <w:szCs w:val="18"/>
          <w:color w:val="auto"/>
        </w:rPr>
        <w:t>for healthcare products and services, which could result in reduced demand for our products or additional pricing pressures</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corporate headquarters are located at 630 W. Germantown Pike, Plymouth Meeting, Pennsylvania. In December 2020, we leased additional office space at this same location, which increased our footprint to approximately 35,781 square feet of office space. In November 2025, we extended the lease for our corporate headquarters through March 31, 2031. As of December 31, 2025, 101 of our employees are located at our corporate headquarters. Pursuant to our right of use agreement with Paragon Biosciences, LLC (“Paragon”), we also utilize office space at 330 N. Wabash Ave, Suite 3500, Chicago, Illinois 60611, where 7 of our employees are located.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As of December 31, 2025, we had 293 full-time employees, 135 dedicated to commercial functions, which includes sales, marketing, market access, commercial operations, and insights, and 103 dedicated to research and development. None of our employees are represented by labor unions or covered by collective bargaining agreements. We consider our relationship with our employees to be good.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believe that our future success largely depends upon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including health care, retirement planning and paid time off.</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believe that much of our success is rooted in the diversity of our teams and our commitment to inclusion. We value diversity at all levels and focus on extending our diversity and inclusion initiatives across our entire workforce.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Social responsibility has always been integral to our core values. We are committed to doing business with integrity and ethics. We focus on providing our employees safe and healthy working conditions, and actively participate in the communities where we are located. In addition, we support philanthropic organizations, patient-focused associations, local and national charitable organizations, and areas of need across the country by providing monetary donations or supplying food, medical supplies and other resources. We collaborate with patient advocacy organizations to understand the needs of patients living with rare, neurological disorders, and are committed to addressing those needs.</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environmental, social and governance (”ESG”) and social impact strategy is directed by our Board and overseen by management and a cross-functional executive team comprised of Legal, Compliance, Human Resources, Corporate Affairs and Investor Relations. Our Board of Directors, through our Nominations and Governance Committee, has oversight over our strategic process. We conducted a materiality assessment, including engaging internal stakeholders and reviewing external standards, to inform the creation of an ESG framework, and set our goals and targets to address industry trends, laws and regulations, and stakeholder expectations. We will regularly evaluate our performance in meeting those goals. We may also engage with external organizations and experts to benchmark performance and identify best practices.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principal executive offices are located at 630 W. Germantown Pike, Plymouth Meeting, PA 19462, and our telephone number is (484) 539-9800. Our internet website is www.harmonybiosciences.com. We routinely make important information available on our website free of charge, including copies of our Annual Reports on Form 10-K, Quarterly Reports on Form 10-Q, Current Reports on Form 8-K and amendments to those reports filed or furnished pursuant to Section 13(a) or 15(d) of the Exchange Act, as soon as reasonably practicable after such reports are electronically filed with, or furnished to, the SEC. We recognize our website as a key channel of distribution to reach public investors and as a means of disclosing material non-public information to comply with our disclosure obligations under Regulation FD. Information contained on our website shall not be deemed incorporated into, or to be part of this Annual Report on Form 10-K, and any website references are not intended to be made through active hyperlinks.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and the other information included or incorporated by reference in this Annual Report on Form 10-K before making an investment in our common stock. Our business, financial condition, results of operations, or prospects could be materially and adversely affected if any of these risks occurs, and as a result, the market price of our common stock could decline and you could lose all or part of your investment. This Annual Report on Form 10-K also contains forward-looking statements that involve risks and uncertainties. See “Part I—Cautionary Note Regarding Forward-Looking Statements.” Our actual results could differ materially and adversely from those anticipated in these forward-looking statements as a result of certain factors, including those set forth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substantially dependent on the commercial success of our only approved product, WAKIX. If we are unable to maintain or increase sales of WAKIX, our ability to generate revenue and our financial condition will be adversely affected.</w:t>
      </w:r>
    </w:p>
    <w:p>
      <w:pPr>
        <w:spacing w:after="0" w:line="15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Historically, our business has been substantially dependent on WAKIX and our financial results have been significantly influenced by sales of WAKIX, which was approved for the treatment of EDS in adult patients with narcolepsy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August 2019 and for the treatment of cataplexy in adult patients with narcolepsy in October 2020. In June 2024, the FDA approved WAKIX for the treatment of excessive daytime sleepiness in pediatric patients six years and older with narcolepsy. In February 2026, the FDA approved WAKIX for the treatment of cataplexy in pediatric patients six years and older with narcolepsy. In addition to the risks discussed elsewhere in this section, our ability to generate revenue from sales of WAKIX depends on a number of factors, including, but not limited to:</w:t>
      </w:r>
    </w:p>
    <w:p>
      <w:pPr>
        <w:spacing w:after="0" w:line="176" w:lineRule="exact"/>
        <w:rPr>
          <w:sz w:val="20"/>
          <w:szCs w:val="20"/>
          <w:color w:val="auto"/>
        </w:rPr>
      </w:pPr>
    </w:p>
    <w:p>
      <w:pPr>
        <w:ind w:left="1000" w:right="20" w:hanging="317"/>
        <w:spacing w:after="0" w:line="270" w:lineRule="auto"/>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sales and marketing strategy and operations, and obtaining market acceptance of WAKIX, including garnering market share from existing and future treatment alternatives;</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compliance with all regulatory requirements applicable to WAKIX and our commercial activities, including the post-marketing requirements and post-marketing commitments required by the FDA;</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pricing pressure from, changes in policies by, or restrictions on reimbursement imposed by, third-party payors, including our ability to maintain adequate coverage and reimbursement for WAKIX;</w:t>
      </w:r>
    </w:p>
    <w:p>
      <w:pPr>
        <w:spacing w:after="0" w:line="154" w:lineRule="exact"/>
        <w:rPr>
          <w:rFonts w:ascii="Times New Roman" w:cs="Times New Roman" w:eastAsia="Times New Roman" w:hAnsi="Times New Roman"/>
          <w:sz w:val="18"/>
          <w:szCs w:val="18"/>
          <w:color w:val="auto"/>
        </w:rPr>
      </w:pPr>
    </w:p>
    <w:p>
      <w:pPr>
        <w:jc w:val="both"/>
        <w:ind w:left="1000" w:right="20" w:hanging="317"/>
        <w:spacing w:after="0" w:line="246" w:lineRule="auto"/>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continued acceptability of the safety profile of WAKIX and the occurrence of any unexpected side effects, adverse reactions or misuse, including the potential business impact of withdrawing the product (either voluntarily or as mandated by the FDA), loss of support by the advocacy communities or loss of positive corporate reputation resulting in unfavorable media coverage;</w:t>
      </w:r>
    </w:p>
    <w:p>
      <w:pPr>
        <w:spacing w:after="0" w:line="176"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managing third-party service providers involved in the manufacturing and development of pitolisant;</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completing the development of pitolisant in other indications by demonstrating safety, tolerability and efficacy profiles that are satisfactory to the FDA;</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regulatory approvals to market pitolisant for other indications;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complying with the terms of the license agreement with Bioprojet;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protecting and expanding the portfolio of intellectual property rights, including patents, trade secrets and knowhow, especially in light of potential competition from generic versions of pitolisant; and</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our efforts to market WAKIX for the treatment of EDS and/or cataplexy in adults and pediatric patients six years and older with narcolepsy, our revenue is dependent, in part, on the size of the markets in the United States, or in other territories where we may seek and obtain regulatory approval, the number of competitors in such markets, the acceptance of the price of WAKIX in those markets and the ability to obtain reimbursement at any price. If the number of our addressable patients is not as large as we estimate or the reasonably accepted population for treatment is narrowed by competition, physician choice or treatment guidelines, we may not generate significant revenue from sales of WAKIX. If we are not able to generate substantial revenue from the sale of WAKIX, we may not remain profitable.</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continued commercial success of WAKIX and any other product candidates we develop will depend on the degree of their market acceptance.</w:t>
      </w:r>
    </w:p>
    <w:p>
      <w:pPr>
        <w:spacing w:after="0" w:line="1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Even with the requisite approvals from the FDA and other regulatory authorities, the continued commercial success of WAKIX for the treatment of EDS and/or cataplexy in adults and pediatric patients six years and older with narcolepsy, and any other indications and product candidates we may develop, will depend on the degree of their acceptance by physicians, patients, third-party payors and others in the medical community. If WAKIX or any other product candidates we develop do not achieve an adequate level of market acceptance, we may not generate significant product revenue or 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profits from operations. The degree of market acceptance of WAKIX or any other product candidates we develop, if approved for commercial sale, will depend on a number of factors, some of which are beyond our control, including:</w:t>
      </w:r>
    </w:p>
    <w:p>
      <w:pPr>
        <w:spacing w:after="0" w:line="154" w:lineRule="exact"/>
        <w:rPr>
          <w:sz w:val="20"/>
          <w:szCs w:val="20"/>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and efficacy of the product as demonstrated in clinical trials;</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perception of physicians, patients, third-party payors and others in the medical community of the relative safety, efficacy, convenience, effect on quality-of-life and cost-effectiveness of the product, compared to those of other available treatments;</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product’s approved labeling, including the description of the product’s approved indications, the description of its efficacy, including the endpoints in which it showed an improvement, and the prevalence and severity of any side effects, including any associated limitations or warnings;</w:t>
      </w:r>
    </w:p>
    <w:p>
      <w:pPr>
        <w:spacing w:after="0" w:line="17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differentiate WAKIX or other approved products from other treatments in the same space;</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adoption of WAKIX as a first-line therapy for EDS and/or cataplexy in adults and pediatric patients six years and older with narcolepsy;</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any side effects, including those that may be discovered following approval and commercialization;</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treatments and of physicians to prescribe these treatments;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publicity concerning our products or competing products and treatments;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product liability litigation alleging injuries relating to our products or similar classes of drugs;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any post-approval study requirements for our products and the results thereof; and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sufficient third-party insurance coverage and reimbursement.</w:t>
      </w:r>
    </w:p>
    <w:p>
      <w:pPr>
        <w:spacing w:after="0" w:line="22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continuing efforts to educate physicians, patients, third-party payors and others in the medical community on the benefits and risks of WAKIX may require significant resources and may never be successful. The adoption of WAKIX could be limited if physicians prescribe it only as a second line therapy. Physicians may opt to prescribe the products of our competitors for a variety of reasons. For example, WAKIX did not demonstrate non-inferiority to modafinil and, as such, physicians and patients may choose modafinil rather than WAKIX. Furthermore, because the clinical response to WAKIX may take several weeks before addressing EDS and cataplexy symptoms, patients and physicians may choose other fast acting, stimulant and wake promoting agents over WAKIX. If WAKIX fails to achieve an adequate level of acceptance by physicians, patients, third-party payors and others in the medical community, we will not be able to generate sufficient revenue to become or remain profitable.</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cannot guarantee that WAKIX or any other product candidates we may seek to develop will ever be commercially successful, and to the extent they are not commercially successful, such product candidates would incur significant expense with no corresponding revenue. Because we expect the sales of WAKIX to generate substantially all of our revenue for the foreseeable future, the failure of WAKIX to find market acceptance would substantially harm our business and could require us to seek additional financing.</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opportunity for WAKIX or any future product candidate we develop may be smaller than we estimate.</w:t>
      </w:r>
    </w:p>
    <w:p>
      <w:pPr>
        <w:spacing w:after="0" w:line="21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potential market opportunity for WAKIX and any future product candidate is difficult to precisely estimate. Our estimates of the potential market opportunity for our product candidates include several key assumptions of the current market size and current pricing for commercially available products and are based on industry and market data obtained from industry publications, studies conducted by us, our industry knowledge, third-party research reports and other surveys. While we believe our estimates are reasonable and reliable, they may prove to be incorrect. Further, new studies may change the estimated incidence or prevalence of diseases and disorders. The number of patients may turn out to be lower than expected. Additionally, the potentially addressable patient population for WAKIX or any future product candidate we develop may be limited or may not be amenable to treatment with WAKIX or such future product candidate, and new patients may become increasingly difficult to identify or gain access to, which would adversely affect our results of operations and our business.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rely on our license agreements with Bioprojet to provide rights to the core intellectual property relating to pitolisant, and any termination or loss of significant rights under the agreement would adversely affect our development and/or commercialization of pitolisant.</w:t>
      </w:r>
    </w:p>
    <w:p>
      <w:pPr>
        <w:spacing w:after="0" w:line="15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have licensed our core intellectual property relating to pitolisant from Bioprojet. If, for any reason, our license and commercialization agreements with Bioprojet are terminated or we otherwise lose those rights, it would materially adversely affect our business. Pursuant to our license and commercialization agreements, we obtained intellectual property rights in connection with the commercialization of pitolisant in the United States and its territories, commonwealths and protectorates, including Puerto Rico, which includes an exclusive license to use certain intellectual property owned by Bioprojet related to clinically developing and commercializing the pitolisant product candidate for narcolepsy, obstructive sleep apnea, idiopathic hypersomnia and Parkinson’s Disease.</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Under the license agreements, Bioprojet is responsible for conducting all preclinical studies and clinical trials necessary for achieving and maintaining regulatory approval in the United States for narcolepsy and cataplexy indications, including all costs and expenses. We are responsible for all other costs associated with other development and regulatory activities, unless Bioprojet otherwise agrees to participate in funding such activities. We must obtain consent from Bioprojet before commencing any clinical trials related to pitolisant. Our ability to pursue indications other than the ones specifically enumerated in the license agreement is also contingent on mutual agreement of Bioprojet and us as to those indications and such agreement may be withheld at Bioprojet’s discretion. If Bioprojet denies consent for us to conduct clinical trials or pursue any such other indication for any reason, we will not have the right under our license and commercialization agreement to commercialize our product for such indication. In such event, Bioprojet may pursue commercialization of such indication for itself in our territory, or it may license the right to commercialize such indication in our territory to third parties, including our competitors.</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license and commercialization agreements also impose on us obligations relating to exclusivity, territorial rights, development, commercialization, funding, payment, diligence, sublicensing, insurance, intellectual property protection and other matters. For example, under the 2017 LCA and 2022 LCA, we cannot, directly or indirectly, develop, market, sell, promote or file an NDA with respect to any product that would compete with pitolisant in the field. If we breach any material obligations, or use the intellectual property licensed to us in an unauthorized manner, we may be required to pay damages to Bioprojet, and Bioprojet may have the right to terminate our license, which would result in us being unable to develop, manufacture and sell pitolisant and would materially adversely affect our business.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may not be successful in our efforts to identify other indications for pitolisant beyond EDS and/or cataplexy in adults and pediatric patients six years and older or, in-license, acquire, discover, develop or commercialize additional product candidates or on-market products.</w:t>
      </w:r>
    </w:p>
    <w:p>
      <w:pPr>
        <w:spacing w:after="0" w:line="15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Although a substantial amount of our effort is focused on the commercialization of WAKIX for the treatment of EDS and/or cataplexy in adults and pediatric patients six years and older with narcolepsy, we also may seek to identify, in-license or acquire, discover, develop and commercialize additional product candidates in the rare neurological disorders field, such as our recent Epygenix acquisition, and to identify other indications for pitolisant beyond the treatment of EDS and/or cataplexy in adults and pediatric patients six years and older with narcolepsy. We cannot assure you that our efforts to do so will be successful. Even if we are successful at in-licensing or acquiring additional product candidates, their requisite development activities may require substantial resources, and we cannot assure you that these development activities will result in regulatory approvals. We also cannot assure you that our efforts to develop and commercialize pitolisant for other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indications beyond the treatment of EDS in adult patients with narcolepsy and cataplexy in adult patients with narcolepsy will be successful.</w:t>
      </w:r>
    </w:p>
    <w:p>
      <w:pPr>
        <w:spacing w:after="0" w:line="15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Our business, products or product pricing could be subject to negative publicity, which could have a material adverse effect on our reputation, business, financial position, results of operations, liquidity and cash flows.</w:t>
      </w:r>
    </w:p>
    <w:p>
      <w:pPr>
        <w:spacing w:after="0" w:line="1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recent years, the pharmaceutical industry has been the subject of public complaints and significant publicity regarding the pricing of pharmaceutical products, including publicity and pressure resulting from prices charged by competitors and peer companies for new products as well as price increases by competitors and peer companies on older products that the public has deemed excessive. We may experience downward pricing pressure on the price of WAKIX and any other future approved products due to social or political pressure to lower the cost of drugs, which could reduce our revenue and future profitability. Orphan drugs in particular have received recent negative publicity for the perceived high prices charged for them by their manufacturers, and as a result orphan drug developers such as us may be negatively impacted by such publicity and any U.S. or other government regulatory response. Due to these factors, we may suffer public criticism and negative publicity in media coverage, by industry trade associations and legislators.</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Any of the events or developments described above could result in reputational harm and reduced market acceptance and demand for our products, could harm our ability to market our products in the future, could cause us to incur significant expense, could cause our senior management to be distracted from execution of our business strategy, and could have a material adverse effect on our business, reputation, financial condition, results of operations, liquidity, cash flows and/or share price.</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Third-party relationships are important to our business. If we are unable to enter into and maintain strategic collaborations or if these relationships are not successful, our business could be adversely affected.</w:t>
      </w:r>
    </w:p>
    <w:p>
      <w:pPr>
        <w:spacing w:after="0" w:line="1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have limited product development and distribution capabilities and we do not yet have any product manufacturing capabilities. In addition, we may enter into collaborations for the development and commercialization of certain of our product candidates. If we enter into such collaborations, we will have limited control over the amount and timing of resources that our collaborators will dedicate to the development or commercialization of our product candidates. Our ability to generate revenue from these arrangements will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 Relationships we enter into may pose a number of risks, including the following:</w:t>
      </w:r>
    </w:p>
    <w:p>
      <w:pPr>
        <w:spacing w:after="0" w:line="183" w:lineRule="exact"/>
        <w:rPr>
          <w:sz w:val="20"/>
          <w:szCs w:val="20"/>
          <w:color w:val="auto"/>
        </w:rPr>
      </w:pPr>
    </w:p>
    <w:p>
      <w:pPr>
        <w:ind w:left="1000" w:hanging="317"/>
        <w:spacing w:after="0" w:line="270" w:lineRule="auto"/>
        <w:tabs>
          <w:tab w:leader="none" w:pos="10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current or future third parties have, and future third-party collaborators may have, significant discretion in determining the efforts and resources that they will apply;</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not perform their obligations as expected;</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43" w:lineRule="auto"/>
        <w:tabs>
          <w:tab w:leader="none" w:pos="10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not pursue development and commercialization of any product candidates that we decide to develop as drugs and that achieve regulatory approval or may elect not to continue or renew development or commercialization programs based on clinical study or trial results, changes in the third parties’ strategic focus or available funding, or external factors, such as a strategic transaction that may divert resources or create competing priorities;</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delay preclinical studies or clinical trials, provide insufficient funding for a preclinical study or clinical trial, stop a preclinical study or clinical trial or abandon one of our product candidates, repeat or conduct clinical studies or new clinical trials or require a new formulation of a product candidate for clinical testing;</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46" w:lineRule="auto"/>
        <w:tabs>
          <w:tab w:leader="none" w:pos="10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could independently develop, or develop with other third parties, products that compete directly or indirectly with our products and product candidates if the third parties believe that the competitive products are more likely to be successfully developed or can be commercialized under terms that are more economically attractive than ours;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left="1000" w:hanging="317"/>
        <w:spacing w:after="0" w:line="252" w:lineRule="auto"/>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product candidates discovered in collaboration with us may be viewed by our current or future collaborators as competitive with their own product candidates or products, which may cause such third parties to cease to devote resources to the commercialization of our product candidates;</w:t>
      </w:r>
    </w:p>
    <w:p>
      <w:pPr>
        <w:spacing w:after="0" w:line="170"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fail to comply with applicable regulatory requirements regarding the development, manufacture, packaging, labeling, holding, distribution and/or marketing of a product candidate or product;</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with marketing and distribution rights to pitolisant or any future product candidates that achieve regulatory approval may not commit sufficient resources to the marketing and distribution of such product or products;</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43" w:lineRule="auto"/>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disagreements with third parties, including disagreements over proprietary rights, contract interpretation or the preferred course of development, might cause delays or terminations of the research, development or commercialization of pitolisant or any future product candidates, might lead to additional responsibilities for us with respect to pitolisant or any future product candidates, or might result in litigation or arbitration, any of which would be time-consuming and expensive;</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70"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infringe the intellectual property rights of other third parties, which may expose us to litigation and potential liability;</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if one of our third parties is involved in a business combination, the collaborator might deemphasize or terminate the development or commercialization of any product candidate licensed to it by us; and</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relationships may be terminated by the collaborator, and, if terminated, we could be required to raise additional capital to pursue further development or commercialization of the applicable product candidates.</w:t>
      </w:r>
    </w:p>
    <w:p>
      <w:pPr>
        <w:spacing w:after="0" w:line="15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If our relationships do not result in the successful discovery, development and commercialization of products or if a third party terminates its agreement with us, we may not receive any future research funding or milestone or royalty payments under the collaboration. If we do not receive the funding we expect under any third-party agreements we enter into, our development of pitolisant or any future product candidates could be delayed and we may need additional resources. Additionally, if any third party terminates its agreement with us, we may find it more difficult to attract new collaborators and our perception in the business and financial communities could be adversely affected.</w:t>
      </w:r>
    </w:p>
    <w:p>
      <w:pPr>
        <w:spacing w:after="0" w:line="17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Relationships are complex and time-consuming to negotiate and document. In addition, there have been a significant number of recent business combinations among large pharmaceutical companies that have resulted in a reduced number of future collaborators.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third parties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relationships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continue to rely on third parties to conduct our clinical trials for pitolisant and other product candidates that we decide to develop. If these third parties do not successfully carry out their contractual duties, meet expected deadlines or comply with regulatory requirements, we may not be able to obtain regulatory approval of or commercialize any potential product candidates on a timely basis or at all.</w:t>
      </w:r>
    </w:p>
    <w:p>
      <w:pPr>
        <w:spacing w:after="0" w:line="16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will continue to rely upon third parties, including independent investigators, to conduct preclinical studies or clinical trials under agreements with universities, medical institutions, CROs, strategic partners and others. We expect to have to negotiate budgets and contracts with CROs and study or trial sites, which may result in delays to our development timelines and increased costs.</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will have to rely heavily on third parties over the course of our preclinical studies and clinical trials and, as a result, will have limited control over the clinical investigators and limited visibility into their day-to-day activities, including with respect to their compliance with the approved clinical protocol and regulatory requirements. Nevertheless, we are responsible for ensuring that each of our preclinical studies and clinical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for clinical trials, which are regulations and guidelines enforced by the FDA and comparable foreign regulatory authorities for product candidates in clinical development.</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Regulatory authorities enforce these GCP requirements through periodic inspections of study or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clinical trials or perform additional clinical trials before approving our marketing applications. We cannot be certain that, upon inspection, such regulatory authorities will determine that any of our clinical trials comply with the GCP or other applicable requirements. In addition, our clinical trials must be conducted with drug products produced under cGMP requirements and may require a large number of patients. Our failure or any failure by these third parties to comply with these regulations, which would delay the regulatory approval or commercialization process. Moreover, our business may be implicated if any of these third parties violates federal or state laws or regulations including fraud and abuse or false claims laws and regulations or healthcare privacy and security laws.</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Any parties conducting our future clinical trials, if any, generally will not be our employees and, except for remedies that may be available to us under our agreements with the third parties conducting such clinical trials, if any, we cannot control whether or not they devote sufficient time and resources to our ongoing preclinical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current and future product candidates. As a result, our financial results and the commercial prospects for our current and future product candidates would be harmed, our costs could increase and our ability to generate revenue could be delayed.</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If any of our relationships with these third-party CROs or others terminate, we may not be able to enter into contractual and other arrangements with alternative CROs or other third parties in a timely manner to meet projected clinical development deadlines or to do so on commercially reasonable terms. Switching or adding additional CROs involves additional cost and requires management time and focus. In addition, there is a natural transition period when a new CRO begins work. As a result, delays may occur, which can materially affect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we experience delays in meeting or fail to meet the regulatory requirements for commercialization of our current or future potential product candidates, the commercial prospects for our product candidates may be harmed and our ability to generate revenue will be materially impaired.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We rely completely on third parties to manufacture and distribute our supply of WAKIX and our product candidates, including certain sole-source suppliers and manufacturers, and intend to rely on third parties to manufacture and distribute any future product candidates.</w:t>
      </w:r>
    </w:p>
    <w:p>
      <w:pPr>
        <w:spacing w:after="0" w:line="15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do not currently have, nor do we plan to acquire, the infrastructure or capability to manufacture or distribute commercial quantities of WAKIX or our product candidates. Our ability to commercially supply WAKIX and our ability to obtain adequate supplies of our product candidates for clinical studies depends, in part, on the ability of third-party manufacturers to supply and manufacture the raw materials, API and other important components related to the manufacture of WAKIX and our product candidates. We also rely on third parties to package the finished product. These third-party manufacturers have limited experience manufacturing the raw materials and API for WAKIX and our product candidates to be supplied to patients in the United States. We cannot guarantee that even minor changes in the process will result in products that are safe and, where applicable, effective. If we fail to develop and maintain supply relationships with these third parties, we may be unable to continue to successfully commercialize WAKIX and any product candidates that may receive approval.</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rely and will continue to rely on certain third parties as the sole source of the materials they supply or the finished products they manufacture. For example, we rely on Interor S.A., Corden Pharma Chenôve SAS and Patheon UK Limited to provide intermediate supply ingredients, API and finished products, respectively.</w:t>
      </w:r>
    </w:p>
    <w:p>
      <w:pPr>
        <w:spacing w:after="0" w:line="16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Additionally, we rely on our suppliers and manufacturers to purchase materials from other third parties. Any of our existing suppliers or manufacturers may:</w:t>
      </w:r>
    </w:p>
    <w:p>
      <w:pPr>
        <w:spacing w:after="0" w:line="154" w:lineRule="exact"/>
        <w:rPr>
          <w:sz w:val="20"/>
          <w:szCs w:val="20"/>
          <w:color w:val="auto"/>
        </w:rPr>
      </w:pPr>
    </w:p>
    <w:p>
      <w:pPr>
        <w:ind w:left="1000" w:right="20" w:hanging="317"/>
        <w:spacing w:after="0" w:line="270" w:lineRule="auto"/>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fail to supply us with product on a timely basis or in the requested amount due to unexpected damage to or destruction of facilities or equipment or otherwise;</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fail to increase manufacturing capacity and produce drug product and components in larger quantities and at higher yields in a timely or cost-effective manner, or at all, to sufficiently meet our commercial needs;</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be unable to meet our production demands due to issues related to their reliance on sole-source suppliers and manufacturers;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supply us with product that fails to meet regulatory requirements;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become unavailable through business interruption or financial insolvency;</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lose regulatory status as an approved source;</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be unable or unwilling to (i) honor current supply agreements or (ii) renew current supply agreements when such agreements expire on a timely basis, on acceptable terms or at all; or</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discontinue production or manufacturing of necessary drug substances or products.</w:t>
      </w:r>
    </w:p>
    <w:p>
      <w:pPr>
        <w:spacing w:after="0" w:line="22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event of any of the foregoing, if we do not have an alternative supplier or manufacturer in place, we would be required to expend substantial management time and expense to identify, qualify and transfer technical processes to alternative suppliers or manufacturers. Transferring technology to other sites may require additional processes, technologies and validation studies, which are costly, may take considerable amounts of time, may not be successful and, in most cases, require prior review and approval by the FDA. Any need to find and qualify new suppliers or manufacturers could significantly delay production of WAKIX, adversely impact our ability to market WAKIX, adversely impact the conduct of our clinical trials and adversely affect our business. There can be no assurance that replacements would be available to us on a timely basis, on acceptable terms or at all. While we currently maintain a robust supply of raw material inventory and a 12 month supply of finished goods inventory to ensure product availability, any interruption in the supply of a drug substance or other material or in the manufacture of WAKIX or our product candidates could have a material adverse effect on our business, financial condition, operating results and prospects.</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Additionally, although we are ultimately responsible for ensuring compliance with regulatory requirements such as cGMPs, we are dependent on our contract suppliers and manufacturers for day-to-day compliance with cGMP for production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of both drug substances and finished products. Facilities used by our contract suppliers and manufacturers to produce the drug substances and materials or finished products for commercial sale must undergo inspection and be approved by the FDA and other relevant regulatory authorities for the manufacture of our products. A number of our contract suppliers and manufacturers must comply with cGMP requirements enforced by the FDA through its facilities inspection program and review of submitted technical information. If the safety of WAKIX is compromised due to a failure to adhere to applicable laws or for other reasons, we may not be able to successfully commercialize our product and we may be held liable for injuries sustained as a result. In addition, the manufacturing facilities of certain of our suppliers are located outside of the United States. This may give rise to difficulties in importing our product into the United States or other countries as a result of, among other things, regulatory agency approval requirements, taxes, tariffs, local import requirements such as import duties or inspections, incomplete or inaccurate import documentation or defective packaging.</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Because a number of companies compete with us, many of which have greater resources than we do, and because we face rapid changes in science in our industry, we cannot be certain that our products will be accepted in the marketplace or capture market share.</w:t>
      </w:r>
    </w:p>
    <w:p>
      <w:pPr>
        <w:spacing w:after="0" w:line="15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Competition from other biotechnology and pharmaceutical companies is intense and is expected to increase. There may be a number of companies pursuing the development of pharmaceuticals in rare neurological disorders, our area of focus. These companies may be very large, and may have financial, technical, sales and distribution and other resources substantially greater than ours. The greater resources of these competitors may enable them to develop, obtain regulatory approval for or market competing products more quickly or effectively, making it extremely difficult for us to capture a share of the market for our product. We also face competition, and may in the future face additional competition, from manufacturers of generic drugs. Certain U.S. state laws allow for, and in some instances in the absence of specific instructions from the prescribing physician mandate, the dispensing of generic products rather than branded products when a generic version is available.</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Generic competition often results in decreases in the prices at which branded products can be sold. The commercial potential of our current products and any future products may be reduced or eliminated if our competitors develop or acquire and commercialize generic or branded products that are safer or more effective, have fewer side effects, are easier to administer or are less expensive than our products. We also face competition from off-label uses of approved drugs. Additionally, the biotechnology and pharmaceutical industries are subject to rapid changes in science, and our competitors may develop and market products with improved therapeutic profiles relative to pitolisant or any future product candidates that would render pitolisant or any future product candidates noncompetitive.</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need to increase the size and capabilities of our organization based on business need, and we may experience difficulties in managing our growth.</w:t>
      </w:r>
    </w:p>
    <w:p>
      <w:pPr>
        <w:spacing w:after="0" w:line="1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commenced operations in 2017 and, as of December 31, 2025, had 293 employees. As we advance the development of pitolisant in other indications and commercialize WAKIX as a treatment for EDS in adult patients with narcolepsy and cataplexy in adult patients with narcolepsy, we must continue to grow the size of the organization. Future growth will impose significant added responsibilities on members of management, including:</w:t>
      </w:r>
    </w:p>
    <w:p>
      <w:pPr>
        <w:spacing w:after="0" w:line="174" w:lineRule="exact"/>
        <w:rPr>
          <w:sz w:val="20"/>
          <w:szCs w:val="20"/>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recruiting, integrating, retaining and motivating additional employees;</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managing our development efforts, including the clinical development and FDA or other regulatory authority review processes for pitolisant or any future product candidates;</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managing any third-party service providers involved in the development and manufacture of pitolisant or any future product candidates; and</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Our future financial performance and our ability to successfully develop and commercialize WAKIX or any future product candidates will depend, in part, on our ability to effectively manage any future growth. Our management will have to dedicate a significant amount of its attention to managing these growth activities. In addition, we expect to incur additional costs in hiring, training and retaining such additional personnel.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we are not able to effectively expand our organization, we may not be able to successfully execute the tasks necessary to further develop and commercialize pitolisant or any future product candidates and, accordingly, may not achieve our research, development and commercialization goals.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future success depends on our ability to retain our key executives and to attract, retain and motivate qualified personnel.</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highly dependent on the principal members of our management and scientific teams. We do not maintain “key person” insurance for any of our executives or other employees. The loss of the services of any of these persons could impede the achievement of our research, development and commercialization objectives.</w:t>
      </w: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To encourage valuable employees to remain at our company, in addition to salary and cash incentives, we have provided equity award grants that vest over time. The value to employees of these equity grants that vest over time may be significantly affected by changes in the price of our common stock that are beyond our control, and may at any time be insufficient to retain employees who receive more lucrative offers from other companies. Any of our employees could leave our employment at any time, with or without notice.</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Recruiting and retaining qualified operations, finance and accounting, quality and compliance, scientific, clinical, manufacturing and sales and marketing personnel or consultants is also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If we are unable to attract, retain and motivate qualified and experienced personnel, it could harm our business, results of operations and financial condition. Even if we are successful in attracting and retaining such personnel, competition for such employees may significantly increase our compensation costs and adversely affect our business, results of operations and financial condition.</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loss of the services of any of our executive officers, key employees or consultants could seriously harm our ability to successfully implement our business strategy. Replacing executive officers, key employees or consultants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or consultants on acceptable terms given the competition among numerous pharmaceutical and biotechnology companies for similar personnel.</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may hire part-time employees or use consultants. As a result, certain of our employees, officers, directors or consultants may not devote all of their time to our business, and may from time to time serve as employees, officers, directors and consultants of other companies.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Public health pandemics, such as the COVID-19 pandemic, may result in disruptions to our commercialization, clinical trials, manufacturing and other business operations, which could have a material adverse effect on our business, financial condition, operating results, cash flows and prospects.</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A public health epidemic, such as the COVID-19 pandemic, poses the risk that we or our employees, contractors, suppliers, distributors and other partners, as well as physicians treating narcolepsy patients, may be prevented from conducting business and patient-care activities for an indefinite period of time, including due to shutdowns and quarantines that may be requested or mandated by governmental authorities. Beginning in March 2020, we had increased reliance on personnel working from home which may negatively impact productivity or disrupt, delay or otherwise adversely impact our business. In addition, remote working could increase our cyber security risk.</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General protective measures put into place at various governmental levels, including quarantines, travel restrictions and business shutdowns, may also negatively affect our operations. For example, the COVID-19 pandemic affected our ability to access HCPs, and caused fewer patients to visit their HCP, resulting in fewer prescriptions being written. Additionally, the effects of COVID-19 disrupted the supply chain and future pandemics could disrupt the manufacturing or shipment of WAKIX and of drug substance and finished drug product. For example, we may face supply chain and manufacturing limitations or difficulties as resources are allocated elsewhere. Any delays or interruptions in the manufacture and supply of WAKIX could result in delays for our planned clinical trials, impair our ability to meet demand for new WAKIX</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prescriptions and impede our clinical trial recruitment, testing, monitoring, data collection and analysis and other related activities.</w:t>
      </w:r>
    </w:p>
    <w:p>
      <w:pPr>
        <w:spacing w:after="0" w:line="15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Any of the foregoing factors could have a material adverse impact on our business, financial condition, operating results, cash flows and prospects. The extent to which any future pandemics impact our operations and those of our third-party partners will depend on future developments, which are highly uncertain and cannot be predicted with confidence, including the duration of the pandemic, additional or modified government actions, the severity of the pandemic, speed of the spread of a virus, and the actions taken to contain the virus or treat its impact, among others.</w:t>
      </w:r>
    </w:p>
    <w:p>
      <w:pPr>
        <w:spacing w:after="0" w:line="17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Any unplanned event, such as flood, fire, explosion, earthquake, extreme weather condition, medical epidemics, power shortage, telecommunication failure or other natural or manmade accidents or incidents that result in us being unable to fully utilize our facilities, the manufacturing facilities of our third-party contract manufacturers or our or their distribution networks, may have a material and adverse effect on our ability to operate our business, particularly on a daily basis, and have significant negative consequences on our financial and operating conditions. Loss of access to these facilities may result in increased costs, or interruptions in the commercialization of WAKIX or our business operations.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the manufacturing facilities of our third-party contract manufacturers or our or their distribution networks, or that otherwise disrupted operations, it may be difficult or, in certain cases, impossible, for us to continue our business for a substantial period of time.</w:t>
      </w:r>
    </w:p>
    <w:p>
      <w:pPr>
        <w:spacing w:after="0" w:line="18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8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could harm our business. Any real or perceived security breaches, loss of data, and other disruptions or incidents could compromise the privacy, security, integrity or confidentiality of sensitive information related to our business or prevent us from accessing critical information and expose us to liability and reputational harm, which could adversely affect our business, results of operations and financial condition.</w:t>
      </w:r>
    </w:p>
    <w:p>
      <w:pPr>
        <w:spacing w:after="0" w:line="17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collect and maintain data and information that is necessary to conduct our business, and we are increasingly dependent on information technology systems and infrastructure to operate our business, including systems infrastructure operated and maintained by our third-party suppliers or providers. In the ordinary course of our business, we collect, store and transmit large amounts of confidential information, including intellectual property, proprietary business information and personal information. It is critical that we do so in a secure manner to maintain the privacy, security, confidentiality and integrity of such confidential information. We have established physical, electronic and organizational measures to safeguard and secure our systems and facilities to prevent an information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or unauthorized access or use resulting from computer viruses, malware, natural disasters, terrorism, war, telecommunication and electrical failures, denial-of-service attacks, cyber- attacks or cyber-intrusions over the Internet, hacking, phishing and other social engineering attacks, attachments to emails, persons inside our organization (including employees or contractors), lost or stolen devices, or persons with access to systems inside our organization.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risk of a security breach or disruption or data loss, particularly through social engineering attacks,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There can be no assurance that our cybersecurity risk management program and processes, including our policies, controls or procedures, will be fully implemented, complied with or effective in protecting our systems and information.</w:t>
      </w:r>
    </w:p>
    <w:p>
      <w:pPr>
        <w:spacing w:after="0" w:line="18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may also experience security breaches that may remain undetected for an extended period. The costs to us to mitigate, investigate and respond to potential security incidents, breaches, disruptions,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Moreover, if a real or perceived security breach affects our systems (or those of our third-party providers or suppliers) or results in the loss of or accidental, unlawful or unauthorized access to, use of, release of or other processing of personally identifiable information or clinical trial data, our reputation could be materially damaged. In addition, such a breach may require notification to governmental agencies, the media or individuals pursuant to applicable data privacy and security laws. We would also be exposed to a risk of loss, negative publicity, harm to our reputation, governmental investigation and/or enforcement actions, claims or litigation and potential liability, which could materially adversely affect our business, results of operations and financial condition. The global data protection landscape is rapidly evolving, and we may be affected by or subject to new, amended or existing laws and regulations in the future, including as our operations continue to expand or if we begin to operate in foreign jurisdictions.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use of new and evolving technologies, such as artificial intelligence,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spacing w:after="0" w:line="14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may use and integrate artificial intelligence into our business processes both in our own development and implementation of models and through the adoption of commercially available tools. Use of this technology could pose cybersecurity, data privacy, IT, intellectual property, regulatory, legal, operational, competitive, reputational and other risks and challenges that could affect our business. Specifically, risks related to bias, AI hallucinations, discrimination, harmful content, misinformation, fraud, scams, targeted attacks such as model poisoning or data poisoning, surveillance, data leakage, loss of consensus reality, inequality, environmental harms, and other harms may flow from our development, use, or deployment of AI technologies.</w:t>
      </w:r>
    </w:p>
    <w:p>
      <w:pPr>
        <w:spacing w:after="0" w:line="17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rapid evolution of artificial intelligence will require the application of significant resources to design, develop, test and maintain processes to help ensure that artificial intelligence is implemented in accordance with applicable law and regulation and in a socially responsible manner and to minimize any real or perceived unintended harmful impacts. The development of artificial intelligence models requires resources for design, development, testing and maintenance. We must also endeavor to implement artificial intelligence in accordance with applicable law and regulation, in a socially responsible manner and to minimize any real or perceived unintended harmful impacts. If we enable or use models that contain actual or perceived biases, or otherwise draw controversy due to perceived or actual negative societal impact, we may experience brand or reputational harm, competitive harm or legal liability.</w:t>
      </w:r>
    </w:p>
    <w:p>
      <w:pPr>
        <w:spacing w:after="0" w:line="16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addition, the use of artificial intelligence technologies can give rise to intellectual property risks, including the disclosure or compromise of our confidential information or other proprietary intellectual property through the use of generative AI tools, or the ability to assert or defend ownership rights in intellectual property created with the use of generative artificial intelligence tools.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Further, the U.S. regulatory environment in this area is complex and uncertain. President Trump’s Executive Order "Ensuring a National Policy Framework for Artificial Intelligence," effective December 11, 2025, directed federal agency reviews of state AI laws and coordination between White House advisors and Congress to reach a legislative proposal for a uniform federal AI policy framework. At the same time, several states, including Colorado and California, passed laws that regulate various facets of AI, some of which have taken effect and will continue to take effect through 2026 and beyond. These laws address a wide range of AI-related topics, including consequential decisions, transparency, training data, among others, and it remains unclear which requirements, if any, will be superseded by the Executive Order. So far, these efforts have not been successful in curtailing state action on AI regulation, contributing to a complicated legislative patchwork, which may be litigated in state and federal courts. Various federal and state regulators have also issued guidance and focused enforcement efforts on the use of AI in regulated sectors. The FDA, for example, issued guidance on the use of artificial intelligence in medical devices, requiring detailed risk management and review processes to obtain approvals. If we develop or use AI systems that are governed by the these laws or regulations, we will need to meet higher standards of data quality, transparency, and human oversight, and we would need to adhere to specific and potentially burdensome and costly ethical, accountability, and administrative requirements. We may also be subject to significant enforcement or litigation in the event of any perceived non-compliance.</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vendors may in turn incorporate artificial intelligence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The integration of AI systems, by us or by our vendors, may increase cybersecurity risk. Any of these effects could damage our reputation, result in the loss of valuable property and information, cause us to breach applicable laws and regulations, and adversely impact our business.</w:t>
      </w:r>
    </w:p>
    <w:p>
      <w:pPr>
        <w:spacing w:after="0" w:line="38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16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U.S. federal and state healthcare fraud and abuse laws, data privacy and security laws and other similar non-U.S. laws; or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or misrepresentation of individually identifiable information, including, without limitation,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U.S. federal healthcare programs or healthcare programs in other jurisdictions, integrity oversight and reporting obligations to resolve allegations of non-compliance,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internationally could materially adversely affect our business.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conducted clinical studies in the Czech Republic, Romania, and Poland in the past, and currently conduct studies in China, Ireland, Australia, Canada, Hungary and the United Kingdom, among others. We may conduct future clinical studies in other countries as well. Doing business internationally involves a number of risks, including but not limited to:</w:t>
      </w:r>
    </w:p>
    <w:p>
      <w:pPr>
        <w:spacing w:after="0" w:line="169" w:lineRule="exact"/>
        <w:rPr>
          <w:sz w:val="20"/>
          <w:szCs w:val="20"/>
          <w:color w:val="auto"/>
        </w:rPr>
      </w:pPr>
    </w:p>
    <w:p>
      <w:pPr>
        <w:jc w:val="both"/>
        <w:ind w:left="1080" w:hanging="316"/>
        <w:spacing w:after="0" w:line="252" w:lineRule="auto"/>
        <w:tabs>
          <w:tab w:leader="none" w:pos="10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70"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224"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potentially relevant third-party patent rights;</w:t>
      </w:r>
    </w:p>
    <w:p>
      <w:pPr>
        <w:spacing w:after="0" w:line="224"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complexities and difficulties in obtaining protection and enforcing our intellectual property;</w:t>
      </w:r>
    </w:p>
    <w:p>
      <w:pPr>
        <w:spacing w:after="0" w:line="224"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staffing and managing foreign operations;</w:t>
      </w:r>
    </w:p>
    <w:p>
      <w:pPr>
        <w:spacing w:after="0" w:line="224" w:lineRule="exact"/>
        <w:rPr>
          <w:rFonts w:ascii="Times New Roman" w:cs="Times New Roman" w:eastAsia="Times New Roman" w:hAnsi="Times New Roman"/>
          <w:sz w:val="18"/>
          <w:szCs w:val="18"/>
          <w:color w:val="auto"/>
        </w:rPr>
      </w:pPr>
    </w:p>
    <w:p>
      <w:pPr>
        <w:ind w:left="1080" w:hanging="316"/>
        <w:spacing w:after="0" w:line="270" w:lineRule="auto"/>
        <w:tabs>
          <w:tab w:leader="none" w:pos="10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54"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limits in our ability to penetrate international markets;</w:t>
      </w:r>
    </w:p>
    <w:p>
      <w:pPr>
        <w:spacing w:after="0" w:line="224" w:lineRule="exact"/>
        <w:rPr>
          <w:rFonts w:ascii="Times New Roman" w:cs="Times New Roman" w:eastAsia="Times New Roman" w:hAnsi="Times New Roman"/>
          <w:sz w:val="18"/>
          <w:szCs w:val="18"/>
          <w:color w:val="auto"/>
        </w:rPr>
      </w:pPr>
    </w:p>
    <w:p>
      <w:pPr>
        <w:jc w:val="both"/>
        <w:ind w:left="1080" w:hanging="316"/>
        <w:spacing w:after="0" w:line="252" w:lineRule="auto"/>
        <w:tabs>
          <w:tab w:leader="none" w:pos="10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global macroeconomic conditions, including an increase in inflation rates or interest rates, labor shortages, supply chain shortages, disruptions and instability in the banking industry and other parts of the financial services sector, or other economic, political, or legal uncertainties or adverse developments;</w:t>
      </w:r>
    </w:p>
    <w:p>
      <w:pPr>
        <w:spacing w:after="0" w:line="170" w:lineRule="exact"/>
        <w:rPr>
          <w:rFonts w:ascii="Times New Roman" w:cs="Times New Roman" w:eastAsia="Times New Roman" w:hAnsi="Times New Roman"/>
          <w:sz w:val="18"/>
          <w:szCs w:val="18"/>
          <w:color w:val="auto"/>
        </w:rPr>
      </w:pPr>
    </w:p>
    <w:p>
      <w:pPr>
        <w:jc w:val="both"/>
        <w:ind w:left="1080" w:hanging="316"/>
        <w:spacing w:after="0" w:line="252" w:lineRule="auto"/>
        <w:tabs>
          <w:tab w:leader="none" w:pos="10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70" w:lineRule="exact"/>
        <w:rPr>
          <w:rFonts w:ascii="Times New Roman" w:cs="Times New Roman" w:eastAsia="Times New Roman" w:hAnsi="Times New Roman"/>
          <w:sz w:val="18"/>
          <w:szCs w:val="18"/>
          <w:color w:val="auto"/>
        </w:rPr>
      </w:pPr>
    </w:p>
    <w:p>
      <w:pPr>
        <w:jc w:val="both"/>
        <w:ind w:left="1080" w:hanging="316"/>
        <w:spacing w:after="0" w:line="246" w:lineRule="auto"/>
        <w:tabs>
          <w:tab w:leader="none" w:pos="10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terrorism and/or political instability, unrest and wars, such as the conflicts involving Ukraine and Russia or Israel and its surrounding regions, which could delay or disrupt our business, and if such political unrest escalates or spills over to or otherwise impacts additional regions it could heighten many of the other risk factors included in this Item 1A;</w:t>
      </w:r>
    </w:p>
    <w:p>
      <w:pPr>
        <w:spacing w:after="0" w:line="176" w:lineRule="exact"/>
        <w:rPr>
          <w:rFonts w:ascii="Times New Roman" w:cs="Times New Roman" w:eastAsia="Times New Roman" w:hAnsi="Times New Roman"/>
          <w:sz w:val="18"/>
          <w:szCs w:val="18"/>
          <w:color w:val="auto"/>
        </w:rPr>
      </w:pPr>
    </w:p>
    <w:p>
      <w:pPr>
        <w:jc w:val="both"/>
        <w:ind w:left="1080" w:hanging="316"/>
        <w:spacing w:after="0" w:line="252" w:lineRule="auto"/>
        <w:tabs>
          <w:tab w:leader="none" w:pos="10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(including as a result of climate change), which could cause significant damage to the infrastructure upon which our business operations rely, and the timing, nature or severity of which we may be unable to prepare for;</w:t>
      </w:r>
    </w:p>
    <w:p>
      <w:pPr>
        <w:spacing w:after="0" w:line="170" w:lineRule="exact"/>
        <w:rPr>
          <w:rFonts w:ascii="Times New Roman" w:cs="Times New Roman" w:eastAsia="Times New Roman" w:hAnsi="Times New Roman"/>
          <w:sz w:val="18"/>
          <w:szCs w:val="18"/>
          <w:color w:val="auto"/>
        </w:rPr>
      </w:pPr>
    </w:p>
    <w:p>
      <w:pPr>
        <w:ind w:left="1080" w:hanging="316"/>
        <w:spacing w:after="0" w:line="270" w:lineRule="auto"/>
        <w:tabs>
          <w:tab w:leader="none" w:pos="10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economic instability, outbreak of disease or epidemics such as the COVID-19 pandemic, boycotts, curtailment of trade and other business restrictions;</w:t>
      </w:r>
    </w:p>
    <w:p>
      <w:pPr>
        <w:spacing w:after="0" w:line="154"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224" w:lineRule="exact"/>
        <w:rPr>
          <w:rFonts w:ascii="Times New Roman" w:cs="Times New Roman" w:eastAsia="Times New Roman" w:hAnsi="Times New Roman"/>
          <w:sz w:val="18"/>
          <w:szCs w:val="18"/>
          <w:color w:val="auto"/>
        </w:rPr>
      </w:pPr>
    </w:p>
    <w:p>
      <w:pPr>
        <w:jc w:val="both"/>
        <w:ind w:left="1080" w:hanging="316"/>
        <w:spacing w:after="0" w:line="252" w:lineRule="auto"/>
        <w:tabs>
          <w:tab w:leader="none" w:pos="10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U.S. Foreign Corrupt Practices Act, its books and records provisions, or its anti-bribery provisions.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results of operations.</w:t>
      </w:r>
    </w:p>
    <w:p>
      <w:pPr>
        <w:spacing w:after="0" w:line="15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i w:val="1"/>
          <w:iCs w:val="1"/>
          <w:color w:val="auto"/>
        </w:rPr>
        <w:t>Failure to keep up with evolving laws, regulations, trends and shareholder expectations relating to environmental, social and governance, or ESG, practices or reporting could adversely impact our reputation, share price and access to and cost of capital or otherwise adversely impact our business</w:t>
      </w:r>
      <w:r>
        <w:rPr>
          <w:rFonts w:ascii="Arial" w:cs="Arial" w:eastAsia="Arial" w:hAnsi="Arial"/>
          <w:sz w:val="18"/>
          <w:szCs w:val="18"/>
          <w:b w:val="1"/>
          <w:bCs w:val="1"/>
          <w:color w:val="auto"/>
        </w:rPr>
        <w: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Certain institutional investors, investor advocacy groups, investment funds, creditors and other influential financial market participants, as well as governments, regulators, customers, patients, employees and other stakeholders, have become increasingly focused on companies’ ESG practices, including the impact of business on the environment and diversity, equity and inclusion matters. Certain organizations also provide ESG ratings, scores and benchmarking studies that assess companies’ ESG practices. Although there are no universal standards for such ratings, scores or benchmarking studies, they are used by some investors to inform their investment and voting decisions. It is possible that our future stockholders or organizations that report on, rate or score ESG practices will not be satisfied with our ESG strategy or performance. Unfavorable press about or ratings or assessments of our ESG strategies or practices, regardless of whether or not we comply with applicable legal requirements, may lead to negative investor sentiment toward us, which may hinder our access to capital.</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reputation could be damaged if we do not, or are perceived not to, meet stakeholder demand with respect to ESG matters, which could adversely affect our business, financial condition, profitability and cash flows. We may be criticized for our lack of ESG initiatives or goals or perceived as not taking sufficient action in connection with any of these matters. In turn, we may take certain actions, including the establishment of ESG-related goals or targets, to improve our ESG profile and/or respond to stakeholder demand; however, such actions may be costly or be subject to numerous conditions that are outside our control, and we cannot guarantee that we will meet these goals or targets or that such actions will have the desired effect even if met.</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Additionally, we and/or other parties in our value chain are subject to or are expected to be subject to additional climate and other ESG-related obligations arising from legislation and regulation in the United States, the European Union and other jurisdictions, including new reporting requirements, even as the availability and quality of the information that may be required to comply with such laws and regulations remains limited. We expect for our compliance costs with these laws and regulations to increase in the future, and any failure, or perceived failure, by us to adhere to such laws and regulations, or meet evolving and varied stakeholder expectations and standards, could harm our business, reputation, financial condition, and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made and may be required in the future to make significant payments to Bioprojet under our licensing and collaboration agreements for pitolisant.</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our agreements with Bioprojet, we are subject to significant obligations, including payment obligations upon the achievement of specified milestones and payments based on product sales, as well as other material obligations. Certain of the milestone payments payable by us under these agreements were paid prior to our commercialization of WAKIX.</w:t>
      </w:r>
    </w:p>
    <w:p>
      <w:pPr>
        <w:spacing w:after="0" w:line="16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There can be no assurance that we will have the funds necessary to make such payments in the future, or be able to raise such funds when needed, on terms acceptable to us, or at all. If we fail to comply with our payment obligations, Bioprojet has the right to terminate the license agreement, in which event we would not be able to develop, manufacture or market WAKIX or any other pitolisant-based product candidate. Furthermore, if we are forced to raise additional funds to make such payments, we may be required to delay, limit, reduce or terminate our product development or future commercialization efforts.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TLA Credit Agreement contains restrictive and financial covenants that may limit our operating flexibility.</w:t>
      </w:r>
    </w:p>
    <w:p>
      <w:pPr>
        <w:spacing w:after="0" w:line="21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TLA Credit Agreement (as defined below) contains certain restrictive covenants that either limit our ability to, or require a mandatory prepayment in the event that, we or our subsidiaries engage in new lines of business, incur additional indebtedness or liens, make certain investments, make certain payments, pay cash dividends, merge with other companies or consummate certain changes of control, make certain acquisitions, transfer or dispose of certain assets, liquidate or dissolve, amend certain material agreements, enter into sale and leaseback transactions, enter into various other specified transactions, or change our name, location, or executive office without notice. We, therefore, may not be able to engage in any of the foregoing transactions unless we obtain the consent of the lenders, or in certain cases JP Morgan on their behalf, or prepay the outstanding amount under the TLA Credit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failure to comply with the covenants or other terms of the TLA Credit Agreement, including as a result of events beyond our control, could result in a default under the TLA Credit Agreement that could materially and adversely affect the ongoing viability of our business.</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JPMorgan Chase Bank, N.A. and the other Lenders may elect to accelerate the repayment of all unpaid principal of the Loans, accrued interest and other amounts owed under the TLA Credit Agreement upon consummation of a specified change of control transaction or the occurrence of certain events of default (as specified in the TLA Credit Agreement), including, among other things:</w:t>
      </w:r>
    </w:p>
    <w:p>
      <w:pPr>
        <w:spacing w:after="0" w:line="174" w:lineRule="exact"/>
        <w:rPr>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default in a payment obligation under the TLA Credit Agreement;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breach of the covenants or other terms of the TLA Credit Agreement;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properly maintain the collateral;</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occurrence of a specified change of control transaction occurring;</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one or more judgments resulting in liability greater than $20.0 million; and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certain specified insolvency and bankruptcy-related events.</w:t>
      </w:r>
    </w:p>
    <w:p>
      <w:pPr>
        <w:spacing w:after="0" w:line="22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Subject to any applicable cure period set forth in the TLA Credit Agreement, all amounts outstanding with respect to the Loans (principal and accrued interest), as well as any applicable prepayment premiums or interest “make-whole” payments, would become due and payable. Our assets or cash flow may not be sufficient to fully repay our obligations under the Loans if the obligations thereunder are accelerated upon any events of default. Further, if we are unable to repay, refinance or restructure our obligations under the Loans, the Administrative Agent on behalf of the Lenders could proceed to protect and enforce their rights under the TLA Credit Agreement and other loan documents by exercising such remedies (including foreclosure on the assets securing our obligations under the TLA Credit Agreement and the other loan documents) as are available to the Administrative Agent and the Lenders and in respect thereof under applicable law, either by suit in equity or by action at law, or both, whether for specific performance of any covenant or other agreement contained in the TLA Credit Agreement or other loan documents or in aid of the exercise of any power granted in the TLA Credit Agreement or other loan documents. Such repayment could have a material adverse effect on our business, operating results and financial condition.</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obligations under the TLA Credit Agreement are secured by all of our assets, with certain exceptions. We may not be able to generate sufficient cash flow or sales to meet the financial covenants or pay the principal and interest under the TLA Credit Agreement. Furthermore, our future working capital, borrowings or equity financing could be unavailable to repay or refinance the amounts outstanding under the TLA Credit Agreement. In the event of a liquidation, the lenders under the facility would be repaid all outstanding principal and interest prior to distribution of assets to unsecured creditors, and the holders of our common stock would receive a portion of any liquidation proceeds only if all of our creditors then existing, including the lenders under the TLA Credit Agreement, were first repaid in full.</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never paid dividends on our common stock, and we do not intend to pay dividends for the foreseeable future. Consequently, any gains from an investment in our common stock will likely depend on whether the price of our common stock increases</w:t>
      </w:r>
      <w:r>
        <w:rPr>
          <w:rFonts w:ascii="Arial" w:cs="Arial" w:eastAsia="Arial" w:hAnsi="Arial"/>
          <w:sz w:val="18"/>
          <w:szCs w:val="18"/>
          <w:b w:val="1"/>
          <w:bCs w:val="1"/>
          <w:color w:val="auto"/>
        </w:rPr>
        <w:t>.</w:t>
      </w:r>
    </w:p>
    <w:p>
      <w:pPr>
        <w:spacing w:after="0" w:line="15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Raising additional funds by issuing securities may cause dilution to existing shareholders, raising additional funds through debt financings may involve restrictive covenants, and raising funds through lending and licensing arrangements may restrict our operations or require us to relinquish proprietary rights to our technologies or product candidates.</w:t>
      </w:r>
    </w:p>
    <w:p>
      <w:pPr>
        <w:spacing w:after="0" w:line="16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To the extent that we raise additional capital by issuing equity securities, our existing shareholders’ ownership may experience substantial dilution, and the terms of these securities may include liquidation or other preferences that could adversely affect the rights of a common shareholder. Additionally, any agreements for future debt or preferred equity financings, if available, may involve covenants limiting or restricting our ability to take specific actions, such as incurring additional debt, making capital expenditures or declaring dividends, which could adversely affect our ability to conduct our business.</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develop and market ourselves.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may be limited.</w:t>
      </w:r>
    </w:p>
    <w:p>
      <w:pPr>
        <w:spacing w:after="0" w:line="21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December 31, 2025, we had U.S. federal net operating loss carryforwards of $203.8 million and we had state net operating loss carryforwards of approximately $110.6 million. Utilization of the federal and state net operating loss carryforwards may be subject to a substantial limitation due to federal and state provisions. If we have experienced an ownership change at any time since our incorporation, we may be subject to limitations on our ability to utilize our existing net operating loss carryforwards to offset taxable income. In addition, future changes in our stock ownership, which may be outside of our control, may trigger an ownership change and, consequently, the limitations under Section 382 of the Code. As a result, if or when we earn net taxable income, our ability to use our pre-change net operating loss carryforwards to offset such taxable income may be subject to limitations, which could adversely affect our future cash flows.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Changes in tax laws or regulations could adversely affect our results of operations, business and financial condition.</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New tax laws or regulations could be enacted at any time, and existing tax laws or regulations could be interpreted, modified or applied in a manner that is adverse to us or our customers, each of which could adversely affect our results of operations, business and financial condition. Beginning in 2022, the Tax Cuts and Jobs Act of 2017 eliminated the option to deduct research and development expenditures for tax purposes in the year incurred and instead requires taxpayers to capitalize and subsequently amortize such expenditures over five years for research activities conducted in the United States and over 15 years for research activities conducted outside the United States. In July 2025, the One Big Beautiful Bill Act (the “OBBBA”) was enacted into law. In addition to several other changes to corporate taxation, the OBBBA removed the requirement to capitalize and amortize research and development expenditures and allowed the immediate expensing of domestic research and development expenses. In addition, the IRA, among other things, imposed a new 15% alternative minimum tax on the adjusted financial statement income of certain large corporations for tax years beginning after December 31, 2022. Changes in tax laws or regulations could materially increase our tax provision, cash tax liabilities, and effective tax rate, which may adversely affect our results of operations, business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Regulatory Approval and Commercialization</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The regulatory approval process of the FDA is costly, lengthy and inherently unpredictable, and our business may be substantially harmed if we experience insufficient results in the course of our clinical development or are ultimately unable to obtain regulatory approval for any of our ongoing development programs in other potential indications.</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7"/>
          <w:szCs w:val="17"/>
          <w:color w:val="auto"/>
        </w:rPr>
        <w:t>Although the commercialization of WAKIX is our primary focus, as part of our longer-term growth strategy, we plan to evaluate pitolisant in other indications and develop other product candidates. The research, testing, manufacturing, labeling, approval, selling, import, export, pricing and reimbursement marketing and distribution of drug products are subject to extensive regulation by the FDA and other regulatory agencies in the United States. Although we have obtained regulatory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approval for WAKIX in the United States for the treatment of EDS and/or cataplexy in adults and pediatric patients six years and older with narcolepsy, it is possible that we may not obtain regulatory approval for pitolisant for other indications, or for any other product candidates we may seek to develop in the future.</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FDA or comparable regulatory authorities can delay, limit or deny approval of a drug candidate for many reasons or require us to conduct additional preclinical or clinical testing, including, but not limited to, the following:</w:t>
      </w:r>
    </w:p>
    <w:p>
      <w:pPr>
        <w:spacing w:after="0" w:line="154" w:lineRule="exact"/>
        <w:rPr>
          <w:sz w:val="20"/>
          <w:szCs w:val="20"/>
          <w:color w:val="auto"/>
        </w:rPr>
      </w:pPr>
    </w:p>
    <w:p>
      <w:pPr>
        <w:ind w:left="1000" w:right="20" w:hanging="317"/>
        <w:spacing w:after="0" w:line="270" w:lineRule="auto"/>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 drug candidate may not be deemed safe or effective, or the clinical and other benefits may be deemed to not outweigh the candidate’s risks;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disagree with the design or execution of our clinical trials plan;</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population studied in clinical trials may not be sufficiently broad or representative to assure safety in the full population for which we seek approval;</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not find the data from nonclinical and clinical studies and trials sufficient or may disagree with our interpretation of data from nonclinical or clinical studies;</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serious and unexpected drug-related side effects experienced by participants in our clinical trials or by individuals using drugs similar to our product candidates, or other products containing the active ingredient in our product candidates;</w:t>
      </w:r>
    </w:p>
    <w:p>
      <w:pPr>
        <w:spacing w:after="0" w:line="170"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disagree with us regarding the formulation, labeling and/or the product specifications of our product candidates;</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site inspection(s) by the FDA or other regulatory authorities may result in unacceptable findings that could negatively impact approval of pitolisant;</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might not accept or deem acceptable a third-party manufacturers’ processes or facilities; or</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change their approval policies or adopt new regulations.</w:t>
      </w:r>
    </w:p>
    <w:p>
      <w:pPr>
        <w:spacing w:after="0" w:line="22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Prior to obtaining approval to commercialize a drug candidate in the United States, we or our collaborators must demonstrate with substantial evidence from well-controlled clinical trials, and to the satisfaction of the FDA, that such drug candidates are safe and effective for their intended uses. The number of nonclinical and clinical studies and trials that will be required for FDA approval varies depending on the drug candidate, the disease or condition that the drug candidate is designed to address, and the regulations applicable to any particular drug candidate. In addition, data obtained from preclinical trials and clinical trials are susceptible to varying interpretations, and regulatory authorities may not interpret our data as favorably as we do, which may further delay, limit or prevent development efforts, clinical trials or marketing approval. Furthermore, as more competing drug candidates within a particular class of drugs proceed through clinical development to regulatory review and approval, the amount and type of clinical data that may be required by regulatory authorities may increase or change. Even if we believe the preclinical or clinical data for our product candidates are promising, such data may not be sufficient to support approval by the FDA and other regulatory authorities. If pitolisant fails to demonstrate safety and efficacy in clinical trials or does not gain regulatory approval for other indications, our business and results of operations will be materially and adversely harmed. Additionally, if the FDA requires that we conduct additional clinical trials, places limitations on pitolisant in our label, delays approval to market pitolisant or limits the use of pitolisant, our business and results of operations may be harmed.</w:t>
      </w:r>
    </w:p>
    <w:p>
      <w:pPr>
        <w:spacing w:after="0" w:line="18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obtain and sustain an adequate level of coverage and reimbursement for WAKIX and other product candidates by third-party payors, sales would be adversely affected.</w:t>
      </w:r>
    </w:p>
    <w:p>
      <w:pPr>
        <w:spacing w:after="0" w:line="13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Successful sales of WAKIX and any other product candidates that may receive regulatory approval depend on the availability of coverage and adequate reimbursement from third-party payors. Patients who are prescribed medications for the treatment of their conditions generally rely on third- party payors to reimburse all or part of the costs associated with their prescription drugs. There is significant uncertainty related to third-party payor coverage and reimbursement of newly approved drugs. Regulatory approvals, pricing and reimbursement for new drug products vary widely from country to country. In the United States, the principal decisions about reimbursement for new medicines are typically made by CMS, an agency within HHS. CMS decides whether and to what extent a new medicine will be covered and reimbursed under Medicare. Private payors tend to follow CMS to a substantial degree. Commercial third-party payors, such as private health insurers and health maintenance organizations, also decide which medications they will pay for and establish reimbursement levels, though commercial third-party payors often follow CMS’ reimbursement determinations. The availability of coverage and the extent of reimbursement by governmental and private payors is essential for most patients to be able to afford treatments. Sales of WAKIX or other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Coverage and reimbursement by a third-party payor may depend upon a number of factors, including the third-party payor’s determination that use of a product is:</w:t>
      </w:r>
    </w:p>
    <w:p>
      <w:pPr>
        <w:spacing w:after="0" w:line="154" w:lineRule="exact"/>
        <w:rPr>
          <w:sz w:val="20"/>
          <w:szCs w:val="20"/>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 covered benefit under its health plan;</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safe, effective and medically necessary;</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appropriate for the specific patient;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 and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neither experimental nor investigational.</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cannot be sure that reimbursement will be available for WAKIX and, if coverage and reimbursement are available, what the level of reimbursement will be.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Obtaining coverage and reimbursement approval for a product from a government or other third- party payor can be an expensive and time-consuming process that could require us to provide supporting scientific, clinical and cost effectiveness data for the use of our products to the payor. The industry competition to be included in third-party payors’ drug formularies, or lists of medications for which third- party payors provide coverage and reimbursement, often leads to downward pricing pressures on pharmaceutical products. In addition, third-party payors may refuse to include a particular branded drug in their formularies or otherwise restrict patient access through formulary controls or otherwise to a branded drug when a less costly generic equivalent or other alternative is available.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States. Increasingly, third-party payors are requiring that drug companies provide them with predetermined discounts from list prices and are challenging the prices charged for medical products.</w:t>
      </w:r>
    </w:p>
    <w:p>
      <w:pPr>
        <w:spacing w:after="0" w:line="15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addition,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While we have obtained coverage for WAKIX from certain third-party payors, the resulting reimbursement payment rates might not be adequate or may require co-payments that patients find unacceptably high. Patients are unlikely to use WAKIX unless coverage is provided and reimbursement is adequate to cover a significant portion of the cost of WAKIX.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 We may suffer loss of corporate reputation due to industry-wide legislative or public scrutiny of our pricing decisions and practices within an increasingly price-sensitive environment.</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Despite obtaining formulary approval from certain third-party payors, sometimes with prior authorization or other formulary restrictions and requirements, including documented failure or inadequate response to alternative treatments, we expect to experience pricing pressures in connection with the sale of WAKIX due to the trend toward cost containment, managed healthcare, the increasing influence of health maintenance organizations and additional legislative changes. Large public and private payors, managed care organizations, group purchasing organizations and similar organizations are exerting increasing influence on decisions regarding the use of, and reimbursement levels for, particular treatments. Such third-party payors, including Medicare, are questioning the coverage of, and challenging the prices charged for medical products and services, and many third-party payors limit coverage of, or reimbursement for, newly approved health care products.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WAKIX.</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These cost-control initiatives could decrease the price we have established for WAKIX, which could result in product revenue being lower than anticipated. The pricing, coverage and reimbursement of WAKIX must be adequate to support a commercial infrastructure. If the price for WAKIX decreases or if governmental and other third-party payors do not provide adequate coverage and reimbursement levels, our revenue, gross margins and prospects for profitability will suffer.</w:t>
      </w:r>
    </w:p>
    <w:p>
      <w:pPr>
        <w:spacing w:after="0" w:line="17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While we have not taken any steps to attain regulatory or patent approvals in any specific markets outside of the United States, we plan to explore obtaining additional licensing rights from Bioprojet to expand into international markets with WAKIX</w:t>
      </w:r>
      <w:r>
        <w:rPr>
          <w:rFonts w:ascii="Arial" w:cs="Arial" w:eastAsia="Arial" w:hAnsi="Arial"/>
          <w:sz w:val="18"/>
          <w:szCs w:val="18"/>
          <w:b w:val="1"/>
          <w:bCs w:val="1"/>
          <w:color w:val="auto"/>
        </w:rPr>
        <w:t>.</w:t>
      </w:r>
      <w:r>
        <w:rPr>
          <w:rFonts w:ascii="Arial" w:cs="Arial" w:eastAsia="Arial" w:hAnsi="Arial"/>
          <w:sz w:val="18"/>
          <w:szCs w:val="18"/>
          <w:color w:val="auto"/>
        </w:rPr>
        <w:t xml:space="preserve"> Outside the United States, international operations are generally subject to extensive governmental price controls and other market regulations, and we believe the increasing emphasis on cost-containment initiatives in Europe and other countries will likely put pressure on the pricing and usage of medical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WAKIX. Accordingly, in markets outside the United States, the reimbursement for WAKIX may be reduced compared with the United States and may be insufficient to generate commercially reasonable revenue and profits.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WAKIX has been approved by the FDA for the treatment of EDS and/or cataplexy in adults and pediatric patients six years or older with narcolepsy. Regulatory approval is limited by the FDA to the specific indication for which approval has been granted and, unless we seek regulatory approval for additional indications, we will be prohibited from marketing pitolisant for other indications. We may be subject to fines, penalties or injunctions if we are determined to have promoted or be promoting the use of pitolisant for unapproved or “off-label” uses, resulting in damage to our reputation and business.</w:t>
      </w:r>
    </w:p>
    <w:p>
      <w:pPr>
        <w:spacing w:after="0" w:line="17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While we received approval for the indications of the treatment of EDS and/or cataplexy in adults and pediatric patients six years and older with narcolepsy, WAKIX is not indicated to treat any other conditions. We are prohibited from promoting WAKIX for any other indication unless we are granted FDA approval for such indication. The FDA strictly regulates the promotional claims that may be made about prescription products, and WAKIX may not be promoted for uses that are not approved by the FDA as reflected in its approved labeling. If we are not able to obtain FDA approval for any desired future indications for our products and product candidates, our ability to effectively market and sell our products may be reduced and our business may be adversely affected.</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that are not specifically approved by the FDA.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biotechnology or pharmaceutical companies on off-label use. If the FDA determines that our promotional activities constitute promotion of an off-label use, it could request that we modify our promotional materials and subject us to FDA regulatory or enforcement actions as well as actions by other agencies, including issuance of warning letters or untitled letters, suspension or withdrawal of an approved product from the market, mandatory or voluntary recalls, civil fines, disgorgement of money, operating restrictions, additional reporting requirements and/or oversight if we become subject to a corporate integrity agreement or similar agreement, injunctions or criminal prosecution, any of which could significantly harm our business.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WAKIX or any of our future product candidates may cause undesirable side effects or have other properties that could delay or prevent their regulatory approval, reduce the commercial attractiveness of a prescribing label or result in significant negative consequences following regulatory approval, if approved.</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Clinical trials of WAKIX or other product candidates we may develop could reveal a high and unacceptable incidence and severity of undesirable side effects. Undesirable side effects could adversely affect patient enrollment in clinical studies, cause us or regulatory authorities to interrupt, delay or halt clinical studies or result in the delay, denial or withdrawal of regulatory approval by the FDA or other regulatory authorities. Undesirable or adverse side effects also could result in regulatory authorities mandating a more restrictive prescribing label for the product, which, in turn, could limit the market acceptance of the product even if approved for marketing and commercialization.</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Drug-related side effects could result in potential product liability claims. We believe our product liability insurance coverage is sufficient in light of our clinical programs; however, we may not be able to maintain insurance coverage at a reasonable cost or in sufficient amounts or maintain coverage at all to protect us against losses due to liability. A successful product liability claim or series of claims brought against us could cause our stock price to decline and, if judgments exceed our insurance coverage, could adversely affect our results of operations, business and financial condition. In addition, regardless of merit or eventual outcome, product liability claims may result in impairment of our business reputation, significant negative media attention, withdrawal of clinical study participants, costs due to related litigation, distraction of management’s attention from our primary business, initiation of investigations by regulators, substantial monetary awards to patients or other claimants, the inability to commercialize our current product candidate or any future product candidate, product recalls, restrictions on labeling, marketing or promotion, decreased demand for our product candidates, if approved for marketing, and loss of revenue.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Additionally, if we or others later identify undesirable side effects caused by WAKIX, either in the post-marketing setting or in clinical trials in other potential indications for which we develop pitolisant, or in clinical trials for other product candidates, a number of potentially significant negative consequences could result, including but not limited to:</w:t>
      </w:r>
    </w:p>
    <w:p>
      <w:pPr>
        <w:spacing w:after="0" w:line="169" w:lineRule="exact"/>
        <w:rPr>
          <w:sz w:val="20"/>
          <w:szCs w:val="20"/>
          <w:color w:val="auto"/>
        </w:rPr>
      </w:pPr>
    </w:p>
    <w:p>
      <w:pPr>
        <w:ind w:left="4860" w:right="3100" w:hanging="4177"/>
        <w:spacing w:after="0" w:line="787" w:lineRule="auto"/>
        <w:tabs>
          <w:tab w:leader="none" w:pos="1003"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delay, prevention or withdrawal of approvals by regulatory authorities;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to suspend marketing of a product or withdraw it from the marketplace;</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of additional warnings on the prescribing label or limitations on product access;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costly post-marketing studies;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change the manner in which a product is administered;</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of a REMS plan, which could include a medication guide outlining the risks of such side effects for distribution to patients, a communication plan for healthcare providers and/or other elements to assure safe use;</w:t>
      </w:r>
    </w:p>
    <w:p>
      <w:pPr>
        <w:spacing w:after="0" w:line="17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designation as a controlled substance by the DEA;</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 product may become less competitive;</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fines, injunctions or civil and criminal penalties;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and the potential to be held liable for harm caused to patients; and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an adverse effect on our reputation.</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Any of these events could prevent us from achieving or maintaining market acceptance of pitolisant and could significantly harm our business, results of operations, financial condition and prospects.</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exclusivity before approving generic versions of our products, the sales of our products could be adversely affected.</w:t>
      </w:r>
    </w:p>
    <w:p>
      <w:pPr>
        <w:spacing w:after="0" w:line="15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ANDAs in the United States. In support of an ANDA, a generic manufacturer need not conduct clinical trials. Rather, the applicant generally must show that its product has the same active ingredient(s), dosage form, strength, route of administration and conditions of use or labeling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(“NCE”). Specifically, in cases where such exclusivity has been granted, an ANDA may not be submitted to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While we have received five years of NCE exclusivity for WAKIX, manufacturers may seek to launch generic products following the expiration of the applicable exclusivity period we obtain, even if we still have patent protection for our product.</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Competition that our products may face from generic versions of our products could materially and adversely affect our future revenue, profitability and cash flows and substantially limit our ability to obtain a return on the investments we have made in those product candidates.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incur unexpected costs or experience delays in completing, or ultimately be unable to complete, the development and commercialization of our product candidates.</w:t>
      </w:r>
    </w:p>
    <w:p>
      <w:pPr>
        <w:spacing w:after="0" w:line="1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To obtain the requisite regulatory approvals to commercialize any of our product candidates, we must demonstrate through extensive preclinical studies and clinical trials that our product candidates are safe and effective in humans. Clinical testing is expensive and can take many years to complete, and its outcome is inherently uncertain. Failure can occur at any time during the clinical trial process and our future clinical trial results may not be successful.</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may experience delays in completing our clinical trials or preclinical studies and initiating or completing additional clinical trials. We may also experience numerous unforeseen events during our clinical trials that could delay or prevent our ability to receive marketing approval or commercialize the product candidates we develop, including:</w:t>
      </w:r>
    </w:p>
    <w:p>
      <w:pPr>
        <w:spacing w:after="0" w:line="169" w:lineRule="exact"/>
        <w:rPr>
          <w:sz w:val="20"/>
          <w:szCs w:val="20"/>
          <w:color w:val="auto"/>
        </w:rPr>
      </w:pPr>
    </w:p>
    <w:p>
      <w:pPr>
        <w:ind w:left="1000" w:right="20" w:hanging="317"/>
        <w:spacing w:after="0" w:line="270" w:lineRule="auto"/>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generate sufficient preclinical, toxicology, or other in vivo or in vitro data to support the initiation or continuation of clinical trials;</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IRBs or other reviewing bodies may not authorize us or our investigators to commence a clinical trial, or to conduct or continue a clinical trial at a prospective or specific trial site;</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not agree as to the design or implementation of our clinical trials;</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reach agreement on acceptable terms with prospective CROs and clinical trial sites, the terms of which can be subject to extensive negotiation and may vary significantly among different CROs and trial sites;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identify, recruit and train suitable clinical investigators;</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43" w:lineRule="auto"/>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subjects or patients required for clinical trials of pitolisant in additional indications or any other product candidate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179" w:lineRule="exact"/>
        <w:rPr>
          <w:rFonts w:ascii="Times New Roman" w:cs="Times New Roman" w:eastAsia="Times New Roman" w:hAnsi="Times New Roman"/>
          <w:sz w:val="18"/>
          <w:szCs w:val="18"/>
          <w:color w:val="auto"/>
        </w:rPr>
      </w:pPr>
    </w:p>
    <w:p>
      <w:pPr>
        <w:jc w:val="both"/>
        <w:ind w:left="1000" w:right="20" w:hanging="317"/>
        <w:spacing w:after="0" w:line="252" w:lineRule="auto"/>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third-party contractors, including those manufacturing our product candidates or conducting clinical trials on our behalf, may fail to comply with regulatory requirements or meet their contractual obligations to us in a timely manner, or at all;</w:t>
      </w:r>
    </w:p>
    <w:p>
      <w:pPr>
        <w:spacing w:after="0" w:line="170" w:lineRule="exact"/>
        <w:rPr>
          <w:rFonts w:ascii="Times New Roman" w:cs="Times New Roman" w:eastAsia="Times New Roman" w:hAnsi="Times New Roman"/>
          <w:sz w:val="18"/>
          <w:szCs w:val="18"/>
          <w:color w:val="auto"/>
        </w:rPr>
      </w:pPr>
    </w:p>
    <w:p>
      <w:pPr>
        <w:jc w:val="both"/>
        <w:ind w:left="1000" w:right="20" w:hanging="317"/>
        <w:spacing w:after="0" w:line="252" w:lineRule="auto"/>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may have to amend clinical trial protocols submitted to regulatory authorities or conduct additional studies to reflect changes in regulatory requirements or guidance, which we may be required to resubmit to an IRB and regulatory authorities for re-examination;</w:t>
      </w:r>
    </w:p>
    <w:p>
      <w:pPr>
        <w:spacing w:after="0" w:line="170" w:lineRule="exact"/>
        <w:rPr>
          <w:rFonts w:ascii="Times New Roman" w:cs="Times New Roman" w:eastAsia="Times New Roman" w:hAnsi="Times New Roman"/>
          <w:sz w:val="18"/>
          <w:szCs w:val="18"/>
          <w:color w:val="auto"/>
        </w:rPr>
      </w:pPr>
    </w:p>
    <w:p>
      <w:pPr>
        <w:jc w:val="both"/>
        <w:ind w:left="1000" w:right="20" w:hanging="317"/>
        <w:spacing w:after="0" w:line="252" w:lineRule="auto"/>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IRBs or other reviewing bodies may fail to approve or subsequently find fault with the manufacturing processes or facilities of third-party manufacturers with which we enter into agreement for clinical and commercial supplies;</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supply or quality of pitolisant or any other product candidate or other materials necessary to conduct clinical trials of our product candidates may be insufficient, inadequate or not available at an acceptable cost, or we may experience interruptions in supply; and</w:t>
      </w:r>
    </w:p>
    <w:p>
      <w:pPr>
        <w:spacing w:after="0" w:line="170"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for approval policies or regulations of the FDA or the applicable foreign regulatory agencies to significantly change in a manner rendering our clinical data insufficient for approval.</w:t>
      </w:r>
    </w:p>
    <w:p>
      <w:pPr>
        <w:spacing w:after="0" w:line="15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Regulators, IRBs of the institutions in which clinical trials are being conducted or data monitoring committees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failure to demonstrate a benefit from using a drug, changes in governmental regulations or administrative actions or lack of adequate funding to continue the clinical trial.</w:t>
      </w:r>
    </w:p>
    <w:p>
      <w:pPr>
        <w:spacing w:after="0" w:line="15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Negative or inconclusive results from our ongoing clinical trials of pitolisant for the treatment of narcolepsy, or any other clinical trial or preclinical studies in animals that we conduct, could mandate repeated or additional clinical trials and could result in changes to or delays in clinical trials in other indications. We do not know whether any clinical trials that we may conduct will demonstrate adequate efficacy and safety to result in regulatory approval to market pitolisant for our initial or potential additional indications, or any other product candidate. If later stage clinical trials do not produce favorable results, our ability to obtain regulatory approval for pitolisant for initial or potential additional indications, or any other product candidate, may be adversely impacted.</w:t>
      </w:r>
    </w:p>
    <w:p>
      <w:pPr>
        <w:spacing w:after="0" w:line="1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failure to successfully initiate and complete clinical trials of pitolisant for potential additional indications or any other product candidate and to demonstrate the efficacy and safety necessary to obtain regulatory approval to market pitolisant or any other product candidate would significantly harm our business. Our product candidate development costs will also increase if we experience delays in testing or regulatory approvals and we may be required to obtain additional funds to complete clinical trials. We cannot assure you that our clinical trials will begin as planned or be completed on schedule, if at all, or that we will not need to restructure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pitolisant or any other product candidate.</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addition, prior to our acquisition of the rights to pitolisant, we had no involvement with or control over the nonclinical or clinical development of pitolisant. Additionally, pursuant to our collaboration agreement with Bioprojet, we will rely on data generated by Bioprojet in connection with seeking regulatory approval of pitolisant in the territories in which we have rights to develop and commercialize pitolisant. We are dependent on Bioprojet having conducted such research and development in accordance with the applicable protocols and legal, regulatory and scientific standards, having accurately reported the results of all clinical trials and other research they conducted prior to our acquisition of the rights to pitolisant, having correctly collected and interpreted the data from these trials and other research, and having supplied us with complete information, data sets and reports required to adequately demonstrate the results reported through the date of our acquisition of these assets. Problems related to predecessors could result in increased costs and delays in the development of pitolisant for additional indications, which could adversely affect our ability to generate any future revenue from sales of pitolisant, if approved for additional indications.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 Fast Track designation from the FDA, even if granted for any of our product candidates, may not lead to a faster development or regulatory review or approval process, and does not increase the likelihood that our product candidates will receive regulatory approval.</w:t>
      </w:r>
    </w:p>
    <w:p>
      <w:pPr>
        <w:spacing w:after="0" w:line="15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During the development of certain of our product candidates, we received Fast Track designation from the FDA and we may also seek further designations for some or all of our other product candidates. The Fast Track program is intended to expedite or facilitate the process for reviewing product candidates that meet certain criteria. Specifically, drugs are eligible for Fast Track designation if they are intended, alone or in combination with one or more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application may be eligible for priority review. An NDA submitted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w:t>
      </w:r>
    </w:p>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FDA has broad discretion whether or not to grant this designation. Even if we believe a particular product candidate is eligible for this designation, we cannot assure you that the FDA would decide to grant it. Even if we do receive Fast Track designation for any of our product candidates, such product candidates may not experience a faster development process, review or approval compared to conventional FDA procedures. The FDA may also withdraw Fast Track designation if it believes that the designation is no longer supported by data from our clinical development program. Furthermore, such</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designation does not increase the likelihood that any product candidate that may be granted Fast Track designation will receive regulatory approval in the United States. Many product candidates that have received Fast Track designation have ultimately failed to obtain approval.</w:t>
      </w:r>
    </w:p>
    <w:p>
      <w:pPr>
        <w:spacing w:after="0" w:line="17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which is based on a preliminary analysis of then-available topline data, and the results and related findings and conclusions are subject to change following completion of the study or full analyses of all data related to the particular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“topline,” preliminary or interim data and final data could significantly harm our business prospects.</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1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may encounter delays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 Patient enrollment and retention in clinical trials depends on many factors, including the size of the patient population, the nature of the trial protocol, our ability to recruit clinical trial investigators with the appropriate competencies and experience,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our ability to obtain and maintain patient consents, and the risk that patients enrolled in clinical trials will drop out of the trials before completion.</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Furthermore, any negative results or new safety signals we or third parties may report in clinical trials of our product candidates may make it difficult or impossible to recruit and retain patients in our clinical trials. Similarly, negative results reported by our competitors about their drug candidates may negatively affect patient recruitment in our clinical trials. In addition, marketing authorization of competitors in this same class of drugs may impair our ability to enroll patients into our clinical trials, delaying or potentially preventing us from completing recruitment of one or more of our trials. Delays or failures in planned patient enrollment or retention may result in increased costs, program delays or both, which could have a harmful effect on our ability to develop pitolisant or any future product candidates, or could render further development impossible. In addition, we expect to rely on CROs and clinical trial sites to ensure proper and timely conduct of our future clinical trials, and, while we intend to enter into agreements governing their services, we will be limited in our ability to compel their actual performance.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Even if we receive orphan drug designation for our product candidates, we may not be able to maintain the benefits associated with orphan drug designation, including marketing exclusivity, which may cause our product revenue to be reduced.</w:t>
      </w:r>
    </w:p>
    <w:p>
      <w:pPr>
        <w:spacing w:after="0" w:line="15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or biologic will be recovered from sales in the United States. For example, the FDA granted orphan drug designation to pitolisant for the treatment of narcolepsy in 2010, and for the treatment of IH in 2023.</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United States, orphan designation entitles a party to financial incentives such as opportunities for grant funding for clinical trial costs, tax advantages and user-fee waivers. In addition, generally, if a drug with an orphan drug designation subsequently receives the first marketing approval for the disease or condition for which it has such designation, the drug is entitled to a seven-year period of marketing exclusivity, which precludes the FDA from approving another marketing application for the same drug for the same disease or condition for that time period. Under the FDA’s regulations, the FDA will deny orphan drug exclusivity to a designated drug upon approval if the FDA has already approved another drug with the same active ingredient for the same indication, except in limited circumstances, such as a showing of clinical superiority to the product with orphan drug exclusivity or where the manufacturer is unable to assure sufficient product quantity. In connection with WAKIX’s approvals, we received orphan drug exclusivities for the treatment of excessive daytime sleepiness in adult patients with narcolepsy, and for the treatment of cataplexy in adult patients with narcolepsy, and for the treatment of excessive daytime sleepiness in pediatric patients 6 years of age and older with narcolepsy.</w:t>
      </w:r>
    </w:p>
    <w:p>
      <w:pPr>
        <w:spacing w:after="0" w:line="186" w:lineRule="exact"/>
        <w:rPr>
          <w:sz w:val="20"/>
          <w:szCs w:val="20"/>
          <w:color w:val="auto"/>
        </w:rPr>
      </w:pPr>
    </w:p>
    <w:p>
      <w:pPr>
        <w:jc w:val="both"/>
        <w:ind w:firstLine="738"/>
        <w:spacing w:after="0" w:line="253" w:lineRule="auto"/>
        <w:rPr>
          <w:sz w:val="20"/>
          <w:szCs w:val="20"/>
          <w:color w:val="auto"/>
        </w:rPr>
      </w:pPr>
      <w:r>
        <w:rPr>
          <w:rFonts w:ascii="Arial" w:cs="Arial" w:eastAsia="Arial" w:hAnsi="Arial"/>
          <w:sz w:val="18"/>
          <w:szCs w:val="18"/>
          <w:color w:val="auto"/>
        </w:rPr>
        <w:t>Orphan drug exclusivity in the United States may be unavailable where the indication for which the product candidate is approved is broader than the orphan-designated indication or is otherwise different from the orphan-designated disease or condition.</w:t>
      </w:r>
    </w:p>
    <w:p>
      <w:pPr>
        <w:spacing w:after="0" w:line="16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candidate from competition. WAKIX may face additional competition because different drugs with a different active moiety can still be approved for the same condition. Even after an approved drug is granted orphan exclusivity, exclusivity may be lost if the FDA later determines that the request for designation was materially defective or if we are unable to assure sufficient quantities of the drug to meet the needs of patients with the rare disease or condition following approval. In addition, the FDA can subsequently approve products with the same active moiety for the same condition if the FDA concludes that the later drug is safer, more effective, or makes a major contribution to patient care. Orphan drug designation neither shortens the development or regulatory review time of a drug nor gives the drug any advantage in the regulatory review or approval process.</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are subject to ongoing regulatory obligations and continued regulatory review with respect to WAKIX, which will result in significant additional expense. Additionally, WAKIX could be subject to labeling and other restrictions and market withdrawal, and we may be subject to penalties if we fail to comply with regulatory requirements or experience unanticipated problems with WAKIX.</w:t>
      </w:r>
    </w:p>
    <w:p>
      <w:pPr>
        <w:spacing w:after="0" w:line="16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WAKIX is subject to extensive and ongoing regulatory requirements for manufacturing, labeling, packaging, storage, advertising, promotion, sampling, distribution, import, export, record keeping and submission of safety and other post-market information, including both federal and state requirements in the United States. In addition, manufacturers and manufacturers’ facilities are required to comply with extensive FDA requirements, including ensuring that quality control and manufacturing procedures conform to cGMP. As such, we and our contract manufacturers are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Our regulatory approval for WAKIX for the treatment of EDS or cataplexy in adult patients with narcolepsy, and for EDS in children six years and older with narcolepsy, and any other regulatory approvals we may receive for pitolisant or any future product candidates may be subject to limitations on the approved indicated uses for which the product may be marketed or to the conditions of approval, or contain requirements for potentially costly post-marketing testing, which must comply with applicable GCP regulations. We could also be asked to conduct post marketing clinical studies to verify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safety and efficacy of future product candidates in general or in specific patient subsets. For example, as a part of the regulatory approval for WAKIX for the treatment of EDS in adult patients with narcolepsy, we are required to conduct post-marketing studies in women exposed to pitolisant in pregnancy, including a registry-based observational cohort study to assess maternal, fetal, and infant outcomes of women exposed to pitolisant during pregnancy, and another study of a different design such as a case control study or a retrospective cohort study using electronic medical record data, and a lactation study.</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are also required to report certain adverse events and production problems, if any, to the FDA, and to comply with requirements concerning advertising and promotion for WAKIX. Promotional communications with respect to prescription drugs are subject to a variety of legal and regulatory restrictions and must be consistent with the information in the product’s approved label. As such, we may not promote WAKIX for indications or uses for which it does not have FDA approval. The holder of an approved NDA must submit new or supplemental applications and obtain approval for certain changes to the approved product, product labeling or manufacturing process.</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If a regulatory agency discovers previously unknown problems with WAKIX, such as adverse events of unanticipated severity or frequency, or problems with the facility where the product is manufactured, or disagrees with the promotion, marketing, or labeling of a product, the regulatory agency may impose restrictions on the product or us, including requiring withdrawal of the product from the market. If we fail to comply with applicable regulatory requirements, a regulatory agency or enforcement authority may, among other things:</w:t>
      </w:r>
    </w:p>
    <w:p>
      <w:pPr>
        <w:spacing w:after="0" w:line="176" w:lineRule="exact"/>
        <w:rPr>
          <w:sz w:val="20"/>
          <w:szCs w:val="20"/>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issue warning or untitled letters;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impose civil or criminal penalties, including product seizures and injunctions;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limit or suspend regulatory approval;</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place clinical holds on any of our proposed or ongoing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refuse to approve pending applications or supplements to approved applications;</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impose restrictions on our operations, including closing our contract manufacturers’ facilities, on the manufacturing of our products, or on the labeling or marketing of our products; or</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seize or detain products, refuse to import or export products, or require or request a product recall or withdrawal of the products from the market.</w:t>
      </w:r>
    </w:p>
    <w:p>
      <w:pPr>
        <w:spacing w:after="0" w:line="15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WAKIX or future product candidates. If regulatory sanctions are applied or if regulatory approval is withdrawn, the value of our company and our operating results will be adversely affected.</w:t>
      </w:r>
    </w:p>
    <w:p>
      <w:pPr>
        <w:spacing w:after="0" w:line="17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regulatory requirements and policies may change, and additional government regulations may be enacted for which we may also be required to comply. We cannot predict the likelihood, nature or extent of government regulation that may arise from future legislation or administrative action, either in the United States or in other countries. If we or any future collaboration partner are not able to maintain regulatory compliance, we or such collaboration partner, as applicable, may face government enforcement action and our business will suffer.</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are subject to applicable healthcare regulatory laws, which could expose us to penalties.</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federal and state healthcare laws and regulations pertaining to fraud and abuse and patients’ rights. These laws may constrain the business or financial arrangements and relationships through which we conduct our operations, including how we research, market,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sell and distribute our product candidates, if approved. The laws that affect our current and future operations include, but are not limited to:</w:t>
      </w:r>
    </w:p>
    <w:p>
      <w:pPr>
        <w:spacing w:after="0" w:line="154" w:lineRule="exact"/>
        <w:rPr>
          <w:sz w:val="20"/>
          <w:szCs w:val="20"/>
          <w:color w:val="auto"/>
        </w:rPr>
      </w:pPr>
    </w:p>
    <w:p>
      <w:pPr>
        <w:jc w:val="both"/>
        <w:ind w:left="1000" w:hanging="317"/>
        <w:spacing w:after="0" w:line="239" w:lineRule="auto"/>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receiving, offering or paying any remuneration (including any kickback, bribe, or certain rebate), directly or indirectly, overtly or covertly, in cash or in kind, in exchange for, or to induce or reward, or in return for, either the referral of an individual for, or the purchase, lease, order or recommendation of, any good, facility, item, or service for which payment may be made, in whole or in part, under any U.S. federal healthcare programs, such as the Medicare and Medicaid programs. This statute has been interpreted to apply to arrangements between pharmaceutical manufacturers on the one hand, and prescribers, purchasers and formulary managers, among others, on the other. A person or entity does not need to have actual knowledge of the statute or specific intent to violate it in order to have committed a violation;</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37" w:lineRule="auto"/>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civil and criminal false claims laws, such as the False Claims Act (“FCA”), which imposes significant penalties and can be enforced by private citizens through civil qui tam actions, and prohibits individuals or entities from, among other things, knowingly presenting, or causing to be presented, to the U.S. federal government, false, fictitious or fraudulent claims for payment of federal funds, and knowingly making, using or causing to be made or used a false record or statement material to a false or fraudulent claim, or from knowingly making a false statement to avoid, decrease or conceal an obligation to pay money to the U.S. federal government. For example, pharmaceutical companies have been prosecuted under the FCA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In addition, the government may assert that a claim including items or services resulting from a violation of the federal Anti-Kickback Statute constitutes a false or fraudulent claim for purposes of the FCA;</w:t>
      </w:r>
    </w:p>
    <w:p>
      <w:pPr>
        <w:spacing w:after="0" w:line="190" w:lineRule="exact"/>
        <w:rPr>
          <w:rFonts w:ascii="Times New Roman" w:cs="Times New Roman" w:eastAsia="Times New Roman" w:hAnsi="Times New Roman"/>
          <w:sz w:val="18"/>
          <w:szCs w:val="18"/>
          <w:color w:val="auto"/>
        </w:rPr>
      </w:pPr>
    </w:p>
    <w:p>
      <w:pPr>
        <w:jc w:val="both"/>
        <w:ind w:left="1000" w:hanging="317"/>
        <w:spacing w:after="0" w:line="246" w:lineRule="auto"/>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76" w:lineRule="exact"/>
        <w:rPr>
          <w:rFonts w:ascii="Times New Roman" w:cs="Times New Roman" w:eastAsia="Times New Roman" w:hAnsi="Times New Roman"/>
          <w:sz w:val="18"/>
          <w:szCs w:val="18"/>
          <w:color w:val="auto"/>
        </w:rPr>
      </w:pPr>
    </w:p>
    <w:p>
      <w:pPr>
        <w:jc w:val="both"/>
        <w:ind w:left="1000" w:hanging="317"/>
        <w:spacing w:after="0" w:line="242" w:lineRule="auto"/>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177"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state law equivalents of each of the above federal laws, such as state anti-kickback and false claims laws which may apply to items or services reimbursed by any third-party payor, including commercial insurers, and may be broader in scope than their federal equivalents;</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46" w:lineRule="auto"/>
        <w:tabs>
          <w:tab w:leader="none" w:pos="10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federal transparency requirements detailing interactions with and payments to healthcare providers, such as the federal reporting requirements under the Physician Payments Sunshine Act, which requires, among other things, certain manufacturers of drugs, devices, biologics and medical supplies reimbursed under Medicare, Medicaid, or the Children’s Health Insurance Program, with specific exceptions, to report annually to the HHS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left="1000"/>
        <w:spacing w:after="0" w:line="242" w:lineRule="auto"/>
        <w:rPr>
          <w:sz w:val="20"/>
          <w:szCs w:val="20"/>
          <w:color w:val="auto"/>
        </w:rPr>
      </w:pPr>
      <w:r>
        <w:rPr>
          <w:rFonts w:ascii="Arial" w:cs="Arial" w:eastAsia="Arial" w:hAnsi="Arial"/>
          <w:sz w:val="18"/>
          <w:szCs w:val="18"/>
          <w:color w:val="auto"/>
        </w:rPr>
        <w:t>information related to payments and other transfers of value provided to physicians (defined to include doctors, dentists, optometrists, podiatrists and chiropractors), certain other health care professionals (physician assistants, nurse practitioners, clinical nurse specialists, certified registered nurse anesthetists, anesthesiologist assistants, and certified nurse midwives), and teaching hospitals and physician ownership and investment interests, including such ownership and investment interests held by a physician’s immediate family members. Failure to submit required information may result in civil monetary penalties;</w:t>
      </w:r>
    </w:p>
    <w:p>
      <w:pPr>
        <w:spacing w:after="0" w:line="179" w:lineRule="exact"/>
        <w:rPr>
          <w:sz w:val="20"/>
          <w:szCs w:val="20"/>
          <w:color w:val="auto"/>
        </w:rPr>
      </w:pPr>
    </w:p>
    <w:p>
      <w:pPr>
        <w:jc w:val="both"/>
        <w:ind w:left="1000" w:hanging="317"/>
        <w:spacing w:after="0" w:line="242" w:lineRule="auto"/>
        <w:tabs>
          <w:tab w:leader="none" w:pos="10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state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 and other potential referral sources, state laws that require drug manufacturers to file reports relating to pricing information and marketing expenditures, state and local laws requiring the registration of pharmaceutical sales representatives;</w:t>
      </w:r>
    </w:p>
    <w:p>
      <w:pPr>
        <w:spacing w:after="0" w:line="177" w:lineRule="exact"/>
        <w:rPr>
          <w:rFonts w:ascii="Times New Roman" w:cs="Times New Roman" w:eastAsia="Times New Roman" w:hAnsi="Times New Roman"/>
          <w:sz w:val="18"/>
          <w:szCs w:val="18"/>
          <w:color w:val="auto"/>
        </w:rPr>
      </w:pPr>
    </w:p>
    <w:p>
      <w:pPr>
        <w:jc w:val="both"/>
        <w:ind w:left="1000" w:hanging="317"/>
        <w:spacing w:after="0" w:line="243" w:lineRule="auto"/>
        <w:tabs>
          <w:tab w:leader="none" w:pos="10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179"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similar healthcare laws in the European Union and EEA and other jurisdictions, including reporting requirements detailing interactions with and payments to healthcare providers.</w:t>
      </w:r>
    </w:p>
    <w:p>
      <w:pPr>
        <w:spacing w:after="0" w:line="15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Ensuring that our business operations and current and future arrangements with third parties comply with applicable healthcare laws and regulations will likely be costly. It is possible that governmental authorities will conclude that our business practices, including, without limitation, our patient support and financial assistance programs, do not comply with current or future statutes, regulations, agency guidance or case law involving applicable fraud and abuse or other healthcare laws. If our operations are found to be in violation of any of the laws described above or any other governmental laws and regulations that apply to us, we may be subject to penalties, including civil, administrative and criminal penalties, damages, fines, the curtailment or restructuring of our operations, contractual damages, disgorgement, reputational harm, additional oversight and reporting obligations if we become subject to a corporate integrity agreement or similar agreement to resolve allegations of non-compliance with these laws, the exclusion from participation in federal and state healthcare programs and individual imprisonment, any of which could adversely affect our ability to market pitolisant, if approved, and adversely impact our financial results. Further, defending against any such actions can be costly, time-consuming and may require significant personnel resources.</w:t>
      </w:r>
    </w:p>
    <w:p>
      <w:pPr>
        <w:spacing w:after="0" w:line="18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Therefore, even if we are successful in defending against any such actions that may be brought against us, our business may be impaired. The risk of our being found in violation of these laws is increased by the fact that many of them have not been fully interpreted by the applicable regulatory agencies or the courts, and their provisions are open to a variety of interpretations.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Actual or perceived failure to comply with applicable data protection, privacy and security laws, regulations, standards and other requirements could adversely affect our business, results of operations, and financial condition.</w:t>
      </w:r>
    </w:p>
    <w:p>
      <w:pPr>
        <w:spacing w:after="0" w:line="15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and damage to our reputation, any of which could have a material adverse effect on our operations, financial performance and business.</w:t>
      </w:r>
    </w:p>
    <w:p>
      <w:pPr>
        <w:spacing w:after="0" w:line="15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California Consumer Privacy Act of 2018 (the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went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8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As our operations and business grow, we may become subject to or affected by new or additional data protection laws and regulations and face increased scrutiny or attention from regulatory authorities. In the United States,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as amended by HITECH. While we do not believe that we are currently acting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 consuming to defend and could result in adverse publicity that could harm our business.</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Europe,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In July 2020, the Court of Justice of the European Union (“CJEU”) invalidated the Privacy Shield for purposes of international transfers and imposed further restrictions on the use of standard contractual clauses (“SCCs”). The European Commission issued revised SCCs in June 2021 to account for the decision of the CJEU and recommendations made by the European Data Protection Board. The revised SCCs must be used for relevant new data transfers from September 27, 2021; existing</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standard contractual clauses arrangements must be migrated to the revised clauses by December 27, 2022. The new SCCs apply only to the transfer of personal data outside of the EEA and not the UK; the UK’s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Further, from January 2021, companies have to comply with the GDPR and also the UK GDPR, which, together with the amended UK Data Protection Act 2018, retains the GDPR in UK national law. The UK GDPR mirrors the fines under the GDPR, i.e., fines up to the greater of €20 million (£17.5 million) or 4% of global turnover. The relationship between the United Kingdom and the European Union in relation to certain aspects of data protection law remains unclear, and it is unclear how United Kingdom data protection laws and regulations will develop in the medium to longer term, and how data transfers to and from the United Kingdom will be regulated in the long term.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or extends that decision.</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If we or third-party CDMOs, CROs or other contractors or consultants fail to comply with applicable federal, state or local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Clinical practice guidelines and recommendations published by various organizations could have significant influence on the use of WAKIX.</w:t>
      </w:r>
    </w:p>
    <w:p>
      <w:pPr>
        <w:spacing w:after="0" w:line="1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Professional societies, practice management groups, private health and science foundations and organizations involved in various diseases from time to time may publish guidelines or recommendations to the healthcare and patient communities. The recommendations of these groups or organizations may relate to such matters as usage, dosage, route of administration and use of concomitant therapies. Recommendations or guidelines suggesting the reduced use of WAKIX or the use of competitive or alternative products as the standard of care to be followed by patients and healthcare providers could result in decreased use of WAKIX.</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Product candidates we develop in the future may be classified as controlled substances, the making, use, sale, importation, exportation and distribution of which are subject to regulation by state, federal and foreign law enforcement and other regulatory agencies.</w:t>
      </w:r>
    </w:p>
    <w:p>
      <w:pPr>
        <w:spacing w:after="0" w:line="1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Product candidates we develop in the future may be classified as controlled substances, which are subject to state, federal and foreign laws and regulations regarding their manufacture, use, sale, importation, exportation and distribution. Controlled substances are regulated under CSA and regulations of the DEA.</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Various states also independently regulate controlled substances. Though state-controlled substances laws often mirror federal law, because the states are separate jurisdictions, they may separately schedule drugs as well. While some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states automatically schedule a drug when the DEA does so, in other states there must be rulemaking or a legislative action. State scheduling may delay commercial sale of any controlled substance drug product for which we obtain federal regulatory approval and adverse scheduling could impair the commercial attractiveness of such product. We or our collaborators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For any of our products or product candidates classified as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case of our approved products, the ability to produce and distribute our products in the volume needed to meet commercial demand.</w:t>
      </w:r>
    </w:p>
    <w:p>
      <w:pPr>
        <w:spacing w:after="0" w:line="1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Regulations associated with controlled substances govern manufacturing, labeling, packaging, testing, dispensing, production and procurement quotas, recordkeeping,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approved products or product candidates that are classified as controlled substances.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Enacted and future healthcare legislative changes may increase the difficulty and cost for us to obtain marketing approval for and commercialize our product candidates and affect the prices we may obtain.</w:t>
      </w:r>
    </w:p>
    <w:p>
      <w:pPr>
        <w:spacing w:after="0" w:line="1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the United States, the European Union and other some foreign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 In particular, there have been and continue to be a number of initiatives at the U.S. federal and state levels that seek to reduce healthcare costs and improve the quality of healthcare.</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For example, the Affordable Care Act, or ACA, was enacted in 2010. The law has continued the downward pressure on pharmaceutical pricing, especially under the Medicare program, and increased the industry’s regulatory burdens and operating costs. Among the provisions of the ACA of importance to the pharmaceutical industry and our business are the following:</w:t>
      </w:r>
    </w:p>
    <w:p>
      <w:pPr>
        <w:spacing w:after="0" w:line="174" w:lineRule="exact"/>
        <w:rPr>
          <w:sz w:val="20"/>
          <w:szCs w:val="20"/>
          <w:color w:val="auto"/>
        </w:rPr>
      </w:pPr>
    </w:p>
    <w:p>
      <w:pPr>
        <w:jc w:val="both"/>
        <w:ind w:left="1000" w:right="20" w:hanging="317"/>
        <w:spacing w:after="0" w:line="252" w:lineRule="auto"/>
        <w:tabs>
          <w:tab w:leader="none" w:pos="10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an annual, non-deductible fee payable by any entity that manufactures or imports specified branded prescription drugs and biologic agents (other than those designated as orphan drugs), which is apportioned among these entities according to their market share in certain government healthcare programs;</w:t>
      </w:r>
    </w:p>
    <w:p>
      <w:pPr>
        <w:spacing w:after="0" w:line="170"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the statutory minimum rebates a manufacturer must pay under the Medicaid Drug Rebate Program for branded and generic drugs;</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extension of manufacturers’ Medicaid rebate liability to covered outpatient drugs dispensed to individuals who are enrolled in Medicaid managed care organizations;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establishment of a Center for Medicare and Medicaid Innovation at the CMS to test innovative payment and service delivery models to lower Medicare and Medicaid spending, potentially including prescription drug spending;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hanging="317"/>
        <w:spacing w:after="0" w:line="270" w:lineRule="auto"/>
        <w:tabs>
          <w:tab w:leader="none" w:pos="10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5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Since its enactment, there have been numerous judicial, executive and legislative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17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For example, the Budget Control Act of 2011, among other things, led to aggregate reductions to Medicare payments to providers, which went into effect in April 2013 and, due to subsequent legislative amendments to the statute, will stay in effect through 2032, unless additional Congressional action is taken. Additionally, the American Taxpayer Relief Act of 2012, among other things, reduced Medicare payments to several types of providers, including hospitals and cancer treatment centers, and increased the statute of limitations period in which the government may recover overpayments to providers from three to five years. The American Rescue Plan Act of 20021 eliminated the statutory cap on manufacturers’ Medicaid drug rebate liability, beginning January 1, 2024. The rebate was previously capped at 100% of a drug’s average manufacturer price.</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Inflation Reduction Act (the “IRA”) was enacted in 2022.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became effective in 2026, and the subsequent 15 drugs, which will first be effective in 2027. CMS has also published the next set of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While the impact of the IRA on the pharmaceutical industry cannot yet be fully determined, it is likely to be significant.</w:t>
      </w:r>
    </w:p>
    <w:p>
      <w:pPr>
        <w:spacing w:after="0" w:line="18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Under the IRA manufacturer discount program that replaced the previous coverage gap discount program as of January 1, 2025, manufacturers must give a 10 percent discount on Part D drugs in the initial coverage phase, and a 20 percent discount on Part D drugs in the so-called “catastrophic phase” (the phase after the patient incurs costs above the initial phase out-of-pocket threshold, which is $2,000 beginning in 2025). The IRA allows the 10 and 20 percent discounts to be phased in over time for certain drugs for “specified manufacturers.” CMS informed us that we are deemed a specified small manufacturer. We are still evaluating the potential impact of this status on our future revenues.</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WAKIX or any other product candidate that we commercialize.</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While any proposed measures will require authorization through additional legislation to become effective, the probability of their success is uncertain.</w:t>
      </w:r>
    </w:p>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Trump administration is pursuing a two-fold strategy to reduce drug costs in the U.S. While it is unclear whether and how the Trump proposals will be implemented, the Trump policies are likely to have a negative impact on the pharmaceutical industry and may have a negative impact on our ability to receive adequate revenues for WAKIX. On the one hand, President Trump has threatened to impose significant tariffs on pharmaceutical manufacturers that do not adopt pricing policies such as most favored nation pricing, which would tie the price for drugs in the U.S. to the lowest price in a</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w:t>
      </w:r>
    </w:p>
    <w:p>
      <w:pPr>
        <w:spacing w:after="0" w:line="18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Individual states in the United States have also become increasingly active in implementing regulations designed to control pharmaceutical product pricing, including price or patient reimbursement constraints, discounts, restrictions on certain product access, marketing cost disclosure, drug price reporting and other transparency measures. Some states have enacted legislation creating so-called prescription drug affordability boards, which ultimately may attempt to impose price limits on certain drugs in these states, and at least one state board is imposing an upper payment limit. States are also seeking to implement general, across the board price caps for pharmaceuticals, or are seeking to regulate drug distribution. Some measures are designed to encourage importation from other countries and bulk purchasing. In addition, regional healthcare authorities and individual hospitals are increasingly using bidding procedures to determine which drugs and suppliers will be included in their healthcare programs. Legally mandated price controls on payment amounts by third- 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Furthermore, there has been increased interest by third-party payors and governmental authorities in reference pricing systems and publication of discounts and list prices. These reforms could reduce the ultimate demand for our commercial products and product candidates, once approved, or put pressure on our product pricing.</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European Union, similar political, economic and regulatory developments may affect our ability to profitably commercialize our product candidates, if approved.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European Union, reimbursement and healthcare payment systems vary significantly by country, and many countries have instituted price ceilings on specific products and therapies.</w:t>
      </w:r>
    </w:p>
    <w:p>
      <w:pPr>
        <w:spacing w:after="0" w:line="1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we may be subject to enforcement action and we may not achieve or sustain profitability.</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that we participate in, we could be subject to additional reimbursement requirements, penalties, sanctions and fines, which could have a material adverse effect on our business, financial condition, results of operations and growth prospects.</w:t>
      </w:r>
    </w:p>
    <w:p>
      <w:pPr>
        <w:spacing w:after="0" w:line="16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Medicaid is a joint federal and state program administered by the states for low income and disabled beneficiaries. We participate in and have certain price reporting obligations under the Medicaid Drug Rebate Program, or the MDRP, as a condition of having covered outpatient drugs payable under Medicaid and, if applicable, under Medicare Part B. The MDRP requires us to pay a rebate to state Medicaid programs every quarter for each unit of our covered outpatient drugs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dispensed to Medicaid beneficiaries and paid for by a state Medicaid program. The rebate is based on pricing data that we must report on a monthly and quarterly basis to the Centers for Medicare &amp; Medicaid Services, or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United States in any pricing structure, calculated to include all sales and associated rebates, discounts and other price concessions. The Medicaid rebate consists of two components, the basic rebate and the additional rebate, which is triggered if the AMP for a drug increases faster than inflation. If we become aware that our MDRP government price reporting submission for a prior quarter was incorrect or has changed as a result 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 In the event that CMS terminates our rebate agreement pursuant to which we participate in the MDRP, no federal payments would be available under Medicaid or Medicare Part B for our covered outpatient drugs. Our failure to comply with our MDRP price reporting and rebate payment obligations could negatively impact our financial results.</w:t>
      </w:r>
    </w:p>
    <w:p>
      <w:pPr>
        <w:spacing w:after="0" w:line="1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IRA imposes rebates under Medicare Part B and Medicare Part D that are triggered by price increases that outpace inflation (first due in 2023), as described under the risk factor “Enacted and future healthcare legislative changes may increase the difficulty and cost for us to obtain marketing approval for and commercialize our product candidates and affect the prices we may obtain,” above. The Medicare Part D rebate, if applicable, will be calculated on the basis of the AMP figures we report pursuant to the MDRP.</w:t>
      </w:r>
    </w:p>
    <w:p>
      <w:pPr>
        <w:spacing w:after="0" w:line="17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Federal law requires that any company that participates in the MDRP also participate in the Public Health Service’s 340B drug pricing program in order for federal funds to be available for the manufacturer’s drugs under Medicaid and, if applicable, Medicare Part B. We participate in the 340B program, which is administered by the Health Resources and Services Administration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low-income patients. The ACA expanded the list of covered entities to include certain free-standing cancer hospitals, critical access hospitals, rural referral centers and sole community hospitals, but exempts “orphan drugs,” such as WAKIX, from the ceiling price requirements for these covered entities. The 340B ceiling price is calculated using a statutory formula based on the AMP and rebate amount for the covered outpatient drug as calculated under the MDRP, and in general, products subject to Medicaid price reporting and rebate liability are also subject to the 340B ceiling price calculation and discount requirement. We must report 340B ceiling prices to HRSA on a quarterly basis, and HRSA publishes those prices to 340B covered entities. In addition, HRSA has finalized regulations regarding the calculation of the 340B ceiling price and the imposition of civil monetary penalties on manufacturers that knowingly and intentionally overcharge covered entities for 340B-eligible drugs. HRSA has also finalized a revised regulation implementing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Our failure to comply 340B program requirements could negatively impact our financial results. Any additional future changes to the definition of average manufacturer price and the Medicaid rebate amount under legislation or regulation could affect our 340B ceiling price calculations and also negatively impact our financial results.</w:t>
      </w:r>
    </w:p>
    <w:p>
      <w:pPr>
        <w:spacing w:after="0" w:line="19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order for WAKIX or any product candidates, if approved, to be paid for with federal funds under the Medicaid and Medicare Part B programs and purchased by certain federal agencies and grantees, we also participate in the U.S. Department of Veterans Affairs, or VA, Federal Supply Schedule, or FSS, pricing program. As part of this program, we are required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must calculate and report to 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8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of pharmaceutical manufacturers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Pricing and rebate calculations vary among products and programs. The calculations are complex and are often subject to interpretation by us, governmental or regulatory agencies, and the courts. CMS, the Department of Health &amp; Human Services Office of Inspector General, and other governmental agencies have pursued manufacturers that were alleged to have failed to report these data to the government in a timely or accurate manner. Governmental agencies may also make changes in program interpretations, requirements or conditions of participation, some of which may have implications for amounts previously estimated or paid. We cannot assure you that any submissions we are required to make under the MDRP, the 340B program, the VA/FSS program, the Tricare Retail Pharmacy Program, and other governmental drug pricing programs will not be found to be incomplete or incorrect.</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antimony laundering laws and regulations. Compliance with these legal standards could impair our ability to compete in domestic markets. We can face criminal liability and other serious consequences for violations, which can harm our business.</w:t>
      </w:r>
    </w:p>
    <w:p>
      <w:pPr>
        <w:spacing w:after="0" w:line="16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United States domestic bribery statute contained in 18 U.S.C. § 201, the United States Travel Act, the USA PATRIOT Act, and other state and national anti-bribery and 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have direct or indirect interactions with officials and employees of government agencies or government- affiliated hospitals, universities, and other organizations. We can be held liable for the corrupt or other illegal activities of our employees, agents, contractors and other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7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funding of other government agencies that fund research and development activities is subject to the political process, which is inherently fluid and unpredictable. Disruptions at the FDA and other agencies may also slow the time necessary for new drugs and biologics or modifications to approved drugs and biologics to be reviewed and/or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Separately, in response to the COVID-19 pandemic, the FDA postponed most inspections at domestic and foreign manufacturing facilities at various points. If a prolonged government shutdown occurs, or if global health concerns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obtained a rare pediatric disease designation for EPX100 for the treatment of Dravet Syndrome and Lennox-Gastaut Syndrome, however, there is no guarantee that FDA approval of will result in issuance of a priority review voucher.</w:t>
      </w:r>
    </w:p>
    <w:p>
      <w:pPr>
        <w:spacing w:after="0" w:line="15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that meets certain criteria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United States within one year following the date of approval.</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have obtained a rare pediatric disease designation for EPX100 for the treatment of Dravet Syndrome, however, there is no guarantee that we will be able to obtain a priority review voucher, even if EPX100 is approved by the FDA. For example, the FDA may determine that an NDA, even if ultimately approved, does not meet the eligibility criteria for a priority review voucher, including for the following reasons:</w:t>
      </w:r>
    </w:p>
    <w:p>
      <w:pPr>
        <w:spacing w:after="0" w:line="174" w:lineRule="exact"/>
        <w:rPr>
          <w:sz w:val="20"/>
          <w:szCs w:val="20"/>
          <w:color w:val="auto"/>
        </w:rPr>
      </w:pPr>
    </w:p>
    <w:p>
      <w:pPr>
        <w:ind w:left="1340" w:hanging="333"/>
        <w:spacing w:after="0"/>
        <w:tabs>
          <w:tab w:leader="none" w:pos="134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product no longer meets the definition of a rare pediatric disease;</w:t>
      </w:r>
    </w:p>
    <w:p>
      <w:pPr>
        <w:spacing w:after="0" w:line="224" w:lineRule="exact"/>
        <w:rPr>
          <w:rFonts w:ascii="Times New Roman" w:cs="Times New Roman" w:eastAsia="Times New Roman" w:hAnsi="Times New Roman"/>
          <w:sz w:val="18"/>
          <w:szCs w:val="18"/>
          <w:color w:val="auto"/>
        </w:rPr>
      </w:pPr>
    </w:p>
    <w:p>
      <w:pPr>
        <w:ind w:left="1340" w:right="20" w:hanging="333"/>
        <w:spacing w:after="0" w:line="270" w:lineRule="auto"/>
        <w:tabs>
          <w:tab w:leader="none" w:pos="134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product contains an active ingredient (including any ester or salt of the active ingredient) that has been previously approved in another marketing application;</w:t>
      </w:r>
    </w:p>
    <w:p>
      <w:pPr>
        <w:spacing w:after="0" w:line="154" w:lineRule="exact"/>
        <w:rPr>
          <w:rFonts w:ascii="Times New Roman" w:cs="Times New Roman" w:eastAsia="Times New Roman" w:hAnsi="Times New Roman"/>
          <w:sz w:val="18"/>
          <w:szCs w:val="18"/>
          <w:color w:val="auto"/>
        </w:rPr>
      </w:pPr>
    </w:p>
    <w:p>
      <w:pPr>
        <w:ind w:left="1340" w:right="20" w:hanging="333"/>
        <w:spacing w:after="0" w:line="270" w:lineRule="auto"/>
        <w:tabs>
          <w:tab w:leader="none" w:pos="134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application does not rely on clinical data derived from studies examining a pediatric population and dosages of the drug intended for that population;</w:t>
      </w:r>
    </w:p>
    <w:p>
      <w:pPr>
        <w:spacing w:after="0" w:line="154" w:lineRule="exact"/>
        <w:rPr>
          <w:rFonts w:ascii="Times New Roman" w:cs="Times New Roman" w:eastAsia="Times New Roman" w:hAnsi="Times New Roman"/>
          <w:sz w:val="18"/>
          <w:szCs w:val="18"/>
          <w:color w:val="auto"/>
        </w:rPr>
      </w:pPr>
    </w:p>
    <w:p>
      <w:pPr>
        <w:ind w:left="1340" w:right="20" w:hanging="333"/>
        <w:spacing w:after="0" w:line="270" w:lineRule="auto"/>
        <w:tabs>
          <w:tab w:leader="none" w:pos="134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application is approved for a different adult indication than the rare pediatric disease for which the product is designated</w:t>
      </w:r>
    </w:p>
    <w:p>
      <w:pPr>
        <w:spacing w:after="0" w:line="15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Moreover, Congress included a sunset provision in the statute authorizing the rare pediatric disease priority review voucher program. Under the statutory sunset provisions, after December 20, 2024, FDA could only award a voucher for an approved rare pediatric disease product application if the sponsor has rare pediatric disease designation for the product candidate, and that designation was granted by December 20, 2024. After September 30, 2026, FDA would no longer be authorized to award any rare pediatric disease priority review vouchers, regardless of any rare pediatric disease designation. In February 2026, the Consolidated Appropriations Act of 2026 was passed by Congress and signed into law. Under the provisions of the Consolidated Appropriations Act of 2026, this program was restored and authorizes the FDA to award priority review vouchers through September 30, 2029.</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will need to obtain FDA approval of any proposed product names, and any failure or delay associated with such approval may adversely affect our business.</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Any proprietary name we intend to use for our product candidates will require approval from the FDA regardless of whether we have secured a formal trademark registration from the USPTO. The FDA reviews proposed product names, considering both the potential for the name to lead to medical errors due to confusion with other product names and whether the proposed name is overly fanciful, misleadingly implies unique effectiveness or composition, or contributes to overstatement of product efficacy, minimization of risk, broadening of product indications or unsubstantiated superiority. If the FDA objects to any of our proposed product names, we may be required to adopt an alternative name for our product candidates. If we adopt an alternative name, we would lose the benefit of our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4"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technology and products, or if the scope of the patent protection obtained is not sufficiently broad, we may not be able to compete effectively in our markets.</w:t>
      </w:r>
    </w:p>
    <w:p>
      <w:pPr>
        <w:spacing w:after="0" w:line="1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rely, and will continue to rely, on a combination of patents, trademarks and confidentiality agreements with employees, consultants, collaborators, advisors and other third parties to protect the intellectual property related to our current and future product candidates. Our success depends in large part on our licensor’s ability to obtain and maintain patent protection in the United States with respect to WAKIX and our ability to obtain and maintain patent protection in the United States and any other relevant foreign jurisdictions with respect to any future product candidates that we develop. We seek to ensure that our current and future licensors obtain appropriate patent protection to all product candidates that we license from them. The patent prosecution process is expensive and time- consuming, and we and our licensors may not be able to file and prosecute all necessary or desirable patent applications at a reasonable cost or in a timely manner.</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in-licensed patent portfolio comprises four U.S. patents and a U.S. patent application exclusively licensed to us from Bioprojet. One U.S. patent, No. 8,207,197 has claims directed to the polymorph, i.e., a specific crystalline form, of pitolisant and, methods for preparing that polymorph of pitolisant in WAKIX, which is expected to expire in in March 2030 based on a granted request for patent term extension, and patent term adjustment, but without taking into consideration any possible pediatric exclusivity. A second U.S. patent, No. 8,486,947, has claims directed to methods of treating EDS by administering pitolisant, which is expected to expire in September 2029 based on patent term adjustment. U.S. Patent No. 12,145,916 has composition claims directed to a second polymorph of pitolisant, and is expected to expire in March 2044, not including any possible extension of patent term. We also license three pending U.S. patent applications from Bioprojet that claim the pitolisant GR and pitolisant HD formulations. Any patents that issue from these applications are expected to expire in October 2044, without taking into any consideration any possible adjustment of patent term.</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patents and patent applications that we in-license now or the patents and patent applications that we own or in-license in the future may not have patentable claims that protect our current and future product candidates in the relevant jurisdictions where we intend to commercialize such products. There is no assurance that we and our licensor are aware of all potentially relevant prior art relating to future patent applications. As such, the patent examiner may find prior art that can prevent a patent from issuing from a pending patent application. During the patent examination process, we or our licensor may be required to narrow the pending claims to overcome prior art, a process that may limit the scope of patent protection. Even if patents do successfully issue based on our future patent applications, and even if the issued patents cover our current and future product candidates, including their compositions formulation, method of manufacture, and method of use, third parties may challenge our issued patents’ validity, enforceability or scope, which may result in such patents being narrowed, invalidated or held unenforceable. Any successful opposition to these patents or any other patents owned by or licensed to us in the future could deprive us of rights necessary for the successful commercialization of any of our current or future product candidates, if approved. Further, if we encounter delays in regulatory approvals, the period of time during which we could market a product candidate under patent protection could be reduced.</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the patent applications we may own or in-license in the future with respect to our current and future product candidates fail to issue, if their breadth or strength of protection is threatened, or if they fail to provide meaningful exclusivity for any of our current or future product candidates, it could dissuade other companies from collaborating with us to develop</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future product candidates, and threaten our ability to commercialize our current and future product candidates. Notably, pending patent applications cannot be enforced against third parties practicing the technology claimed in such applications unless and until a patent issues from such applications. Any such outcome could have an adverse effect on our business.</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For example, European patent law restricts the patentability of methods of treatment of the human body more than U.S. law does.</w:t>
      </w:r>
    </w:p>
    <w:p>
      <w:pPr>
        <w:spacing w:after="0" w:line="17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On September 16, 2011, the Leahy-Smith America Invents Act (the “Leahy-Smith Act”) was signed into law. The Leahy-Smith Act made a number of significant changes to United States patent laws. These include provisions that affect the way patent applications are prosecuted and challenged at the USPTO and may also affect patent litigation. The USPTO has developed and continues to develop new regulations and procedures to govern administration of the Leahy-Smith Act, and many of the substantive changes to patent law associated with the Leahy-Smith Act, and in particular, the first to file provisions, only became effective on March 16, 2013. Accordingly, it remains unclear what impact the Leahy-Smith Act, subsequent rulemaking, and judicial interpretation of the Leahy-Smith Act and regulations will have on the operation of our business. However, the Leahy- Smith Act and its implementation could increase the uncertainties and costs surrounding the prosecution of our patent applications and the enforcement or defense of our issued patents, all of which could have an adverse effect on our business and financial condition. Moreover, future changes to the patent laws of the United States and foreign jurisdictions may adversely affect the term, scope, validity and enforceability of our or our licensor’s patent rights. For example, a new bill (Terminating the Extension of Rights Misappropriated Act, or TERM Act, H.R. 3199) percolating through the United States Congress aims to reduce the term of certain drug patents in order to ease generic entry and increase competition.</w:t>
      </w:r>
    </w:p>
    <w:p>
      <w:pPr>
        <w:spacing w:after="0" w:line="18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inventorship and ownership rights for patents that we in-license or may own or in-license in the future may be challenged by third parties. Such challenges could result in loss of exclusive rights to such patents, which could limit our ability to stop others from using or commercializing similar or identical technology and products, or require us to obtain a license from such third parties on commercially reasonable terms to secure exclusive rights. If any such challenges to inventorship or ownership were asserted, there is no assurance that a court would find in our favor or that, if we choose to seek a license, such license would be available to us on acceptable terms or at all.</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Moreover, we may be subject to a third-party pre-issuance submission of prior art to the USPTO or become involved in pre- and post-issuance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whether owned or in-licensed now or in the future, is threatened, it could dissuade companies from collaborating with us to license, develop or commercialize current or future product candidates.</w:t>
      </w:r>
    </w:p>
    <w:p>
      <w:pPr>
        <w:spacing w:after="0" w:line="18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licensed patents may be challenged in U.S. Federal Courts or the United States Patent and Trademark Office.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the filing of the earliest non-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provisional application to which the patent claims priority. Various extensions may be available; however, the life of a patent, and the protection it affords, is limited. We may be required to disclaim a portion of patent term in order to overcome double patenting rejections from the patent office, thus potentially shortening our exclusivity period.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licensed patent portfolio may not provide us with sufficient rights to exclude others from commercializing products similar or identical to ours.</w:t>
      </w:r>
    </w:p>
    <w:p>
      <w:pPr>
        <w:spacing w:after="0" w:line="18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current and future product candidates.</w:t>
      </w:r>
    </w:p>
    <w:p>
      <w:pPr>
        <w:spacing w:after="0" w:line="15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We have licensed certain intellectual property rights covering pitolisant and related compositions from Bioprojet, and we may license intellectual property rights from others in the future. If, for any reason, our license agreement with Bioprojet or any future licensor is terminated or we otherwise lose the rights associated with a license, it could adversely affect our business. Our license agreement with Bioprojet imposes, and any future collaboration agreements or license agreements we enter into are likely to impose various development, commercialization, funding, milestone, royalty, diligence, sublicensing, insurance, patent prosecution and enforcement or other obligations on us.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having to negotiate new or reinstated licenses on less favorable terms, or enable a competitor to gain access to the licensed technology.</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by extending the patent term for our current and future product candidates, our business may be harmed.</w:t>
      </w:r>
    </w:p>
    <w:p>
      <w:pPr>
        <w:spacing w:after="0" w:line="1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commercial success will largely depend on our licensor’s ability to obtain and maintain patent and other intellectual property in the United States for pitolisant, and our target indications, and our ability to obtain and maintain patent and other intellectual property in the United States for any product candidates. Given the amount of time required for the development, testing and regulatory review of new product candidates, patents protecting product candidates might expire before or shortly after such candidates begin to be commercialized. We expect to seek extensions of patent terms in the United States.</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Depending upon the timing, duration and specifics of FDA marketing approval of our current and future product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drug development and the FDA regulatory review process, which is limited to the approved indication (or any additional indications approved during the period of extension). This extension is limited to only one patent that covers the approved product, the approved use of the product, or a method of manufacturing the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If we or our licensor are unable to extend the expiration date of our or their existing patents or obtain new patents with longer expiry dates, as applicable,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validity, scope and enforceability of any patents listed in the Orange Book that cover our current and future product candidates have been challenged by third parties and may be challenged by third parties in the future.</w:t>
      </w:r>
    </w:p>
    <w:p>
      <w:pPr>
        <w:spacing w:after="0" w:line="13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One or more third parties have challenged, and additional third parties in the future may challenge the current patents, or future patents within our portfolio, which could result in the invalidation of, or render unenforceable, some or all of the relevant patent claims or a finding of non-infringement. For example, if a third party files an ANDA for a generic drug containing pitolisant, and relies in whole or in part on studies conducted by or for us, the third party will be required to certify to the FDA that either: (1) there is no patent information listed in the FDA’s Orange Book with respect to our NDA for the applicable approved product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 party’s generic drug. A certification that the new drug will not infringe the Orange Book-listed patents for the applicable approved product candidate, or that such patents are invalid, is called a paragraph IV certification. If the third party submits a paragraph IV certification to the FDA, a notice of the paragraph IV certification must also be sent to us 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of FDA approval.</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Moreover, third parties have challenged, and additional third parties in the future may challenge the current patents, or future patents within our portfolio, which could result in the invalidation of some or all of the patents that might otherwise be eligible for listing in the Orange Book for one of our products. If a third party successfully challenges all of the patents that might otherwise be eligible for listing in the Orange Book for one of our products, we will not be entitled to the 30 -month stay of FDA approval upon the filing of an ANDA for a generic drug containing, for example, pitolisant, that relies in whole or in part on studies conducted by or for us. See Note 13 to our consolidated financial statements included herein under “Part II-Item 8. Financial Statements and Supplementary Data” for more information.</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current and future product candidates.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 -payment of fees and failure to properly legalize and submit formal documents. If we or our licensors fail to maintain patents and patent applications, whether owned or in-licensed now or in the future, covering any of our current or future product candidates, our competitors might be able to enter the market, which would have an adverse effect on our business.</w:t>
      </w:r>
    </w:p>
    <w:p>
      <w:pPr>
        <w:spacing w:after="0" w:line="18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need to acquire or license intellectual property from third parties, and such licenses may not be available or may not be available on commercially reasonable terms.</w:t>
      </w:r>
    </w:p>
    <w:p>
      <w:pPr>
        <w:spacing w:after="0" w:line="1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of our current and future product candidates. It may be necessary for us to use the patented or proprietary technology of one or more third parties to commercialize our current and future product candidates. If we are unable to acquire such intellectual property outright, or obtain licenses to such intellectual property from such third parties when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needed or on commercially reasonable terms, our ability to commercialize our current and future product candidates, if approved, would likely be delayed.</w:t>
      </w:r>
    </w:p>
    <w:p>
      <w:pPr>
        <w:spacing w:after="0" w:line="15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risks described elsewhere pertaining to our intellectual property rights also apply to the intellectual property rights that we in-license, and any failure by us or our licensors to obtain, maintain, defend and enforce these rights could have an adverse effect on our business. In some cases we may not have control over the prosecution, maintenance or enforcement of the patents that we license, and may not have sufficient ability to provide input into the patent prosecution, maintenance and defense process with respect to such patents, and our licensors may fail to take the steps that we believe are necessary or desirable in order to obtain, maintain, defend and enforce the licensed patents.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Third-party claims or litigation alleging infringement of patents or other proprietary rights, or seeking to invalidate patents or other proprietary rights, may delay or prevent the development and commercialization of any of our current or future product candidates.</w:t>
      </w:r>
    </w:p>
    <w:p>
      <w:pPr>
        <w:spacing w:after="0" w:line="15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commercial success depends in part on our avoiding infringement and other violations of the patents and proprietary rights of third parties. There is a substantial amount of litigation, both within and outside the United States, involving patent and other intellectual property rights in the pharmaceutical and biotechnology industries, including patent infringement lawsuits, interferences, derivation and administrative law proceedings, inter partes review and post-grant review before the USPTO, as well as oppositions and similar processes in foreign jurisdictions. Numerous United States and foreign issued patents and pending patent applications, which are owned by third parties, exist in the fields in which we are or may in the future be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Third parties may assert that we are infringing their patents or employing their proprietary technology without authorization.</w:t>
      </w:r>
    </w:p>
    <w:p>
      <w:pPr>
        <w:spacing w:after="0" w:line="15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There may be third-party patents or patent applications with claims to materials, formulations, methods of manufacture or methods for treatment related to the use or manufacture of our current and future product candidates. Because patent applications can take many years to issue, there may be currently pending patent applications that may later result in issued patents that our current and future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current and future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 was to be held by a court of competent jurisdiction to cover aspects of our formulations, processes for manufacture or methods of use, including combination therapy, the holders of any such patent may be able to block our ability to develop and commercialize the applicable product candidate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our current and future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current and future product candidates, and we have done so from time to time. We may fail to obtain any of these licenses at a reasonable cost or on reasonable terms, if at all. In that event, we would be unable to further develop and commercialize our current and future product candidates, which</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could harm our business significantly. Claims that we have misappropriated the confidential information or trade secrets of third parties could have a similar negative impact on our business.</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cannot provide any assurances that third-party patents do not exist which might be enforced against our current and future product candidates, resulting in either an injunction prohibiting our sales, or, with respect to our sales, an obligation on our part to pay royalties or other forms of compensation to third parties.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product candidate in any jurisdiction.</w:t>
      </w:r>
    </w:p>
    <w:p>
      <w:pPr>
        <w:spacing w:after="0" w:line="17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It is possible that we and our current and future licensors will fail to identify patentable aspects of research and development output before it is too late to obtain patent protection. The patent applications that we may own or in-license in the future may fail to result in issued patents with claims that cover our current and future product candidates. We and our current and future licensors may also inadvertently make statements to regulatory agencies during the regulatory approval process that may be inconsistent with positions that have been taken during prosecution of the patent applications, which may result in such patents being narrowed, invalidated or held unenforceable.</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affect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affect our ability to develop and market our products.</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our other intellectual property rights, which could be expensive, time consuming and unsuccessful.</w:t>
      </w:r>
    </w:p>
    <w:p>
      <w:pPr>
        <w:spacing w:after="0" w:line="1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Competitors may infringe or otherwise violate the patents of our licensor or our other intellectual property rights. To counter infringement or unauthorized use, we may be required to file legal claims, which can be expensive and time-consuming. In addition, in an infringement proceeding, a court may decide that an asserted patent is not valid or is unenforceable, or may refuse to stop the other party from using the technology at issue on the grounds that the asserted patent does not cover the technology in question. An adverse result in any litigation or defense proceedings could put one or more of asserted patents at risk of being invalidated or interpreted narrowly and could put a related patent application at risk of not issuing. The initiation of a claim against a third party may also cause the third party to bring counter claims against us such as claims asserting that our patents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may license in the future,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1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may not be able to detect or prevent, alone or with our licensors, misappropriation of our intellectual property rights, particularly in countries where the laws may not protect those rights as fully as in the United States. Our business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pacing w:after="0" w:line="16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w:t>
      </w:r>
    </w:p>
    <w:p>
      <w:pPr>
        <w:spacing w:after="0" w:line="18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Because of the expense and uncertainty of litigation, we may not be in a position to enforce our intellectual property rights against third parties.</w:t>
      </w:r>
    </w:p>
    <w:p>
      <w:pPr>
        <w:spacing w:after="0" w:line="1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Because of the expense and uncertainty of litigation, we may conclude that even if a third party is infringing our owned or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United States has recently enacted and implemented wide-ranging patent reform legislation. The U.S. Supreme Court and the U.S. Court of Appeals for the Federal Circuit have issued numerous precedential opinions in recent years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18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w:t>
      </w:r>
    </w:p>
    <w:p>
      <w:pPr>
        <w:spacing w:after="0" w:line="18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employ individuals who were previously employed at other biotechnology or pharmaceutical companies.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 Moreover, any such litigation or the threat thereof may adversely affect our reputation, our ability to form strategic alliances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or sublicense our rights to collaborators, engage with scientific advisors or hire employees or consultants, each of which would have an adverse effect on our business, results of operations and financial condition.</w:t>
      </w:r>
    </w:p>
    <w:p>
      <w:pPr>
        <w:spacing w:after="0" w:line="15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 executing or may be breached, and we may be forced to bring claims against third parties, or defend claims they may bring against us, to determine the ownership of what we regard as our intellectual property.</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we or our licensors fail in prosecuting or defending any such claims, in addition to paying monetary damages, we may lose valuable intellectual property rights or personnel. Even if we and our licensors are successful in prosecuting or defending against such claims, litigation could result in substantial costs and be a distraction to management.</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Any trademarks we have obtained or may obtain may be infringed or be successfully challenged, resulting in harm to our business.</w:t>
      </w:r>
    </w:p>
    <w:p>
      <w:pPr>
        <w:spacing w:after="0" w:line="1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expect to rely on trademarks as one means to distinguish any of our current and future product candidates that are approved for marketing from the products of our competitors. For example, we are marketing pitolisant for the treatment of EDS or cataplexy in adult patients with narcolepsy under the brand name WAKIX, which we have licensed from Bioprojet. We may design or create new trademarks and apply to register them, our trademark applications may not be approved in the United States or any relevant foreign jurisdiction.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our trademarks and we may not have adequate resources to enforce our trademarks. If we attempt to enforce our trademarks and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directors, officers and principal stockholders beneficially own a significant percentage of our stock and are able to exert significant control over matters subject to stockholder approval.</w:t>
      </w:r>
    </w:p>
    <w:p>
      <w:pPr>
        <w:spacing w:after="0" w:line="1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December 31, 2025, our directors, officers, five percent or greater stockholders, and their respective affiliates beneficially owned in the aggregate approximately 44% of our outstanding voting stock. As a result,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and approval of any merger, sale of assets or other major corporate transaction. This may prevent or discourage unsolicited acquisition proposals or offers for our common stock that you may feel are in your best interest as one of our stockholders</w:t>
      </w:r>
      <w:r>
        <w:rPr>
          <w:rFonts w:ascii="Arial" w:cs="Arial" w:eastAsia="Arial" w:hAnsi="Arial"/>
          <w:sz w:val="18"/>
          <w:szCs w:val="18"/>
          <w:i w:val="1"/>
          <w:iCs w:val="1"/>
          <w:color w:val="auto"/>
        </w:rPr>
        <w:t>.</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Future sales of our common stock in the public market, including sales by our directors, officers, or significant shareholders, could cause our share price to fall.</w:t>
      </w:r>
    </w:p>
    <w:p>
      <w:pPr>
        <w:spacing w:after="0" w:line="1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Certain holders of our common stock are entitled to rights with respect to registration of such shares under the Securities Act pursuant to a registration rights agreement between such holders and us. If such holders, by exercising their registration rights, sell a large number of shares, they could adversely affect the market price for our common stock. Subject to compliance with applicable securities laws, our officers, directors and other shareholders and their respective affiliates may sell some or all of their common shares in the future. No prediction can be made as to the effect, if any, such future sales will have on the market price of the common shares prevailing from time to time.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13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operating results do not meet the expectations of the investor community, one or more of the analysts who cover our company may change their recommendations regarding our company, and our stock price could decline.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2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operating results are subject to quarterly fluctuations. Our net income and other operating results are affected by numerous factors, including:</w:t>
      </w:r>
    </w:p>
    <w:p>
      <w:pPr>
        <w:spacing w:after="0" w:line="154" w:lineRule="exact"/>
        <w:rPr>
          <w:sz w:val="20"/>
          <w:szCs w:val="20"/>
          <w:color w:val="auto"/>
        </w:rPr>
      </w:pPr>
    </w:p>
    <w:p>
      <w:pPr>
        <w:ind w:left="1000" w:hanging="317"/>
        <w:spacing w:after="0"/>
        <w:tabs>
          <w:tab w:leader="none" w:pos="10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the level of expenses related to our development programs;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addition or termination of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any intellectual property infringement lawsuit in which we may become involved;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affecting pitolisant;</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execution of any collaborative, licensing or similar arrangements, and the timing of payments we may make or receive under these arrangements;</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achievement and timing of milestone payments under our existing collaboration and license agreements; and</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underlying demand for WAKIX and customers’ buying patterns.</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our common stock, including pursuant to our equity incentive plans, could result in additional dilution of the percentage ownership of our stockholders and could cause the stock price of our common stock to decline.</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the future, we may sell common stock, convertible securities or other equity securities in one or more transactions at prices and in a manner we determine from time to time. We also expect to issue common stock to employees, consultants and directors pursuant to our equity incentive plans. If we sell common stock, convertible securities or other equity securities in subsequent transactions, or common stock is issued pursuant to equity incentive plans, investors may be materially diluted. New investors in such subsequent transactions could gain rights, preferences and privileges senior to those of holders of our common stock.</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1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Our amended and restated certificate of incorporation (the “Certificate of Incorporation”) and our amended and restated bylaws (the “Bylaws”) contain provisions that could delay or prevent a change in control of the Company. These provisions could also make it more difficult for stockholders to elect directors and take other corporate actions. These provisions include:</w:t>
      </w:r>
    </w:p>
    <w:p>
      <w:pPr>
        <w:spacing w:after="0" w:line="174" w:lineRule="exact"/>
        <w:rPr>
          <w:sz w:val="20"/>
          <w:szCs w:val="20"/>
          <w:color w:val="auto"/>
        </w:rPr>
      </w:pPr>
    </w:p>
    <w:p>
      <w:pPr>
        <w:ind w:left="4860" w:right="2840" w:hanging="4177"/>
        <w:spacing w:after="0" w:line="787" w:lineRule="auto"/>
        <w:tabs>
          <w:tab w:leader="none" w:pos="1003"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providing for a classified board of directors with staggered, three-year terms;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hanging="317"/>
        <w:spacing w:after="0" w:line="270" w:lineRule="auto"/>
        <w:tabs>
          <w:tab w:leader="none" w:pos="10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authorizing our board of directors to issue preferred stock with voting or other rights or preferences that could discourage a takeover attempt or delay changes in control;</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prohibiting cumulative voting in the election of directors;</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providing that vacancies on our board of directors may be filled only by a majority of directors then in office, even though less than a quorum;</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prohibiting the adoption, amendment or repeal of our Bylaws or Certificate of Incorporation regarding the election and removal of directors without the required approval of at least 66.67% of the shares entitled to vote at an election of directors;</w:t>
      </w:r>
    </w:p>
    <w:p>
      <w:pPr>
        <w:spacing w:after="0" w:line="17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prohibiting stockholder action by written consent;</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limiting the persons who may call special meetings of stockholders; and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requiring advance notification of stockholder nominations and proposals.</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addition, we are subject to the anti-takeover provisions contained in Section 203 of the Delaware General Corporation Law (the “DGCL”). Under Section 203 of the DGCL,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These and other provisions in our Certificate of Incorporation, Bylaws and under Delaware law could discourage potential takeover attempts, reduce the price investors are willing to pay for shares of our common stock and result in the market price of our common stock being lower than it would be without these provisions.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167" w:lineRule="exact"/>
        <w:rPr>
          <w:sz w:val="20"/>
          <w:szCs w:val="20"/>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any derivative action or proceeding brought on our behalf;</w:t>
      </w:r>
    </w:p>
    <w:p>
      <w:pPr>
        <w:spacing w:after="0" w:line="183"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of breach of a fiduciary duty owed by, or other wrongdoing by, any of our current or former directors, officers, employees or our stockholders;</w:t>
      </w:r>
    </w:p>
    <w:p>
      <w:pPr>
        <w:spacing w:after="0" w:line="113"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(as either may be amended from time to time) or as to which the DGCL confers jurisdiction on the Court of Chancery of the State of Delaware; and</w:t>
      </w:r>
    </w:p>
    <w:p>
      <w:pPr>
        <w:spacing w:after="0" w:line="143"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8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stockholders are deemed to have notice of and have consented to the provisions of our amended and restated certificate of incorporation related to choice of forum. This exclusive 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the exclusive 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99"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Our Certificate of Incorporation and Bylaws provide that we will indemnify our directors and officers, in each case to the fullest extent permitted by Delaware law.</w:t>
      </w:r>
    </w:p>
    <w:p>
      <w:pPr>
        <w:spacing w:after="0" w:line="127"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In addition, as permitted by Section 145 of the DGCL, our amended and restated bylaws and our indemnification agreements that we have entered into with our directors and officers provide that:</w:t>
      </w:r>
    </w:p>
    <w:p>
      <w:pPr>
        <w:spacing w:after="0" w:line="113" w:lineRule="exact"/>
        <w:rPr>
          <w:sz w:val="20"/>
          <w:szCs w:val="20"/>
          <w:color w:val="auto"/>
        </w:rPr>
      </w:pPr>
    </w:p>
    <w:p>
      <w:pPr>
        <w:jc w:val="both"/>
        <w:ind w:left="1000" w:hanging="317"/>
        <w:spacing w:after="0" w:line="243" w:lineRule="auto"/>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39"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27"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3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30" w:lineRule="exact"/>
        <w:rPr>
          <w:rFonts w:ascii="Times New Roman" w:cs="Times New Roman" w:eastAsia="Times New Roman" w:hAnsi="Times New Roman"/>
          <w:sz w:val="18"/>
          <w:szCs w:val="18"/>
          <w:color w:val="auto"/>
        </w:rPr>
      </w:pPr>
    </w:p>
    <w:p>
      <w:pPr>
        <w:jc w:val="both"/>
        <w:ind w:left="1000" w:hanging="317"/>
        <w:spacing w:after="0" w:line="252" w:lineRule="auto"/>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43"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9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global data protection landscape is rapidly evolving, and we may be impacted by or subject to new, amended, or existing laws and regulations in the future, including as our operations continue to expand or if we begin to operate in foreign jurisdictions. The risk of a security breach or disruption or data loss, particularly through social engineering attacks, cyber-attacks, or cyber intrusion, including by computer hackers, foreign governments, and cyber terrorists, has generally increased as the number, intensity and sophistication of attempted attacks and intrusions from around the world have increased.</w:t>
      </w:r>
    </w:p>
    <w:p>
      <w:pPr>
        <w:spacing w:after="0" w:line="15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collect and maintain data and information necessary to conduct our business, and we are increasingly dependent on information technology systems and infrastructure to operate our business, including systems infrastructure operated and maintained by third-party service providers. In the ordinary course of business, we collect, store, and transmit confidential information, including intellectual property, proprietary business information and personal information. It is critical that we do so in a secure manner to maintain the privacy, security, confidentiality, and integrity of such confidential information.</w:t>
      </w:r>
    </w:p>
    <w:p>
      <w:pPr>
        <w:spacing w:after="0" w:line="16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We have established physical, electronic, and organizational measures to safeguard and secure our systems and facilities to prevent an information compromise. We rely on commercially available systems, software, tools and monitoring to provide security for our information technology systems and the processing, transmission, and storage of digital</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information. We have also outsourced elements of our information technology infrastructure, and as a result, a number of third-party vendors may or could have access to our confidential information.</w:t>
      </w:r>
    </w:p>
    <w:p>
      <w:pPr>
        <w:spacing w:after="0" w:line="14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cost to mitigate, investigate and respond to potential security incidents, breaches, disruptions, network security problems, bugs, viruses, worms, malicious software programs and security vulnerabilities could be significant, and while we have implemented security measures to protect our data and information technology systems, our efforts to address these potential risks may not be successful, and could result in unexpected interruptions, delays, cessation of service and other harm to our business and competitive position.</w:t>
      </w:r>
    </w:p>
    <w:p>
      <w:pPr>
        <w:spacing w:after="0" w:line="1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If such an event were to occur and cause interruptions in our operations, it could result in a material disruption of our product development programs.</w:t>
      </w:r>
    </w:p>
    <w:p>
      <w:pPr>
        <w:spacing w:after="0" w:line="14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For example, the loss of clinical trial data from completed or ongoing or planned clinical trials could delay our regulatory approval efforts and significantly increase our costs as a result of efforts to recover or reproduce the lost data. Moreover, if a real or perceived security breach affects our systems (or those of our third-party service providers), or result in the loss of or accidental, unlawful, or unauthorized access to, use of, release of or other processing of personally identifiable information or clinical trial data, our reputation could be materially damaged.</w:t>
      </w:r>
    </w:p>
    <w:p>
      <w:pPr>
        <w:spacing w:after="0" w:line="16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addition, a breach may require notification to governmental agencies, the media, or individuals pursuant to applicable data privacy and security laws. We would also be exposed to a risk of loss, negative publicity, harm to our reputation, governmental investigation and/or enforcement actions, claims or litigation and potential liability, which could materially adversely affect our business, results of operations and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 Risk Governance</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Audit Committee is a sub-committee of our Board of Directors and is delegated to the role of cyber risk oversight for the Company.</w:t>
      </w:r>
    </w:p>
    <w:p>
      <w:pPr>
        <w:spacing w:after="0" w:line="14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Our management team, including the Chief Information Officer (“CIO”),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The CIO reports the progress of cyber risk reduction initiatives to the Audit Committee on a periodic basis. The CIO has extensive information technology experience in the corporate environment.</w:t>
      </w:r>
    </w:p>
    <w:p>
      <w:pPr>
        <w:spacing w:after="0" w:line="14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16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February 2024, we chartered the Information Systems, Data and Cybersecurity Governance Committee (the “Cybersecurity Committee”), which is comprised of our business unit leaders and is responsible for the management of our cyber risk exposure and monitoring the effectiveness of the cybersecurity program. The Cybersecurity Committee reports the progress of cyber risk reduction initiatives to our senior leadership and the Audit Committee on a periodic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 Risk Management Strategy</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a cyber risk management policy and asset-based cyber risk management methodology for the continuous identification, assessment, and management of our cyber risk exposure. Our cyber risk managers have been trained in our cyber risk management policy and methodology. The methodology is as follows:</w:t>
      </w:r>
    </w:p>
    <w:p>
      <w:pPr>
        <w:spacing w:after="0" w:line="155" w:lineRule="exact"/>
        <w:rPr>
          <w:sz w:val="20"/>
          <w:szCs w:val="20"/>
          <w:color w:val="auto"/>
        </w:rPr>
      </w:pPr>
    </w:p>
    <w:p>
      <w:pPr>
        <w:ind w:left="1000" w:right="20" w:hanging="317"/>
        <w:spacing w:after="0" w:line="270" w:lineRule="auto"/>
        <w:tabs>
          <w:tab w:leader="none" w:pos="10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an up-to-date and accurate inventory of all assets (e.g., data, systems, hardware, software, and vendors).</w:t>
      </w:r>
    </w:p>
    <w:p>
      <w:pPr>
        <w:spacing w:after="0" w:line="140"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Categorization of all assets based on the criticality of the data processed and the assets criticality to the continuity of business operations.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right="20" w:hanging="317"/>
        <w:spacing w:after="0" w:line="270" w:lineRule="auto"/>
        <w:tabs>
          <w:tab w:leader="none" w:pos="10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 profile is maintained of the most likely threats, their intent, and the impact the threat may have on the confidentiality, integrity, and availability of Company assets.</w:t>
      </w:r>
    </w:p>
    <w:p>
      <w:pPr>
        <w:spacing w:after="0" w:line="14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Evaluation of relevant risk-based scenarios or vulnerability of an asset and how a threat may exploit the asset.</w:t>
      </w:r>
    </w:p>
    <w:p>
      <w:pPr>
        <w:spacing w:after="0" w:line="19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Implemented security controls or “mitigating factors” are considered for each scenario.</w:t>
      </w:r>
    </w:p>
    <w:p>
      <w:pPr>
        <w:spacing w:after="0" w:line="210"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Considering the asset, threat, risk-based scenario or vulnerability, and the mitigating factors, a likelihood and impact determination is made to calculate the final risk level.</w:t>
      </w:r>
    </w:p>
    <w:p>
      <w:pPr>
        <w:spacing w:after="0" w:line="14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Risk reduction plans are determined and used to prioritize security program initiatives.</w:t>
      </w:r>
    </w:p>
    <w:p>
      <w:pPr>
        <w:spacing w:after="0" w:line="19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Risk mitigations are tracked and monitored in a risk register.</w:t>
      </w:r>
    </w:p>
    <w:p>
      <w:pPr>
        <w:spacing w:after="0" w:line="211"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There can be no assurance that our cybersecurity risk management program and processes, including our policies, controls or procedures, will be fully implemented, complied with or effective in protecting our systems and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 Risk Exposure</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Our top cyber risks have been grouped into genericized categories to avoid disclosure of sensitive information but include sufficient detail for a reasonable investor to understand our cyber risks and maintain confidence we act in good faith to reduce our cyber risk exposure. In the second quarter of 2025, we performed a risk assessment of all critical assets, determining the following are our current top cyber risks, none of which are material:</w:t>
      </w:r>
    </w:p>
    <w:p>
      <w:pPr>
        <w:spacing w:after="0" w:line="160" w:lineRule="exact"/>
        <w:rPr>
          <w:sz w:val="20"/>
          <w:szCs w:val="20"/>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Compromise to the confidentiality of intellectual property.</w:t>
      </w:r>
    </w:p>
    <w:p>
      <w:pPr>
        <w:spacing w:after="0" w:line="21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Compromise to the confidentiality and integrity of financial records.</w:t>
      </w:r>
    </w:p>
    <w:p>
      <w:pPr>
        <w:spacing w:after="0" w:line="19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Compromise to the confidentiality of employee records.</w:t>
      </w:r>
    </w:p>
    <w:p>
      <w:pPr>
        <w:spacing w:after="0" w:line="21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Compromise to the confidentiality, integrity, and availability of core business systems.</w:t>
      </w:r>
    </w:p>
    <w:p>
      <w:pPr>
        <w:spacing w:after="0" w:line="210"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Compromise to the confidentiality, integrity, and availability of critical third-party vendors supporting the continuity of business operations.</w:t>
      </w:r>
    </w:p>
    <w:p>
      <w:pPr>
        <w:spacing w:after="0" w:line="12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We have not identified any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“Risk Factors – </w:t>
      </w:r>
      <w:r>
        <w:rPr>
          <w:rFonts w:ascii="Arial" w:cs="Arial" w:eastAsia="Arial" w:hAnsi="Arial"/>
          <w:sz w:val="18"/>
          <w:szCs w:val="18"/>
          <w:i w:val="1"/>
          <w:iCs w:val="1"/>
          <w:color w:val="auto"/>
        </w:rPr>
        <w:t>We depend on our</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technology systems, and any failure of these systems could harm our business. Any real or perceived security breach, loss of data, and other disruptions or incidents could compromise the privacy, security, integrity or confidentiality of sensitive information related to our business or prevent us from accessing critical information and expose us to liability and reputational harm, which could adversely affect our business, results of operations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Risk Management</w:t>
      </w:r>
    </w:p>
    <w:p>
      <w:pPr>
        <w:spacing w:after="0" w:line="19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leverage multiple third parties to support our business operations. Throughout the lifecycle of the vendor relationship, security is integrated as part of each process. We maintain a vendor inventory, categorized based in risk tiers, and perform due diligence of the vendor’s security practices commensurate with the risk tier. Vendor contracts and security practices are monitored to ensure an accurate assessment of risk is maintained.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Support of the Cyber Risk Management Program</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employ third parties to support our cyber risk management program in the following ways:</w:t>
      </w:r>
    </w:p>
    <w:p>
      <w:pPr>
        <w:spacing w:after="0" w:line="185" w:lineRule="exact"/>
        <w:rPr>
          <w:sz w:val="20"/>
          <w:szCs w:val="20"/>
          <w:color w:val="auto"/>
        </w:rPr>
      </w:pPr>
    </w:p>
    <w:p>
      <w:pPr>
        <w:ind w:left="4860" w:right="1760" w:hanging="4177"/>
        <w:spacing w:after="0" w:line="787" w:lineRule="auto"/>
        <w:tabs>
          <w:tab w:leader="none" w:pos="1003"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Use of internal and external auditors to maintain compliance with regulatory requirements.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1000" w:right="140" w:hanging="317"/>
        <w:spacing w:after="0" w:line="270" w:lineRule="auto"/>
        <w:tabs>
          <w:tab w:leader="none" w:pos="10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Use of cybersecurity consultants and managed security services providers to supplement the security program practices and evaluate the program’s effectiveness, specifically:</w:t>
      </w:r>
    </w:p>
    <w:p>
      <w:pPr>
        <w:spacing w:after="0" w:line="141" w:lineRule="exact"/>
        <w:rPr>
          <w:sz w:val="20"/>
          <w:szCs w:val="20"/>
          <w:color w:val="auto"/>
        </w:rPr>
      </w:pPr>
    </w:p>
    <w:p>
      <w:pPr>
        <w:ind w:left="1340" w:hanging="333"/>
        <w:spacing w:after="0"/>
        <w:tabs>
          <w:tab w:leader="none" w:pos="1340" w:val="left"/>
        </w:tabs>
        <w:numPr>
          <w:ilvl w:val="0"/>
          <w:numId w:val="39"/>
        </w:numPr>
        <w:rPr>
          <w:rFonts w:ascii="Courier New" w:cs="Courier New" w:eastAsia="Courier New" w:hAnsi="Courier New"/>
          <w:sz w:val="18"/>
          <w:szCs w:val="18"/>
          <w:color w:val="auto"/>
        </w:rPr>
      </w:pPr>
      <w:r>
        <w:rPr>
          <w:rFonts w:ascii="Arial" w:cs="Arial" w:eastAsia="Arial" w:hAnsi="Arial"/>
          <w:sz w:val="18"/>
          <w:szCs w:val="18"/>
          <w:color w:val="auto"/>
        </w:rPr>
        <w:t>Governance, risk, and compliance services.</w:t>
      </w:r>
    </w:p>
    <w:p>
      <w:pPr>
        <w:spacing w:after="0" w:line="168" w:lineRule="exact"/>
        <w:rPr>
          <w:rFonts w:ascii="Courier New" w:cs="Courier New" w:eastAsia="Courier New" w:hAnsi="Courier New"/>
          <w:sz w:val="18"/>
          <w:szCs w:val="18"/>
          <w:color w:val="auto"/>
        </w:rPr>
      </w:pPr>
    </w:p>
    <w:p>
      <w:pPr>
        <w:ind w:left="1340" w:hanging="333"/>
        <w:spacing w:after="0"/>
        <w:tabs>
          <w:tab w:leader="none" w:pos="1340" w:val="left"/>
        </w:tabs>
        <w:numPr>
          <w:ilvl w:val="0"/>
          <w:numId w:val="39"/>
        </w:numPr>
        <w:rPr>
          <w:rFonts w:ascii="Courier New" w:cs="Courier New" w:eastAsia="Courier New" w:hAnsi="Courier New"/>
          <w:sz w:val="18"/>
          <w:szCs w:val="18"/>
          <w:color w:val="auto"/>
        </w:rPr>
      </w:pPr>
      <w:r>
        <w:rPr>
          <w:rFonts w:ascii="Arial" w:cs="Arial" w:eastAsia="Arial" w:hAnsi="Arial"/>
          <w:sz w:val="18"/>
          <w:szCs w:val="18"/>
          <w:color w:val="auto"/>
        </w:rPr>
        <w:t>Penetration testing and vulnerability management.</w:t>
      </w:r>
    </w:p>
    <w:p>
      <w:pPr>
        <w:spacing w:after="0" w:line="182" w:lineRule="exact"/>
        <w:rPr>
          <w:rFonts w:ascii="Courier New" w:cs="Courier New" w:eastAsia="Courier New" w:hAnsi="Courier New"/>
          <w:sz w:val="18"/>
          <w:szCs w:val="18"/>
          <w:color w:val="auto"/>
        </w:rPr>
      </w:pPr>
    </w:p>
    <w:p>
      <w:pPr>
        <w:ind w:left="1340" w:hanging="333"/>
        <w:spacing w:after="0"/>
        <w:tabs>
          <w:tab w:leader="none" w:pos="1340" w:val="left"/>
        </w:tabs>
        <w:numPr>
          <w:ilvl w:val="0"/>
          <w:numId w:val="39"/>
        </w:numPr>
        <w:rPr>
          <w:rFonts w:ascii="Courier New" w:cs="Courier New" w:eastAsia="Courier New" w:hAnsi="Courier New"/>
          <w:sz w:val="18"/>
          <w:szCs w:val="18"/>
          <w:color w:val="auto"/>
        </w:rPr>
      </w:pPr>
      <w:r>
        <w:rPr>
          <w:rFonts w:ascii="Arial" w:cs="Arial" w:eastAsia="Arial" w:hAnsi="Arial"/>
          <w:sz w:val="18"/>
          <w:szCs w:val="18"/>
          <w:color w:val="auto"/>
        </w:rPr>
        <w:t>Continuous security event monitoring.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Incident Management</w:t>
      </w:r>
    </w:p>
    <w:p>
      <w:pPr>
        <w:spacing w:after="0" w:line="185"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8"/>
          <w:szCs w:val="18"/>
          <w:color w:val="auto"/>
        </w:rPr>
        <w:t>We make continuous efforts to maintain the ability to respond quickly and effectively to security incidents to minimize their impact. We implement an incident response policy, incident response plan, and deploy comprehensive continuous security monitoring solutions to monitor events occurring across its assets. Additionally, a material risk determination model enables our cyber incident response team and senior leadership to determine materiality.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own any real property. Our corporate headquarters, located in Plymouth Meeting, Pennsylvania, has a footprint of approximately 35,781 square feet of space pursuant to a lease that expires in 2031. We believe that our facilities are suitable to meet our current needs.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9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w:t>
      </w:r>
    </w:p>
    <w:p>
      <w:pPr>
        <w:spacing w:after="0" w:line="155"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auto"/>
        </w:rPr>
        <w:t>Refer to Part II, Item 8, Note 13 “Commitments and Contingencies,” of this Annual Report for a full description of our material pending legal matters.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660"/>
        <w:spacing w:after="0" w:line="28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and traded on the Nasdaq Global Market under the symbol “HRMY.”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February 20, 2026, we had - holders of record of our common stock. Because many of our shares of common stock are held by brokers and other institutions on behalf of shareholders, we are unable to estimate the total number of beneficial owners of our common stock represented by these 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following graph shows a comparison of the total cumulative shareholder returns of an investment of $ 100 in cash from December 31, 2020, through December 31, 2025, in (i) our common stock, (ii) the Nasdaq Biotechnology Index, and (iii) the Nasdaq Composite Index. The shareholder returns in the graph below are based on historical data and are not indicative of, nor intended to forecast,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122555</wp:posOffset>
            </wp:positionV>
            <wp:extent cx="6172200" cy="28543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7220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potential repurchase of our common stock and to repay our debt obligations, therefore we do not anticipate declaring or paying any cash dividends on our common stock in the foreseeable future. Any future determination as to the declaration and payment of dividends, if any, will be at the discretion of our board of directors, subject to compliance with contractual restrictions and covenants in the agreements governing our current and future indebtedness. Any such determination will also depend upon our business prospects, results of operations, financial condition, cash requirements and availability, industry trends and other factors that our board of directors may deem relevant.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Annual Report on Form 10-K. A discussion of the year ended December 31, 2024, compared to the year ended December 31, 2023, has been reported previously under “Management’s Discussion and Analysis of Financial Condition and Results of Operations” in our Annual Report on Form 10-K for the year ended December 31, 2024, filed with the SEC on February 25, 2025.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At Harmony, we are cultivating a differentiated neuroscience company, rooted in innovation and driven by a commitment to addressing the unmet needs of patients living with neurological diseases. To date, we have focused on rare neurological diseases with a growing portfolio now spanning sleep/wake, neurobehavioral, and rare epilepsy, and we are harnessing scientific insights and pioneering approaches to advance meaningful treatments that help patients thrive. Our operations are conducted by our wholly owned subsidiaries, Harmony Biosciences, LLC and Harmony Biosciences Management, Inc.</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Sleep/Wake Franchise</w:t>
      </w:r>
    </w:p>
    <w:p>
      <w:pPr>
        <w:spacing w:after="0" w:line="21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Pitolisant was developed by Bioprojet and approved by the EMA in 2016 for the treatment of narcolepsy in adult patients with or without cataplexy and in 2021 for the treatment of EDS in adult patients with obstructive sleep apnea. We acquired an exclusive license to develop, manufacture and commercialize pitolisant in the United States pursuant to our license agreement with Bioprojet (as amended, the “2017 LCA”) in July 2017. Pitolisant was granted Orphan Drug designation for the treatment of narcolepsy by the FDA in 2010. It received Breakthrough Therapy designation for the treatment of cataplexy in patients with narcolepsy and Fast Track designation for the treatment of EDS and cataplexy in patients with narcolepsy in April 2018. In August 2019, WAKIX was approved by the U.S. Food and Drug Administration (the “FDA”) for the treatment of EDS in adult patients with narcolepsy, and its U.S. commercial launch was initiated in November 2019. In October 2020, WAKIX was approved by the FDA for the treatment of cataplexy in adult patients with narcolepsy.</w:t>
      </w:r>
    </w:p>
    <w:p>
      <w:pPr>
        <w:spacing w:after="0" w:line="378"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We believe that pitolisant’s ability to regulate histamine mediated through histamine-3 receptor antagonist and inverse agonist activity gives it the potential to provide therapeutic benefit in other rare neurological diseases.</w:t>
      </w:r>
    </w:p>
    <w:p>
      <w:pPr>
        <w:spacing w:after="0" w:line="15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are focusing our development efforts on other rare neurological disorders in which EDS is a prominent symptom, including Prader-Willi Syndrome (“PWS”) and myotonic dystrophy type 1, otherwise known as dystrophia myotonica (“DM1”). Based on the positive signals from the data from our Phase 2 proof-of-concept signal detection clinical trial to evaluate pitolisant for the treatment of EDS and other key behavioral symptoms in patients with PWS, an End-of-Phase 2 meeting with the FDA was held in June 2023. We aligned with the FDA on the proposed Phase 3 registration study design to support further investigation of pitolisant as a potential treatment to address the unmet medical need for children, adolescents and adults with PWS experiencing EDS, for which there is currently no approved treatment. In October 2023, we received FDA alignment regarding the study design for the Phase 3 TEMPO study in patients with PWS, which has the potential to serve as the registrational trial and support our efforts to seek pediatric exclusivity for pitolisant. In February 2024, the FDA granted Orphan Drug designation to pitolisant for the treatment of PWS. The Phase 3 registrational trial, the TEMPO study, was initiated in the first quarter of 2024. In June 2021, we initiated a Phase 2 proof-of-concept signal detection clinical trial to evaluate pitolisant for the treatment of EDS, fatigue and cognitive dysfunction in adult patients with DM1 and announced topline results from this trial in the fourth quarter of 2023, in which clinically meaningful improvements were demonstrated in EDS and fatigue, the two most prominent non-muscular symptoms in patients with DM1. The safety and tolerability profile of pitolisant in adult patients with DM1 was consistent with the established safety profile of pitolisant with no new safety signals detected and no serious adverse events reported.</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partner, Bioprojet completed a Phase 3 trial in pediatric patients with narcolepsy and submitted the trial data to the European Medicines Agency (the “EMA”) seeking approval for a pediatric narcolepsy indication. In January 2023,</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Bioprojet received a positive opinion from the EMA’s Committee for Medicinal Products for Human Use (“CHMP”) and in March 2023, the EMA granted approval for the marketing authorization of WAKIX for the treatment of narcolepsy with or without cataplexy in children six and older. Based on the data from the positive Phase 3 trial conducted by Bioprojet, we submitted an sNDA for pediatric narcolepsy in December 2023. In June 2024, we announced that the FDA approved our sNDA for WAKIX for the treatment of EDS in pediatric patients six years of age and older with narcolepsy. In addition, in June 2024, the FDA did not approve our sNDA seeking to expand the WAKIX label for the treatment of pediatric patients with cataplexy. In October 2024, we held a Type A meeting with the FDA to discuss the pediatric cataplexy indication and reached alignment on a path to sNDA resubmission, which was submitted in the third quarter of 2025. In February 2026, the FDA approved WAKIX for the treatment of cataplexy in pediatric patients six years and older with narcolepsy.</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remain committed to obtaining pediatric exclusivity for WAKIX. We believe the initiation of the PWS Phase 3 registrational trial, the TEMPO study, and our current data in pediatric narcolepsy, which resulted in the FDA’s approval of WAKIX in its current pediatric indication, are supportive of our efforts in obtaining pediatric exclusivity for WAKIX.</w:t>
      </w:r>
    </w:p>
    <w:p>
      <w:pPr>
        <w:spacing w:after="0" w:line="16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have expanded our pipeline through the acquisition of additional assets that focus on addressing the unmet needs of patients living with rare neurological diseases as well as patients living with other neurological diseases who have unmet medical needs. We are targeting assets that will allow us to further leverage the expertise and infrastructure that we have successfully built at Harmony so we can optimize the benefit of internal synergies. Consistent with this objective, in July 2022, we entered into a License and Commercialization Agreement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We have made progress in the development of two new formulations of pitolisant: pitolisant GR and pitolisant HD. Both formulations entered clinical studies in the fourth quarter of 2023. We received data from the pitolisant GR pilot bioequivalence study, which supports further development of Pitolisant GR. In addition, we completed a dosing optimization study that supports initiating Pitolisant GR at the therapeutic dose of 17.8mg without titration. We initiated the pivotal bioequivalence study in the first quarter of 2025 and announced positive topline data readout in the fourth quarter of 2025. We anticipate a PDUFA date for Pitolisant GR in the first quarter of 2027. We received data from the pitolisant HD pilot pharmacokinetics study in June 2024, which also supports advancing this development program toward pivotal trials. We submitted an IND application for pitolisant HD with the FDA to initiate Phase 3 registrational trials in narcolepsy and IH in the fourth quarter of 2025. After receiving “Study May Proceed” letters from the FDA, the Phase 3 registrational study in narcolepsy, ONSTRIDE1, and the Phase 3 registrational study in IH, ONSTRIDE2, were initiated. We anticipate topline data from both studies in 2027 and a potential PDUFA date in 2028. Utility patents have been filed for both of these formulations, with the potential for patent protection to the mid-2040’s.</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April 2024, we entered into a sublicense agreement with Bioprojet for an orexin-2 receptor agonist (OX2R) (“BP1.15205”) to be evaluated for the treatment of narcolepsy and other potential indications (the “Sublicense”). Under the Sublicense, we have obtained the exclusive right to develop, manufacture and commercialize BP1.15205 in the United States and Latin American territories, which are rights that Bioprojet originally licensed from Teijin Pharma, the innovator of BP1.15205. In June 2025, we announced positive pre-clinical data demonstrating significant wake-promoting and cataplexy-suppressing effects in a standard transgenic mouse model of narcolepsy type 1and presented safety data from the three-month GLP toxicity studies in two different species. We filed an investigational medicinal product dossier (“IMPD”) with the EMA and began first-in-human studies in the fourth quarter of 2025 with topline data anticipated in 2026.</w:t>
      </w:r>
    </w:p>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June 2025, we entered into a research collaboration, option and license agreement (the “CiRC Agreement”) with a related party, CiRC Biosciences, Inc. (“CiRC”). Under this agreement, Harmony and CiRC will collaborate on the research and development of two discovery-stage candidates, CBS105 for treatment-resistant narcolepsy and CBS104 for refractory epilepsy (together the “Candidates”), using cell replacement therapy for the treatment of refractory epilepsies and treatment-resistant narcolepsy.</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August 2021, we acquired HBS-102, a Melanin-concentrating hormone receptor type 1 (MCHR1) antagonist previously developed as CSTI-100/ALB-127258(a)/ALB-127258 (the “Compound”), along with intellectual property and other assets related to the development, manufacture, and commercialization of the Compound from ConSynance Therapeutics, Inc. We acquired full development and commercialization rights for HBS-102 globally, but we have provided an indication-limited grant-back license to ConSynance for the development and commercialization of the Compound in Greater China. We conducted a preclinical PoC study to assess the effect of HBS-102 on hyperphagia, weight gain and other metabolic parameters in a mouse model of PWS. The final report was received during the third quarter of 2024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results are consistent with the expected results. In addition, a 13-week toxicology study has been completed, and we believe the preliminary results are encouraging.</w:t>
      </w:r>
    </w:p>
    <w:p>
      <w:pPr>
        <w:spacing w:after="0" w:line="154"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color w:val="auto"/>
        </w:rPr>
        <w:t>We are exploring an opportunity to evaluate a new formulation of pitolisant for the treatment of fatigue in larger CNS indications. The histaminergic mechanism of action is uniquely positioned to address all three different dimensions of fatigue</w:t>
      </w:r>
    </w:p>
    <w:p>
      <w:pPr>
        <w:jc w:val="both"/>
        <w:spacing w:after="0" w:line="239" w:lineRule="auto"/>
        <w:rPr>
          <w:sz w:val="20"/>
          <w:szCs w:val="20"/>
          <w:color w:val="auto"/>
        </w:rPr>
      </w:pPr>
      <w:r>
        <w:rPr>
          <w:rFonts w:ascii="Arial" w:cs="Arial" w:eastAsia="Arial" w:hAnsi="Arial"/>
          <w:sz w:val="18"/>
          <w:szCs w:val="18"/>
          <w:color w:val="auto"/>
        </w:rPr>
        <w:t>– physical, emotional and cognition. We have generated clinical data to support the utility of pitolisant to treat fatigue in the phase 2 proof-of-concept study in DM1 and in a phase 3 study for the treatment of residual sleepiness in patients with obstructive sleep apnea. We plan to evaluate this new formulation for fatigue in broader indications, with fatigue in MS as the lead indication, and to explore other potential opportunities such as fatigue in stroke and Parkinson’s disease. Our current efforts are focused on formulation optimization with new modes of delivery and towards a Phase 1 PK study.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Rare Epilepsy Franchise</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April 2024, we acquired all of the outstanding capital stock of Epygenix Therapeutics, Inc. (“Epygenix”), pursuant to the terms of a stock purchase agreement (the “Epygenix Agreement”). As a result, we now have an exclusive license relating to the use of clemizole (“EPX-100”) for the treatment of Dravet Syndrome (“DS”), Lennox-Gastaut Syndrome (“LGS”) and other developmental and epileptic encephalopathies (“DEEs”). Patients with both conditions often encounter severe refractory epilepsy and extreme co-morbidities or mortality without effective treatments, even with polypharmacy. As such, there is a recognized need for improved treatment options for both conditions. We believe the total addressable market for EPX-100 among patients with DS is approximately 5,000 people based on an estimated current DS prevalence of approximately 8,600 cases and approximately 7,000 diagnosed DS cases. We believe the total addressable market for EPX-100 among patients with LGS is approximately 35,000 people based on an estimated current LGS prevalence of approximately 48,000 cases and 44,000 diagnosed LGS cases. EPX-100 has been granted orphan drug designation and rare pediatric disease designation by the FDA for treatment of both DS and LGS. EPX-100 is currently in two Phase 3 registrational clinical trials, one for each of DS (the ARGUS Study) and LGS (the LIGHTHOUSE Study). In December 2025, we announced initial open-label extension data from the ARGUS Study, which showed clinically meaningful reductions in seizure activity in participants with DS and a favorable benefit-risk profile.</w:t>
      </w:r>
    </w:p>
    <w:p>
      <w:pPr>
        <w:spacing w:after="0" w:line="18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Additionally, we are currently developing EPX-200, a selective 5HT-2C agonist for DEEs (“EPX-200”), another asset acquired pursuant to the terms of the Epygenix Agreement. EPX-200 is currently in the pre-IND phase.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Neurobehavioral Franchise</w:t>
      </w:r>
    </w:p>
    <w:p>
      <w:pPr>
        <w:spacing w:after="0" w:line="21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October 2023, we acquired Zynerba Pharmaceuticals, Inc. (“Zynerba”), adding global rights to develop, manufacture and commercialize ZYN002, which is a pharmaceutically manufactured 100% synthetic, patent protected permeation enhanced cannabidiol gel for transdermal delivery. In September 2025, we completed a Phase 3 registrational trial of ZYN002, the RECONNECT study, for the treatment of Fragile X Syndrome (“FXS”), which was designed to confirm the positive findings from the prespecified analysis of the primary outcome in the subgroup of patients with complete methylation from the Phase 2/3 CONNECT study conducted by Zynerba. The RECONNECT study did not meet the primary endpoint of improvement in social avoidance primarily due to a higher-than-expected placebo response rate. Additionally, an open-label phase 2 proof-of-concept study conducted by Zynerba showed positive signals for ZYN002 in the treatment of behavioral symptoms associated with 22q deletion syndrome, a disorder caused by a small missing piece on the long arm of the 22nd chromosome .After an in-depth review of the data from the RECONNECT study, the ZYN002 program in FXS is being phased out and we are no longer pursuing an indication for 22q deletion syndrome.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Performance Metrics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As of December 31, 2025, we continued to see growth in the number of unique healthcare professional (“HCP”) prescribers of WAKIX since it became available in November 2019. There are approximately 9,000 HCPs who treat patients living with narcolepsy, with approximately 4,000 enrolled in oxybate risk-evaluation and mitigation strategies. The average number of patients on WAKIX for the year ended December 31, 2025, was approximately 8,500. Additionally, as of December 31, 2025, we have secured formulary access for more than 80% of all insured lives (Commercial, Medicare and Medicaid) in the United States.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Net product revenue includes gross product shipments less provisions for sales discounts and allowances, which includes trade allowances, rebates to government and commercial entities, and other discounts. Although we expect net sales to increase over time, provisions for sales discounts and allowances may fluctuate based on the mix of sales to different customer segments and/or changes in our estimates. For further discussion of the components of Revenue, see “— Critical Accounting Policies and Significant Judgments and Estimates.”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Cost of Product Sold</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Cost of product sold includes manufacturing and distribution costs, the cost of API, FDA program fees, royalties due to third parties on net product sales, freight, shipping, handling, storage costs and salaries of employees involved with oversight of production. We expect the cost of product sales to increase as we continue to ramp up production in order to meet future demand for WAKIX and diversify our supply chain for WAKIX.</w:t>
      </w:r>
    </w:p>
    <w:p>
      <w:pPr>
        <w:spacing w:after="0" w:line="17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shelf life of WAKIX is four years from the date of manufacture, with the earliest expiration of current inventory expected to be January 2027. We regularly review our inventory levels and expect write-offs from time to time. We will continue to assess inventory levels in future periods as demand for WAKIX and the rate of inventory turnover evolves. We currently have adequate supply of WAKIX to cover demand into the third quarter of 2027, with additional API on-hand inventory to support at least 24 months beyond this time frame.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Research and development expenses primarily include development programs for potential new indications for pitolisant in patients with IH, PWS, and DM1 and the development of our product candidates ZYN002, EPX-100, EPX-200 Pitolisant GR, Pitolisant HD, BP1.15205 and HBS-102. We also incur research and development expenses related to our team of Medical Science Liaisons (“MSLs”) who interact with key opinion leaders, with a focus on the science, the role of histamine in sleep-wake state stability and the novel mechanism of action of pitolisant. In addition, our MSLs support our market access team with the presentation of clinical data to payors upon request and our clinical development team to identify potential clinical trial sites. Research and development costs are expensed as incurred. We have significantly increased our research and development efforts as we advance our clinical programs and add product candidates to expand our pipeline. Research and development expenses also include:</w:t>
      </w:r>
    </w:p>
    <w:p>
      <w:pPr>
        <w:spacing w:after="0" w:line="183" w:lineRule="exact"/>
        <w:rPr>
          <w:sz w:val="20"/>
          <w:szCs w:val="20"/>
          <w:color w:val="auto"/>
        </w:rPr>
      </w:pPr>
    </w:p>
    <w:p>
      <w:pPr>
        <w:ind w:left="1000" w:right="20" w:hanging="317"/>
        <w:spacing w:after="0" w:line="270" w:lineRule="auto"/>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research and development personnel;</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direct third-party costs such as expenses incurred under agreements with clinical research organizations (“CROs”), and contract development and manufacturing organizations (“CDMOs”);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costs in connection with producing materials for use in conducting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packaging and labeling of clinical supplies;</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other third-party expenses (e.g., consultants, advisors) directly attributable to the development of our product candidates;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payments associated with the achievement of development and regulatory milestones;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acquired in-process research and development; and</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amortization expense for assets used in research and development activities.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A significant portion of our research and development costs are external costs, such as fees paid to CROs and CDMOs, central laboratories, contractors, and consultants in connection with our clinical development programs. Internal expenses primarily relate to personnel who are deployed across multiple programs.</w:t>
      </w:r>
    </w:p>
    <w:p>
      <w:pPr>
        <w:spacing w:after="0" w:line="16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Product candidates in later stages of clinical development generally have higher development costs in the current period than those in earlier stages of clinical development, primarily due to the increased size and duration of later-stage clinical trials, milestone payments, and the cost of submitting an NDA to the FDA (and/or other regulatory authorities). We expect our research and development expenses to be significant as we advance our current clinical development programs and prepare to seek regulatory approval for additional indications for pitolisant and Pitolisant GR, complete the Phase 3 clinical trials for EPX-100 and Pitolisant HD, and advance the development of BP1.15205, CBS105 and HBS-102 toward new indications.</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any additional indications for pitolisant or other product candidates that we move forward for regulatory approval. There are numerous risks and uncertainties associated with developing product candidates, including uncertainty related to:</w:t>
      </w:r>
    </w:p>
    <w:p>
      <w:pPr>
        <w:spacing w:after="0" w:line="174" w:lineRule="exact"/>
        <w:rPr>
          <w:sz w:val="20"/>
          <w:szCs w:val="20"/>
          <w:color w:val="auto"/>
        </w:rPr>
      </w:pPr>
    </w:p>
    <w:p>
      <w:pPr>
        <w:ind w:left="1000" w:right="20" w:hanging="317"/>
        <w:spacing w:after="0" w:line="270" w:lineRule="auto"/>
        <w:tabs>
          <w:tab w:leader="none" w:pos="10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costs and timing of clinical trials of our current development programs and any further clinical trials related to new product candidates;</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financial and other resources to complete the necessary preclinical studies and clinical trials;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acceptance of INDs for our planned clinical trials or future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and timely enrollment and completion of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completion of preclinical studies and clinical trials;</w:t>
      </w:r>
    </w:p>
    <w:p>
      <w:pPr>
        <w:spacing w:after="0" w:line="22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data from our clinical programs that support an acceptable risk-benefit profile of our product candidates in the intended populations;</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and maintenance of regulatory and marketing approvals from applicable regulatory authorities;</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product candidate is approved;</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entry into collaborations to further the development of our product candidates;</w:t>
      </w:r>
    </w:p>
    <w:p>
      <w:pPr>
        <w:spacing w:after="0" w:line="22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patent and trade secret protection or regulatory exclusivity for our product candidates; and</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launching our product candidates and achieving commercial sales, if and when approved.</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Our sales and marketing expenses primarily relate to the market development and commercialization activities of WAKIX for the treatment of EDS and cataplexy in adult patients with narcolepsy and for EDS in children six years and older with narcolepsy. Market development and commercial activities account for a significant portion of our operating expenses and are expensed as incurred. We expect our sales and marketing expenses to increase in the near- and mid-term to support WAKIX’s indications for the treatment of EDS or cataplexy in adult patients with narcolepsy, the treatment of EDS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pediatric patients 6 years of age and older with narcolepsy and to expand our portfolio with the anticipated growth from potential additional indications.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and marketing expenses include:</w:t>
      </w:r>
    </w:p>
    <w:p>
      <w:pPr>
        <w:spacing w:after="0" w:line="212" w:lineRule="exact"/>
        <w:rPr>
          <w:sz w:val="20"/>
          <w:szCs w:val="20"/>
          <w:color w:val="auto"/>
        </w:rPr>
      </w:pPr>
    </w:p>
    <w:p>
      <w:pPr>
        <w:ind w:left="1000" w:right="20" w:hanging="317"/>
        <w:spacing w:after="0" w:line="270" w:lineRule="auto"/>
        <w:tabs>
          <w:tab w:leader="none" w:pos="10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sales, marketing and market access personnel;</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healthcare professional-related expenses, including marketing programs, healthcare professional promotional medical education, disease education, conference exhibits and market research;</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patient-related expenses, including patient awareness and education programs, disease awareness education, patient reimbursement programs, patient support services and market research;</w:t>
      </w:r>
    </w:p>
    <w:p>
      <w:pPr>
        <w:spacing w:after="0" w:line="154" w:lineRule="exact"/>
        <w:rPr>
          <w:rFonts w:ascii="Times New Roman" w:cs="Times New Roman" w:eastAsia="Times New Roman" w:hAnsi="Times New Roman"/>
          <w:sz w:val="18"/>
          <w:szCs w:val="18"/>
          <w:color w:val="auto"/>
        </w:rPr>
      </w:pPr>
    </w:p>
    <w:p>
      <w:pPr>
        <w:ind w:left="1000" w:right="20" w:hanging="317"/>
        <w:spacing w:after="0" w:line="270" w:lineRule="auto"/>
        <w:tabs>
          <w:tab w:leader="none" w:pos="10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access expenses, including payor education, specialty pharmacy programs and services to support the continued commercialization of WAKIX; and</w:t>
      </w:r>
    </w:p>
    <w:p>
      <w:pPr>
        <w:spacing w:after="0" w:line="154" w:lineRule="exact"/>
        <w:rPr>
          <w:rFonts w:ascii="Times New Roman" w:cs="Times New Roman" w:eastAsia="Times New Roman" w:hAnsi="Times New Roman"/>
          <w:sz w:val="18"/>
          <w:szCs w:val="18"/>
          <w:color w:val="auto"/>
        </w:rPr>
      </w:pPr>
    </w:p>
    <w:p>
      <w:pPr>
        <w:ind w:left="1000" w:hanging="317"/>
        <w:spacing w:after="0" w:line="270" w:lineRule="auto"/>
        <w:tabs>
          <w:tab w:leader="none" w:pos="10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secondary data purchases (i.e., patient claims and prescription data), data warehouse development and data management.</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sales and marketing expenses include external costs such as website development, media placement fees, agency fees for patient, medical education and promotional expenses, market research, analysis of secondary data, conference fees, and consulting fees.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legal fees, including ANDA litigation expenses, conference attendance, and professional fees, including legal, tax and accounting and consulting fees.</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anticipate that our general and administrative expenses will increase in the future to support our continued commercialization efforts, ongoing and future potential research and development activities, and increased costs of operating as a public company. These increases will likely be driven by costs associated with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Paragon Agreement</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party to a right-of-use agreement with Paragon whereby we have access to and the right to use certain office space leased by Paragon in Chicago, Illinois. For the year ended December 31, 2025, we paid fees of $0.5 million related to rent and consulting services.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Interest expense consists primarily of interest expense on debt facilities, amortization of debt issuance costs and amortization of premiums on our debt securities.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Income</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Interest income consists primarily of cash interest earned on our cash and investment balances and accretion of the discount on our investments in debt securities.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selected items in our consolidated statements of operations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vMerge w:val="restart"/>
          </w:tcPr>
          <w:p>
            <w:pPr>
              <w:ind w:left="71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center"/>
              <w:ind w:right="25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73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3"/>
          </w:tcPr>
          <w:p>
            <w:pPr>
              <w:jc w:val="center"/>
              <w:ind w:left="413"/>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product revenue</w:t>
            </w:r>
          </w:p>
        </w:tc>
        <w:tc>
          <w:tcPr>
            <w:tcW w:w="28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868,453</w:t>
            </w:r>
          </w:p>
        </w:tc>
        <w:tc>
          <w:tcPr>
            <w:tcW w:w="60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714,734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sales</w:t>
            </w: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198,342</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156,815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670,111</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557,919</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gridSpan w:val="2"/>
          </w:tcPr>
          <w:p>
            <w:pPr>
              <w:jc w:val="center"/>
              <w:ind w:right="47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189,594</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145,825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120"/>
              <w:spacing w:after="0" w:line="202" w:lineRule="exact"/>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119,512</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110,916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152,536</w:t>
            </w:r>
          </w:p>
        </w:tc>
        <w:tc>
          <w:tcPr>
            <w:tcW w:w="2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110,352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00" w:type="dxa"/>
            <w:vAlign w:val="bottom"/>
          </w:tcPr>
          <w:p>
            <w:pPr>
              <w:spacing w:after="0" w:line="196" w:lineRule="exact"/>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461,642</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367,093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208,469</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190,826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Other (expense) income, net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(680)</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(14,649)</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w:t>
            </w: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21,924</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before provision for income taxes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215,064</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191,804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(56,377)</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(46,311)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158,687</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145,493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18"/>
          <w:szCs w:val="18"/>
          <w:color w:val="auto"/>
        </w:rPr>
        <w:t>Net product revenue increased by $153.7 million, or 21.5% for the year ended December 31, 2025, compared to the same period in 2024. The increase was primarily due to an 18.3% increase in units shipped, and the impact of a 7.0% price increase partially offset by higher rebates of approximately 3.6%. The price increase occurred in January 2025.</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right="40" w:firstLine="648"/>
        <w:spacing w:after="0" w:line="244" w:lineRule="auto"/>
        <w:rPr>
          <w:sz w:val="20"/>
          <w:szCs w:val="20"/>
          <w:color w:val="auto"/>
        </w:rPr>
      </w:pPr>
      <w:r>
        <w:rPr>
          <w:rFonts w:ascii="Arial" w:cs="Arial" w:eastAsia="Arial" w:hAnsi="Arial"/>
          <w:sz w:val="18"/>
          <w:szCs w:val="18"/>
          <w:color w:val="auto"/>
        </w:rPr>
        <w:t>Cost of product sales increased by $41.5 million, or 26.5%, for the year ended December 31, 2025, compared to the same period in 2024. Cost of product sales as a percentage of net product revenue was 22.8% for the year ended December 31, 2025, compared to 21.9% for the year ended December 31, 2024. The increase in cost of product sales and cost of sales as a percentage of net revenue was due to triggering a higher royalty tier under the 2017 LCA earlier in 2025 compared to 2024.</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our research and development expenses: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6"/>
        </w:trPr>
        <w:tc>
          <w:tcPr>
            <w:tcW w:w="3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Change</w:t>
            </w:r>
          </w:p>
        </w:tc>
      </w:tr>
      <w:tr>
        <w:trPr>
          <w:trHeight w:val="196"/>
        </w:trPr>
        <w:tc>
          <w:tcPr>
            <w:tcW w:w="3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Pitolisant</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24,450</w:t>
            </w:r>
          </w:p>
        </w:tc>
        <w:tc>
          <w:tcPr>
            <w:tcW w:w="1400" w:type="dxa"/>
            <w:vAlign w:val="bottom"/>
            <w:gridSpan w:val="2"/>
            <w:shd w:val="clear" w:color="auto" w:fill="CCEEFF"/>
          </w:tcPr>
          <w:p>
            <w:pPr>
              <w:jc w:val="right"/>
              <w:ind w:right="107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32,139</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(7,689)</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ZYN002</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27,627</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19,594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8,033</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EPX-100</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32,845</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Pitolisant GR and Pitolisant HD</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15,901</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3,971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11,930</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IPR&amp;D</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34,250</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Personnel expenses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33,037</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25,068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7,969</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r>
      <w:tr>
        <w:trPr>
          <w:trHeight w:val="216"/>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research and development</w:t>
            </w:r>
          </w:p>
        </w:tc>
        <w:tc>
          <w:tcPr>
            <w:tcW w:w="9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12,526</w:t>
            </w: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9,163</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w:t>
            </w:r>
          </w:p>
        </w:tc>
      </w:tr>
      <w:tr>
        <w:trPr>
          <w:trHeight w:val="196"/>
        </w:trPr>
        <w:tc>
          <w:tcPr>
            <w:tcW w:w="36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189,594</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079"/>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145,825</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43,769</w:t>
            </w:r>
          </w:p>
        </w:tc>
      </w:tr>
      <w:tr>
        <w:trPr>
          <w:trHeight w:val="20"/>
        </w:trPr>
        <w:tc>
          <w:tcPr>
            <w:tcW w:w="3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35"/>
        </w:trPr>
        <w:tc>
          <w:tcPr>
            <w:tcW w:w="3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914"/>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43"/>
        </w:trPr>
        <w:tc>
          <w:tcPr>
            <w:tcW w:w="3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80" w:top="661" w:right="9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Research and development expenses increased by $43.8 million, or 30.0%, for the year ended December 31, 2025, compared to the same period in 2024. The increase was primarily driven by a combined $47.2 million increase in research and development expenses for EPX-100, ZYN002 and Pitolisant GR and HD as we progressed clinical trials and manufacturing, an $8.0 million increase in personnel costs associated with higher headcount, a $2.3 million increase in stock compensation associated with new equity awards and a $3.4 million increase in other research and development expenses primarily associated with the development of BP1.15205 offset by a $7.7 million decrease in clinical development associated with pitolisant, driven by a decrease in clinical trial expenses for IH, and a $ 9.3 million decrease in IPR&amp;D charges. The change in IPR&amp;D consisted of clinical milestones achieved for ZYN002 ($15.0 million) and BP1.15205 ($ 4.3 million) and an upfront fee related to the CiRC Agreement ($ 15.0 million) that occurred during the year ended December 31, 2025 offset by the acquisition of Epygenix ($17.1 million), a preclinical milestone achieved for HBS-102 ($1.0 million) and the Sublicense ($25.5 million) that occurred during the year ended December 31, 2024.</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Sales and marketing expenses increased by $8.6 million, or 7.8%, for the year ended December 31, 2025, compared to the same period in 2024. The increase was primarily due to a $5.6 million increase in patient engagement and marketing activities and a $3.0 million increase in personnel costs. The increase in patient engagement and marketing activities for both comparable periods was driven by our continued growth of WAKIX and the increase in personnel costs was driven primarily by higher headcount.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General and administrative expenses increased by $42.2 million, or 38.2%, for the year ended December 31, 2025, compared to the same period in 2024. The increase was primarily due to a $ 39.0 million increase in legal and professional fees, primarily associated with patent lawsuits and settlements, a $ 1.1 million increase in personnel costs associated with a higher headcount and a $2.1 million increase associated with travel and conference attendance.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Interest expense decreased by $ 2.8 million, or 16.3%, for the year ended December 31, 2025, compared to the same period in 2024. The decrease was primarily due to lower average outstanding debt balances compared to the prior year.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Income</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Interest income increased by $3.4 million, or 18.2%, for the year ended December 31, 2025, compared to the same period in 2024. The increase was primarily a result of having higher invested balances compared to the prior year.</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Income tax expense was $56.4 million, representing a 26.2% effective tax rate, for the year ended December 31, 2025, compared to income tax expense of $46.3 million for the year ended December 31, 2024, representing a 24.1% effective tax rate. The increase in our effective tax rate for the year ended December 31, 2025, was primarily driven by the remeasurement of state deferred tax assets that was incurred during the year ended December 31, 2025. The effective tax rate of 26.2% for the year ended December 31, 2025, included 3.5% from the remeasurement of state deferred tax assets, 2.8% in state income taxes, and 1.5% in non-deductible IPR&amp;D, offset by a 4.0% benefit from credits.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Sources of Funding and Capital Resources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As of December 31, 2025, we had cash, cash equivalents, and investments of $882.5 million and retained earnings of $160.9 million. As of December 31, 2025, we had outstanding debt of $165.0 million.</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consolidated financial statements have been prepared as though we will continue as a going concern, which contemplates the realization of assets and satisfaction of liabilities in the normal course of business.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believe that our existing cash, cash equivalents and investments on hand as of December 31, 2025, will enable us to meet our operational liquidity needs and fund our potential investing activities for at least the next 12 months. We have based our liquidity and cash flow projections on assumptions that may prove to be incorrect, and we could use our capital resources sooner than we expect.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Term Loan A Credit Agreement</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July 2023, we entered into a Credit Agreement (the “TLA Credit Agreement”) with JPMorgan Chase Bank, N.A., as “Administrative Agent”, and certain lenders, which was subsequently amended in September 2023. The TLA Credit Agreement, as amended, provides for a five-year senior secured term loan (the “TLA Term Loan”) in an aggregate principal amount of $200.0 million.</w:t>
      </w:r>
    </w:p>
    <w:p>
      <w:pPr>
        <w:spacing w:after="0" w:line="17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repayment schedule for the TLA Term Loan consists of $3.8 million quarterly principal payments, which commenced on December 31, 2023, increasing to $5.0 million quarterly principal payments beginning on December 31, 2025, with a $115.0 million payment due on the maturity date of July 26, 2028. The TLA Term Loan bears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TLA Credit Agreement contains customary affirmative and negative covenants, financial covenants, representations and warranties, events of default and other provisions. We were in compliance with all covenants as of December 31, 2025.</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212529"/>
        </w:rPr>
        <w:t>In August 2023, our Board of Directors approved a program (the “August 2023 Repurchase Program”) providing for the repurchase of shares of common stock in an aggregate amount of up to $125.0 million, excluding commissions and transaction fees. The repurchase program may be suspended, terminated or modified at any time for any reason. During the year ended December 31, 2023, we repurchased and retired 1,439,792 shares of common stock at an aggregate cost of approximately $50.0 million, excluding commissions and transaction fees, under the August 2023 Repurchase Program.</w:t>
      </w:r>
    </w:p>
    <w:p>
      <w:pPr>
        <w:spacing w:after="0" w:line="17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October 2023, our Board of Directors terminated the August 2023 Repurchase Program and approved a share repurchase program (the “October 2023 Repurchase Program”) providing for the repurchase of shares of common stock in an aggregate amount of up to $200.0 million, excluding commissions and transaction fees. The October 2023 Repurchase Program may be suspended, terminated, or modified at any time for any reason. During the year ended December 31, 2025, we did not repurchase any shares of common stock pursuant to the October 2023 Repurchase Program. As of December 31, 2025, the remaining amount of common stock authorized for repurchases was $150.0 million.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Epygenix Acquisition</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 April 2024, we acquired Epygenix, pursuant to the terms of a stock purchase agreement. In connection with the closing of the transaction, we paid the former stockholders of Epygenix up front consideration of $35.0 million less a working capital adjustment. In addition, we will also be obligated to pay up to $130.0 million upon the achievement of development and regulatory milestones and up to $ 515.0 million upon the achievement of certain sales-based milestones, in each case to Epygenix’s former stockholders. As a result, we now have an exclusive license relating to the use of clemizole, initially for the treatment of DS and LGS.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ConSynance Agreement</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August 2021, we entered into an asset purchase agreement with ConSynance Therapeutics, Inc. (the “APA”) to acquire HBS-102, a potential first-in-class molecule with a novel mechanism of action. Under the terms of the APA, we acquired full development and commercialization rights globally, with the exception of Greater China, for $3.5 million. In March 2023, we achieved a preclinical milestone, which triggered a $0.8 million payment under the provisions of the APA, which we recognized as an IPR&amp;D charge recorded in research and development within the consolidated statement of operations and comprehensive income for the year ended December 31, 2023. In September 2024, we achieved a milestone for preclinical proof-of concept, which triggered a $1.0 million payment under the provisions of the APA, which we recognized as an IPR&amp;D charge recorded in research and development within the consolidated statement of operations and comprehensive income for the year ended December 31, 2024. There are additional payments due upon the achievement of certain milestones, including $19.0 million for development milestones, $44.0 million for regulatory milestones and $110.0 million for sales milestones.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Bioprojet Agreements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April 2024, we entered into the Sublicense agreement with Bioprojet for an orexin-2 receptor agonist (OX2R), BP1.15205, to be evaluated for the treatment of narcolepsy and other potential indications (the “Sublicense”). Under the Sublicense, we obtained the exclusive right to develop, manufacture and commercialize BP1.15205 in the United States and Latin American territories (the “Licensed Territories”), which are rights that Bioprojet originally licensed from Teijin Pharma, the innovator of BP1.15205. BP1.15205 is currently in a Phase 1 clinical trial to assess the safety, tolerability, pharmacokinetics and pharmacodynamics after single and multiple ascending doses in healthy volunteers and sleep-deprived healthy subjects. Under the Sublicense, we paid Bioprojet an upfront license fee of $25.5 million. In November 2025, we achieved a clinical milestone for BP1.15205 that triggered a $4.3 million payment to Bioprojet under the Sublicense. We will also be obligated to pay up to $123.3 million upon achievement of other development and regulatory milestones and up to $240.0 million upon achievement of certain sales-based milestones, as well as royalty rates in the mid-teens on potential sales in the Licensed Territories.</w:t>
      </w:r>
    </w:p>
    <w:p>
      <w:pPr>
        <w:spacing w:after="0" w:line="28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July 2022, we entered into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We paid an initial, non-refundable $30.0 million licensing fee in October 2022 and additional payments of up to $155.0 million are potentially due under the 2022 LCA upon the achievement of certain future development and sales-based milestones. In addition, certain payments will become due upon the achievement of development milestones for new indications and formulations as agreed upon by both parties. The 2022 LCA also includes a fixed trademark royalty and a tiered royalty based on net sales of any new products commercialized, which will be payable to Bioprojet on a quarterly basis.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CiRC Agreement</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June 2025, we entered the CiRC Agreement with CiRC, a related party. Under this agreement, we will collaborate on the research and development of the Candidates using cell replacement therapy for the treatment of refractory epilepsies and treatment-resistant narcolepsy. As part of the CiRC Agreement, we paid CiRC an upfront fee of $15.0 million and we will also be obligated to pay $2.0 million upon the achievement of certain research milestones for each of the Candidates. In addition, we have an option to obtain an exclusive license for each of the Candidates that would grant us global rights to develop, manufacture and commercialize that Candidate. We would be obligated to pay an option exercise fee of $8.0 million, or $16.0 million in the aggregate if the options related to both Candidates were exercised, and we would be obligated upon achievement to pay future development, regulatory and sales-based milestones, as well as royalties on sales of any product derived from the Candidates.</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Milestone Payments</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November 2025, we achieved a clinical milestone for BP1.15205 that triggered a $4.3 million payment to Bioprojet under the Sublicense, which was paid in December 2025.</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40" w:firstLine="648"/>
        <w:spacing w:after="0" w:line="271" w:lineRule="auto"/>
        <w:rPr>
          <w:sz w:val="20"/>
          <w:szCs w:val="20"/>
          <w:color w:val="auto"/>
        </w:rPr>
      </w:pPr>
      <w:r>
        <w:rPr>
          <w:rFonts w:ascii="Arial" w:cs="Arial" w:eastAsia="Arial" w:hAnsi="Arial"/>
          <w:sz w:val="18"/>
          <w:szCs w:val="18"/>
          <w:color w:val="212529"/>
        </w:rPr>
        <w:t>In September 2025, we achieved a clinical milestone for ZYN002 that triggered a $15.0 million payment to contingent value rights holders per the terms of our acquisition of Zynerba, which was paid in November 2025.</w:t>
      </w:r>
    </w:p>
    <w:p>
      <w:pPr>
        <w:spacing w:after="0" w:line="154" w:lineRule="exact"/>
        <w:rPr>
          <w:sz w:val="20"/>
          <w:szCs w:val="20"/>
          <w:color w:val="auto"/>
        </w:rPr>
      </w:pPr>
    </w:p>
    <w:p>
      <w:pPr>
        <w:jc w:val="both"/>
        <w:ind w:right="40" w:firstLine="648"/>
        <w:spacing w:after="0" w:line="271" w:lineRule="auto"/>
        <w:rPr>
          <w:sz w:val="20"/>
          <w:szCs w:val="20"/>
          <w:color w:val="auto"/>
        </w:rPr>
      </w:pPr>
      <w:r>
        <w:rPr>
          <w:rFonts w:ascii="Arial" w:cs="Arial" w:eastAsia="Arial" w:hAnsi="Arial"/>
          <w:sz w:val="18"/>
          <w:szCs w:val="18"/>
          <w:color w:val="212529"/>
        </w:rPr>
        <w:t>In September 2024, we achieved a preclinical milestone that triggered a $1.0 million payment under the provisions of the APA, which was paid in October 2024.</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Cash Flows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our cash flows for the years ended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740" w:type="dxa"/>
            <w:vAlign w:val="bottom"/>
            <w:vMerge w:val="restart"/>
          </w:tcPr>
          <w:p>
            <w:pPr>
              <w:ind w:left="558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7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2025</w:t>
            </w:r>
          </w:p>
        </w:tc>
        <w:tc>
          <w:tcPr>
            <w:tcW w:w="2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3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Selected cash flow data</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3"/>
          </w:tcPr>
          <w:p>
            <w:pPr>
              <w:jc w:val="center"/>
              <w:ind w:left="459"/>
              <w:spacing w:after="0" w:line="129"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360" w:type="dxa"/>
            <w:vAlign w:val="bottom"/>
            <w:gridSpan w:val="2"/>
          </w:tcPr>
          <w:p>
            <w:pPr>
              <w:spacing w:after="0" w:line="196" w:lineRule="exact"/>
              <w:rPr>
                <w:sz w:val="20"/>
                <w:szCs w:val="20"/>
                <w:color w:val="auto"/>
              </w:rPr>
            </w:pPr>
            <w:r>
              <w:rPr>
                <w:rFonts w:ascii="Arial" w:cs="Arial" w:eastAsia="Arial" w:hAnsi="Arial"/>
                <w:sz w:val="18"/>
                <w:szCs w:val="18"/>
                <w:color w:val="auto"/>
              </w:rPr>
              <w:t>Cash provided by (used in):</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348,199</w:t>
            </w:r>
          </w:p>
        </w:tc>
        <w:tc>
          <w:tcPr>
            <w:tcW w:w="6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219,821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(39,649)</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(67,484)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(9,049)</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Activities</w:t>
      </w:r>
    </w:p>
    <w:p>
      <w:pPr>
        <w:spacing w:after="0" w:line="212" w:lineRule="exact"/>
        <w:rPr>
          <w:sz w:val="20"/>
          <w:szCs w:val="20"/>
          <w:color w:val="auto"/>
        </w:rPr>
      </w:pPr>
    </w:p>
    <w:p>
      <w:pPr>
        <w:jc w:val="both"/>
        <w:ind w:right="40" w:firstLine="648"/>
        <w:spacing w:after="0"/>
        <w:rPr>
          <w:sz w:val="20"/>
          <w:szCs w:val="20"/>
          <w:color w:val="auto"/>
        </w:rPr>
      </w:pPr>
      <w:r>
        <w:rPr>
          <w:rFonts w:ascii="Arial" w:cs="Arial" w:eastAsia="Arial" w:hAnsi="Arial"/>
          <w:sz w:val="18"/>
          <w:szCs w:val="18"/>
          <w:color w:val="auto"/>
        </w:rPr>
        <w:t>Net cash provided by operating activities for the year ended December 31, 2025, consisted of net income of $158.7 million adjusted for non-cash items of $45.0 million related to stock-based compensation expense, $34.3 million related to acquired IPR&amp;D, $25.3 million related to intangible amortization and depreciation, offset by $7.3 million related to deferred tax assets. Net working capital excluding cash decreased by $91.8 million, primarily driven by increases in accounts receivable due to higher net product revenue in the current period, offset by an increase in accounts payable due to the timing of payments and an increase in accrued expenses primarily from higher accrued rebates and patent-related legal fees, including settlements related to the ANDA settlements.</w:t>
      </w:r>
    </w:p>
    <w:p>
      <w:pPr>
        <w:spacing w:after="0" w:line="185" w:lineRule="exact"/>
        <w:rPr>
          <w:sz w:val="20"/>
          <w:szCs w:val="20"/>
          <w:color w:val="auto"/>
        </w:rPr>
      </w:pPr>
    </w:p>
    <w:p>
      <w:pPr>
        <w:jc w:val="both"/>
        <w:ind w:right="40" w:firstLine="648"/>
        <w:spacing w:after="0" w:line="242" w:lineRule="auto"/>
        <w:rPr>
          <w:sz w:val="20"/>
          <w:szCs w:val="20"/>
          <w:color w:val="auto"/>
        </w:rPr>
      </w:pPr>
      <w:r>
        <w:rPr>
          <w:rFonts w:ascii="Arial" w:cs="Arial" w:eastAsia="Arial" w:hAnsi="Arial"/>
          <w:sz w:val="18"/>
          <w:szCs w:val="18"/>
          <w:color w:val="auto"/>
        </w:rPr>
        <w:t>Net cash provided by operating activities for the year ended December 31, 2024, primarily consisted of net income of $143.8 million adjusted for non-cash items of $43.6 million related to acquired IPR&amp;D, $42.7 million related to stock-based compensation expense, and $24.1 million related to intangible amortization and depreciation, offset by $29.3 million related to deferred tax assets. Net working capital excluding cash increased by $7.3 million, primarily driven by increases in accounts receivable due to higher net product revenue in the current period and decreases in accounts payable due to the timing of payments.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Investing Activities</w:t>
      </w:r>
    </w:p>
    <w:p>
      <w:pPr>
        <w:spacing w:after="0" w:line="212" w:lineRule="exact"/>
        <w:rPr>
          <w:sz w:val="20"/>
          <w:szCs w:val="20"/>
          <w:color w:val="auto"/>
        </w:rPr>
      </w:pPr>
    </w:p>
    <w:p>
      <w:pPr>
        <w:jc w:val="both"/>
        <w:ind w:right="40" w:firstLine="648"/>
        <w:spacing w:after="0" w:line="244" w:lineRule="auto"/>
        <w:rPr>
          <w:sz w:val="20"/>
          <w:szCs w:val="20"/>
          <w:color w:val="auto"/>
        </w:rPr>
      </w:pPr>
      <w:r>
        <w:rPr>
          <w:rFonts w:ascii="Arial" w:cs="Arial" w:eastAsia="Arial" w:hAnsi="Arial"/>
          <w:sz w:val="18"/>
          <w:szCs w:val="18"/>
          <w:color w:val="auto"/>
        </w:rPr>
        <w:t>Net cash used in investing activities for the year ended December 31, 2025, was $39.6 million, which was primarily attributable to $86.2 million in purchases of debt securities, a $15.0 million upfront fee paid to CiRC, a $15.0 million payment associated with the achievement of a clinical milestone for ZYN002, $4.3 million associated with the achievement of a clinical milestone for BP1.15205 and $0.3 million in purchases of property and equipment, partially offset by $81.1 million from maturities of investments.</w:t>
      </w:r>
    </w:p>
    <w:p>
      <w:pPr>
        <w:spacing w:after="0" w:line="176" w:lineRule="exact"/>
        <w:rPr>
          <w:sz w:val="20"/>
          <w:szCs w:val="20"/>
          <w:color w:val="auto"/>
        </w:rPr>
      </w:pPr>
    </w:p>
    <w:p>
      <w:pPr>
        <w:jc w:val="both"/>
        <w:ind w:right="40" w:firstLine="648"/>
        <w:spacing w:after="0" w:line="247" w:lineRule="auto"/>
        <w:rPr>
          <w:sz w:val="20"/>
          <w:szCs w:val="20"/>
          <w:color w:val="auto"/>
        </w:rPr>
      </w:pPr>
      <w:r>
        <w:rPr>
          <w:rFonts w:ascii="Arial" w:cs="Arial" w:eastAsia="Arial" w:hAnsi="Arial"/>
          <w:sz w:val="18"/>
          <w:szCs w:val="18"/>
          <w:color w:val="auto"/>
        </w:rPr>
        <w:t>Net cash used in investing activities for the year ended December 31, 2024, was $67.5 million, which was primarily attributable to $105.3 million in purchases of debt securities, a $25.5 million license fee paid to Bioprojet, a $1.0 million milestone payment related to HBS-102, $33.1 million net cash consideration paid for the acquisition of Epygenix and $1.2 million in purchases of property and equipment, partially offset by $98.5 million from maturities of investments.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Financing Activities</w:t>
      </w:r>
    </w:p>
    <w:p>
      <w:pPr>
        <w:spacing w:after="0" w:line="212" w:lineRule="exact"/>
        <w:rPr>
          <w:sz w:val="20"/>
          <w:szCs w:val="20"/>
          <w:color w:val="auto"/>
        </w:rPr>
      </w:pPr>
    </w:p>
    <w:p>
      <w:pPr>
        <w:jc w:val="both"/>
        <w:ind w:right="40" w:firstLine="648"/>
        <w:spacing w:after="0" w:line="247" w:lineRule="auto"/>
        <w:rPr>
          <w:sz w:val="20"/>
          <w:szCs w:val="20"/>
          <w:color w:val="auto"/>
        </w:rPr>
      </w:pPr>
      <w:r>
        <w:rPr>
          <w:rFonts w:ascii="Arial" w:cs="Arial" w:eastAsia="Arial" w:hAnsi="Arial"/>
          <w:sz w:val="18"/>
          <w:szCs w:val="18"/>
          <w:color w:val="auto"/>
        </w:rPr>
        <w:t>Net cash used in financing activities for the year ended December 31, 2025, was $9.0 million, which primarily consisted of $16.3 million in principal payments associated with the TLA Credit Agreement and $3.0 million of employee withholding tax payments related to stock-based awards, partially offset by $10.2 million in proceeds from the exercise of stock options.</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Net cash used in financing activities for the year ended December 31, 2024, was $11.0 million, which primarily consisted of $15.0 million in principal payments associated with the TLA Credit Agreement, partially offset by $ 6.5 million in proceeds from the exercise of stock options, and $2.5 million of employee withholding tax payments related to stock-based awards.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accounting principles generally accepted in the United States of America, or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GAAP, we evaluate our estimates and judgments on an ongoing basis.</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Significant estimates include assumptions used in the determination of the amount of revenue recognized on sales of WAKIX, costs incurred under services type agreements related to the performance of research and development activities, the measurement of compensation expense pursuant to stock-based awards, the calculation of our income tax provision, and the determination of accounting treatment for our business combinations. We base our estimates on contractual terms, historical experience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Items Deducted from Gross Product Revenue</w:t>
      </w:r>
    </w:p>
    <w:p>
      <w:pPr>
        <w:spacing w:after="0" w:line="21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Product revenue is recorded at the product’s list price and is reduced from the product’s list price at the time of recognition for variable consideration that is offered within contracts between us and our customers, payors, and other indirect customers relating to the sale of WAKIX. Components of variable consideration include government (as detailed below) and commercial contracts, commercial co -payment assistance program, and distribution service fees. These deductions are based on the amounts earned, or to be claimed on the related sales, and are classified as a current liability or reduction of receivables in our consolidated balance sheet</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following table provides a summary of activity and ending balances of our sales allowances and accruals for the year ended December 31, 2025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ind w:right="136"/>
              <w:spacing w:after="0"/>
              <w:rPr>
                <w:sz w:val="20"/>
                <w:szCs w:val="20"/>
                <w:color w:val="auto"/>
              </w:rPr>
            </w:pPr>
            <w:r>
              <w:rPr>
                <w:rFonts w:ascii="Arial" w:cs="Arial" w:eastAsia="Arial" w:hAnsi="Arial"/>
                <w:sz w:val="14"/>
                <w:szCs w:val="14"/>
                <w:b w:val="1"/>
                <w:bCs w:val="1"/>
                <w:color w:val="auto"/>
              </w:rPr>
              <w:t>Distribution Fees &amp;</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20" w:type="dxa"/>
            <w:vAlign w:val="bottom"/>
          </w:tcPr>
          <w:p>
            <w:pPr>
              <w:spacing w:after="0"/>
              <w:rPr>
                <w:sz w:val="14"/>
                <w:szCs w:val="14"/>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36"/>
              <w:spacing w:after="0"/>
              <w:rPr>
                <w:sz w:val="20"/>
                <w:szCs w:val="20"/>
                <w:color w:val="auto"/>
              </w:rPr>
            </w:pPr>
            <w:r>
              <w:rPr>
                <w:rFonts w:ascii="Arial" w:cs="Arial" w:eastAsia="Arial" w:hAnsi="Arial"/>
                <w:sz w:val="14"/>
                <w:szCs w:val="14"/>
                <w:b w:val="1"/>
                <w:bCs w:val="1"/>
                <w:color w:val="auto"/>
              </w:rPr>
              <w:t>Discounts</w:t>
            </w: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Co-Pay Assistance</w:t>
            </w:r>
          </w:p>
        </w:tc>
        <w:tc>
          <w:tcPr>
            <w:tcW w:w="440" w:type="dxa"/>
            <w:vAlign w:val="bottom"/>
            <w:gridSpan w:val="2"/>
          </w:tcPr>
          <w:p>
            <w:pPr>
              <w:jc w:val="right"/>
              <w:ind w:right="15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94"/>
              <w:spacing w:after="0"/>
              <w:rPr>
                <w:sz w:val="20"/>
                <w:szCs w:val="20"/>
                <w:color w:val="auto"/>
              </w:rPr>
            </w:pPr>
            <w:r>
              <w:rPr>
                <w:rFonts w:ascii="Arial" w:cs="Arial" w:eastAsia="Arial" w:hAnsi="Arial"/>
                <w:sz w:val="14"/>
                <w:szCs w:val="14"/>
                <w:b w:val="1"/>
                <w:bCs w:val="1"/>
                <w:color w:val="auto"/>
              </w:rPr>
              <w:t>Rebates</w:t>
            </w:r>
          </w:p>
        </w:tc>
        <w:tc>
          <w:tcPr>
            <w:tcW w:w="440" w:type="dxa"/>
            <w:vAlign w:val="bottom"/>
            <w:gridSpan w:val="3"/>
          </w:tcPr>
          <w:p>
            <w:pPr>
              <w:jc w:val="right"/>
              <w:ind w:right="167"/>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r>
      <w:tr>
        <w:trPr>
          <w:trHeight w:val="196"/>
        </w:trPr>
        <w:tc>
          <w:tcPr>
            <w:tcW w:w="3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December 31, 2024</w:t>
            </w: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2,182</w:t>
            </w: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6,246</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46,119</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54,547</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Provision, net</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27,255</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40,780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220,028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288,063</w:t>
            </w:r>
          </w:p>
        </w:tc>
      </w:tr>
      <w:tr>
        <w:trPr>
          <w:trHeight w:val="203"/>
        </w:trPr>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Payments/Credits</w:t>
            </w:r>
          </w:p>
        </w:tc>
        <w:tc>
          <w:tcPr>
            <w:tcW w:w="6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(26,453)</w:t>
            </w:r>
          </w:p>
        </w:tc>
        <w:tc>
          <w:tcPr>
            <w:tcW w:w="2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(38,602)</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(196,132)</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(261,187)</w:t>
            </w:r>
          </w:p>
        </w:tc>
      </w:tr>
      <w:tr>
        <w:trPr>
          <w:trHeight w:val="196"/>
        </w:trPr>
        <w:tc>
          <w:tcPr>
            <w:tcW w:w="3220" w:type="dxa"/>
            <w:vAlign w:val="bottom"/>
          </w:tcPr>
          <w:p>
            <w:pPr>
              <w:spacing w:after="0" w:line="196" w:lineRule="exact"/>
              <w:rPr>
                <w:sz w:val="20"/>
                <w:szCs w:val="20"/>
                <w:color w:val="auto"/>
              </w:rPr>
            </w:pPr>
            <w:r>
              <w:rPr>
                <w:rFonts w:ascii="Arial" w:cs="Arial" w:eastAsia="Arial" w:hAnsi="Arial"/>
                <w:sz w:val="18"/>
                <w:szCs w:val="18"/>
                <w:color w:val="auto"/>
              </w:rPr>
              <w:t>Balance as of December 31, 2025</w:t>
            </w:r>
          </w:p>
        </w:tc>
        <w:tc>
          <w:tcPr>
            <w:tcW w:w="6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2,984</w:t>
            </w:r>
          </w:p>
        </w:tc>
        <w:tc>
          <w:tcPr>
            <w:tcW w:w="240" w:type="dxa"/>
            <w:vAlign w:val="bottom"/>
          </w:tcPr>
          <w:p>
            <w:pPr>
              <w:spacing w:after="0"/>
              <w:rPr>
                <w:sz w:val="17"/>
                <w:szCs w:val="17"/>
                <w:color w:val="auto"/>
              </w:rPr>
            </w:pP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8,424</w:t>
            </w:r>
          </w:p>
        </w:tc>
        <w:tc>
          <w:tcPr>
            <w:tcW w:w="26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70,015</w:t>
            </w:r>
          </w:p>
        </w:tc>
        <w:tc>
          <w:tcPr>
            <w:tcW w:w="280" w:type="dxa"/>
            <w:vAlign w:val="bottom"/>
            <w:gridSpan w:val="2"/>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81,423</w:t>
            </w:r>
          </w:p>
        </w:tc>
      </w:tr>
      <w:tr>
        <w:trPr>
          <w:trHeight w:val="20"/>
        </w:trPr>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Included in these amounts are immaterial adjustments related to prior-year sales due to changes in estimates.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define our critical accounting policies as those under GAAP that require us to make subjective estimates and judgments about matters that are uncertain and are likely to have a material impact on our financial condition and results of operations, as well as the specific manner in which we apply those principles. During the year covered by this report, there were no material changes to the accounting policies and assumptions previously disclosed, except as disclosed in Note 3 to the consolidated financial statements contained herein.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See Note 3 to our consolidated financial statements included herein under “Part II—Item 8. Financial Statements and Supplementary Data.” for more information.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Rate Fluctuation Risk</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are exposed to market risk related to changes in interest rates. We invest a portion of our cash in investment-grade, interest-bearing securities. The primary objectives of our investment activities are to preserve principal, maintain liquidity and maximize total return. In order to achieve these objectives, we invest in money market funds, U.S. government and agency securities, corporate bonds and commercial paper in accordance with our investment policy. Our investment policy defines allowable investments and establishes guidelines relating to credit quality, diversification, and maturities of our investments to preserve principal and maintain liquidity. All investment securities have a credit rating of at least A-2/P-2/F2 from at least two National Recognized Statistical Rating Organizations. We do not have any direct investments in asset-backed securities, collateralized debt or loan obligations, or structured investment vehicles. Our primary exposure to market risk is interest income sensitivity, which is affected by changes in the general level of U.S. interest rates. Based on our $355.6 million of investments in money market funds, U.S. treasury notes, corporate bonds and municipal obligations as of December 31, 2025, an immediate 10% change in market interest rates would not have a material impact on the fair market value of our investment portfolio or on our financial position or results of operations.</w:t>
      </w:r>
    </w:p>
    <w:p>
      <w:pPr>
        <w:spacing w:after="0" w:line="18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As of December 31, 2025, we had $ 165.0 million in borrowings outstanding. The Term Loans bear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 Based on the $165.0 million of principal outstanding as of December 31, 2025, an immediate 10% change in the SOFR would not have a material impact on our debt-related obligations, financial position or results of operations.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Foreign Currency Fluctuation Risk</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have contracted with and may continue to contract with foreign vendors that are located in Europe and Australia. Our operations may be subject to fluctuations in foreign currency exchange rates in the future.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Inflation Fluctuation Risk</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for the years ended December 31,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44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480" w:type="dxa"/>
            <w:vAlign w:val="bottom"/>
          </w:tcPr>
          <w:p>
            <w:pPr>
              <w:spacing w:after="0"/>
              <w:rPr>
                <w:sz w:val="21"/>
                <w:szCs w:val="21"/>
                <w:color w:val="auto"/>
              </w:rPr>
            </w:pPr>
          </w:p>
        </w:tc>
      </w:tr>
      <w:tr>
        <w:trPr>
          <w:trHeight w:val="366"/>
        </w:trPr>
        <w:tc>
          <w:tcPr>
            <w:tcW w:w="8440" w:type="dxa"/>
            <w:vAlign w:val="bottom"/>
            <w:gridSpan w:val="7"/>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No. 34)</w:t>
            </w:r>
          </w:p>
        </w:tc>
        <w:tc>
          <w:tcPr>
            <w:tcW w:w="14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0"/>
        </w:trPr>
        <w:tc>
          <w:tcPr>
            <w:tcW w:w="23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9"/>
              </w:rPr>
              <w:t>Consolidated Balance Sheets</w:t>
            </w:r>
          </w:p>
        </w:tc>
        <w:tc>
          <w:tcPr>
            <w:tcW w:w="2240" w:type="dxa"/>
            <w:vAlign w:val="bottom"/>
            <w:tcBorders>
              <w:top w:val="single" w:sz="8" w:color="0000EE"/>
            </w:tcBorders>
            <w:gridSpan w:val="3"/>
          </w:tcPr>
          <w:p>
            <w:pPr>
              <w:spacing w:after="0"/>
              <w:rPr>
                <w:sz w:val="18"/>
                <w:szCs w:val="18"/>
                <w:color w:val="auto"/>
              </w:rPr>
            </w:pPr>
          </w:p>
        </w:tc>
        <w:tc>
          <w:tcPr>
            <w:tcW w:w="3820" w:type="dxa"/>
            <w:vAlign w:val="bottom"/>
            <w:gridSpan w:val="3"/>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0"/>
        </w:trPr>
        <w:tc>
          <w:tcPr>
            <w:tcW w:w="8440" w:type="dxa"/>
            <w:vAlign w:val="bottom"/>
            <w:gridSpan w:val="7"/>
          </w:tcPr>
          <w:p>
            <w:pPr>
              <w:spacing w:after="0"/>
              <w:rPr>
                <w:sz w:val="20"/>
                <w:szCs w:val="20"/>
                <w:color w:val="auto"/>
              </w:rPr>
            </w:pPr>
            <w:r>
              <w:rPr>
                <w:rFonts w:ascii="Arial" w:cs="Arial" w:eastAsia="Arial" w:hAnsi="Arial"/>
                <w:sz w:val="18"/>
                <w:szCs w:val="18"/>
                <w:color w:val="0000EE"/>
              </w:rPr>
              <w:t>Consolidated Statements of Operations and Comprehensive Income (Loss</w:t>
            </w:r>
            <w:r>
              <w:rPr>
                <w:rFonts w:ascii="Arial" w:cs="Arial" w:eastAsia="Arial" w:hAnsi="Arial"/>
                <w:sz w:val="18"/>
                <w:szCs w:val="18"/>
                <w:color w:val="000000"/>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3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0"/>
        </w:trPr>
        <w:tc>
          <w:tcPr>
            <w:tcW w:w="8440" w:type="dxa"/>
            <w:vAlign w:val="bottom"/>
            <w:gridSpan w:val="7"/>
          </w:tcPr>
          <w:p>
            <w:pPr>
              <w:spacing w:after="0"/>
              <w:rPr>
                <w:sz w:val="20"/>
                <w:szCs w:val="20"/>
                <w:color w:val="auto"/>
              </w:rPr>
            </w:pPr>
            <w:r>
              <w:rPr>
                <w:rFonts w:ascii="Arial" w:cs="Arial" w:eastAsia="Arial" w:hAnsi="Arial"/>
                <w:sz w:val="18"/>
                <w:szCs w:val="18"/>
                <w:color w:val="0000EE"/>
              </w:rPr>
              <w:t>Consolidated Statements of Convertible Preferred Stock and Stockholders’ Equity (Deficit)</w:t>
            </w:r>
          </w:p>
        </w:tc>
        <w:tc>
          <w:tcPr>
            <w:tcW w:w="14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9"/>
        </w:trPr>
        <w:tc>
          <w:tcPr>
            <w:tcW w:w="718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Consolidated Statements of Cash Flows</w:t>
            </w:r>
          </w:p>
        </w:tc>
        <w:tc>
          <w:tcPr>
            <w:tcW w:w="1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32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0"/>
        </w:trPr>
        <w:tc>
          <w:tcPr>
            <w:tcW w:w="35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9"/>
              </w:rPr>
              <w:t>Notes to Consolidated Financial Statements</w:t>
            </w:r>
          </w:p>
        </w:tc>
        <w:tc>
          <w:tcPr>
            <w:tcW w:w="4920" w:type="dxa"/>
            <w:vAlign w:val="bottom"/>
            <w:gridSpan w:val="4"/>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713"/>
        </w:trPr>
        <w:tc>
          <w:tcPr>
            <w:tcW w:w="5940" w:type="dxa"/>
            <w:vAlign w:val="bottom"/>
            <w:gridSpan w:val="5"/>
          </w:tcPr>
          <w:p>
            <w:pPr>
              <w:ind w:left="4860"/>
              <w:spacing w:after="0"/>
              <w:rPr>
                <w:sz w:val="20"/>
                <w:szCs w:val="20"/>
                <w:color w:val="auto"/>
              </w:rPr>
            </w:pPr>
            <w:r>
              <w:rPr>
                <w:rFonts w:ascii="Arial" w:cs="Arial" w:eastAsia="Arial" w:hAnsi="Arial"/>
                <w:sz w:val="18"/>
                <w:szCs w:val="18"/>
                <w:color w:val="auto"/>
              </w:rPr>
              <w:t>90</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43"/>
        </w:trPr>
        <w:tc>
          <w:tcPr>
            <w:tcW w:w="2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Harmony Biosciences Holdings,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consolidated balance sheets of Harmony Biosciences Holdings, Inc. and subsidiaries (the “Company”) as of December 31, 2025 and 2024, the related consolidated statements of operations and comprehensive income (loss), stockholders’ equity (deficit),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and our report dated February 24, 2026, expressed an unqualified opinion on the Company’s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40" w:lineRule="exact"/>
        <w:rPr>
          <w:sz w:val="20"/>
          <w:szCs w:val="20"/>
          <w:color w:val="auto"/>
        </w:rPr>
      </w:pPr>
    </w:p>
    <w:p>
      <w:pPr>
        <w:ind w:right="1580"/>
        <w:spacing w:after="0" w:line="444" w:lineRule="auto"/>
        <w:rPr>
          <w:sz w:val="20"/>
          <w:szCs w:val="20"/>
          <w:color w:val="auto"/>
        </w:rPr>
      </w:pPr>
      <w:r>
        <w:rPr>
          <w:rFonts w:ascii="Arial" w:cs="Arial" w:eastAsia="Arial" w:hAnsi="Arial"/>
          <w:sz w:val="18"/>
          <w:szCs w:val="18"/>
          <w:b w:val="1"/>
          <w:bCs w:val="1"/>
          <w:i w:val="1"/>
          <w:iCs w:val="1"/>
          <w:color w:val="auto"/>
        </w:rPr>
        <w:t xml:space="preserve">Rebate Accrual for Medicaid – Refer to “Note 3- Net Product Revenue” to the financial statements </w:t>
      </w:r>
      <w:r>
        <w:rPr>
          <w:rFonts w:ascii="Arial" w:cs="Arial" w:eastAsia="Arial" w:hAnsi="Arial"/>
          <w:sz w:val="18"/>
          <w:szCs w:val="18"/>
          <w:i w:val="1"/>
          <w:iCs w:val="1"/>
          <w:color w:val="auto"/>
        </w:rPr>
        <w:t>Critical Audit Matter Description</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more fully disclosed in Note 3 to the financial statements, the Company recognizes revenue on sales of WAKIX when the customer obtains control of the product, which occurs at a point in time, typically upon delivery. Product revenue is recorded at the product’s wholesale list price, net of applicable reserves for variable consideration that are offered within contracts between the Company and its customers, payors, and other indirect customers relating to the sale of WAKIX. Components of variable consideration include government and commercial contracts, product returns, commercial co-payment assistance program transactions, and distribution service fees. These deductions are based on the amounts earned, or to be claimed on the related sales, and are classified as a current liability or reduction of receivables on the Company’s consolidated balance sheet.</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rebate provision and related liability related to the Medicaid Drug Rebate Program (the “Medicaid rebate accrual”) involves the use of significant assumptions and judgments in the Company’s calculation. These significant assumptions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judgments include historical claims experience, payer channel mix, current contract prices, unbilled claims, claims submission time lags, and inventory levels in the distribution channel.</w:t>
      </w:r>
    </w:p>
    <w:p>
      <w:pPr>
        <w:spacing w:after="0" w:line="11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Given the complexity involved in determining the significant assumptions used in calculating the Medicaid rebate accrual, auditing these estimates involved especially subjective judgment.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Medicaid rebate accrual included the following, among others:</w:t>
      </w:r>
    </w:p>
    <w:p>
      <w:pPr>
        <w:spacing w:after="0" w:line="171" w:lineRule="exact"/>
        <w:rPr>
          <w:sz w:val="20"/>
          <w:szCs w:val="20"/>
          <w:color w:val="auto"/>
        </w:rPr>
      </w:pPr>
    </w:p>
    <w:p>
      <w:pPr>
        <w:ind w:left="680" w:right="20" w:hanging="321"/>
        <w:spacing w:after="0" w:line="270" w:lineRule="auto"/>
        <w:tabs>
          <w:tab w:leader="none" w:pos="68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We evaluated the appropriateness and consistency of the Company’s methods and assumptions used to calculate the Medicaid rebate accrual.</w:t>
      </w:r>
    </w:p>
    <w:p>
      <w:pPr>
        <w:spacing w:after="0" w:line="127" w:lineRule="exact"/>
        <w:rPr>
          <w:rFonts w:ascii="Times New Roman" w:cs="Times New Roman" w:eastAsia="Times New Roman" w:hAnsi="Times New Roman"/>
          <w:sz w:val="18"/>
          <w:szCs w:val="18"/>
          <w:color w:val="auto"/>
        </w:rPr>
      </w:pPr>
    </w:p>
    <w:p>
      <w:pPr>
        <w:ind w:left="680" w:hanging="321"/>
        <w:spacing w:after="0" w:line="270" w:lineRule="auto"/>
        <w:tabs>
          <w:tab w:leader="none" w:pos="68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the effectiveness of internal controls over the review of the Company’s estimation model, including underlying assumptions and key inputs into the Company’s process to calculate the Medicaid rebate accrual.</w:t>
      </w:r>
    </w:p>
    <w:p>
      <w:pPr>
        <w:spacing w:after="0" w:line="11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the mathematical accuracy of the Medicaid rebate accrual.</w:t>
      </w:r>
    </w:p>
    <w:p>
      <w:pPr>
        <w:spacing w:after="0" w:line="18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significant assumptions and key inputs used to calculate the Medicaid rebate accrual.</w:t>
      </w:r>
    </w:p>
    <w:p>
      <w:pPr>
        <w:spacing w:after="0" w:line="197" w:lineRule="exact"/>
        <w:rPr>
          <w:rFonts w:ascii="Times New Roman" w:cs="Times New Roman" w:eastAsia="Times New Roman" w:hAnsi="Times New Roman"/>
          <w:sz w:val="18"/>
          <w:szCs w:val="18"/>
          <w:color w:val="auto"/>
        </w:rPr>
      </w:pPr>
    </w:p>
    <w:p>
      <w:pPr>
        <w:ind w:left="680" w:right="20" w:hanging="321"/>
        <w:spacing w:after="0" w:line="270" w:lineRule="auto"/>
        <w:tabs>
          <w:tab w:leader="none" w:pos="68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We evaluated the Company’s ability to estimate the Medicaid rebate accrual accurately by comparing the actual amounts incurred for the Medicaid rebate accrual to historical estimates.</w:t>
      </w:r>
    </w:p>
    <w:p>
      <w:pPr>
        <w:spacing w:after="0" w:line="113" w:lineRule="exact"/>
        <w:rPr>
          <w:rFonts w:ascii="Times New Roman" w:cs="Times New Roman" w:eastAsia="Times New Roman" w:hAnsi="Times New Roman"/>
          <w:sz w:val="18"/>
          <w:szCs w:val="18"/>
          <w:color w:val="auto"/>
        </w:rPr>
      </w:pPr>
    </w:p>
    <w:p>
      <w:pPr>
        <w:ind w:left="680" w:right="20" w:hanging="321"/>
        <w:spacing w:after="0" w:line="270" w:lineRule="auto"/>
        <w:tabs>
          <w:tab w:leader="none" w:pos="68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the overall reasonableness of the Medicaid rebate accrual recorded at period end by developing an expectation for comparison to actual recorded balances.</w:t>
      </w:r>
    </w:p>
    <w:p>
      <w:pPr>
        <w:spacing w:after="0" w:line="113" w:lineRule="exact"/>
        <w:rPr>
          <w:rFonts w:ascii="Times New Roman" w:cs="Times New Roman" w:eastAsia="Times New Roman" w:hAnsi="Times New Roman"/>
          <w:sz w:val="18"/>
          <w:szCs w:val="18"/>
          <w:color w:val="auto"/>
        </w:rPr>
      </w:pPr>
    </w:p>
    <w:p>
      <w:pPr>
        <w:ind w:left="680" w:right="20" w:hanging="321"/>
        <w:spacing w:after="0" w:line="270" w:lineRule="auto"/>
        <w:tabs>
          <w:tab w:leader="none" w:pos="68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We involved audit professionals with industry and quantitative analytics experience to assist us in performing our auditing procedures.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2026</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ind w:right="40"/>
        <w:spacing w:after="0" w:line="257" w:lineRule="auto"/>
        <w:rPr>
          <w:sz w:val="20"/>
          <w:szCs w:val="20"/>
          <w:color w:val="auto"/>
        </w:rPr>
      </w:pPr>
      <w:r>
        <w:rPr>
          <w:rFonts w:ascii="Arial" w:cs="Arial" w:eastAsia="Arial" w:hAnsi="Arial"/>
          <w:sz w:val="18"/>
          <w:szCs w:val="18"/>
          <w:b w:val="1"/>
          <w:bCs w:val="1"/>
          <w:color w:val="auto"/>
        </w:rPr>
        <w:t>HARMONY BIOSCIENCES HOLDINGS, INC. AND SUBSIDIARIES CONSOLIDATED BALANCE SHEETS (In thousands, except share and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gridSpan w:val="4"/>
          </w:tcPr>
          <w:p>
            <w:pPr>
              <w:ind w:left="7480"/>
              <w:spacing w:after="0"/>
              <w:rPr>
                <w:sz w:val="20"/>
                <w:szCs w:val="20"/>
                <w:color w:val="auto"/>
              </w:rPr>
            </w:pPr>
            <w:r>
              <w:rPr>
                <w:rFonts w:ascii="Arial" w:cs="Arial" w:eastAsia="Arial" w:hAnsi="Arial"/>
                <w:sz w:val="14"/>
                <w:szCs w:val="14"/>
                <w:b w:val="1"/>
                <w:bCs w:val="1"/>
                <w:color w:val="auto"/>
              </w:rPr>
              <w:t>​​​ December 31,</w:t>
            </w:r>
          </w:p>
        </w:tc>
        <w:tc>
          <w:tcPr>
            <w:tcW w:w="20" w:type="dxa"/>
            <w:vAlign w:val="bottom"/>
          </w:tcPr>
          <w:p>
            <w:pPr>
              <w:spacing w:after="0"/>
              <w:rPr>
                <w:sz w:val="14"/>
                <w:szCs w:val="14"/>
                <w:color w:val="auto"/>
              </w:rPr>
            </w:pPr>
          </w:p>
        </w:tc>
        <w:tc>
          <w:tcPr>
            <w:tcW w:w="1300" w:type="dxa"/>
            <w:vAlign w:val="bottom"/>
            <w:gridSpan w:val="4"/>
          </w:tcPr>
          <w:p>
            <w:pPr>
              <w:ind w:left="80"/>
              <w:spacing w:after="0"/>
              <w:rPr>
                <w:sz w:val="20"/>
                <w:szCs w:val="20"/>
                <w:color w:val="auto"/>
              </w:rPr>
            </w:pPr>
            <w:r>
              <w:rPr>
                <w:rFonts w:ascii="Arial" w:cs="Arial" w:eastAsia="Arial" w:hAnsi="Arial"/>
                <w:sz w:val="14"/>
                <w:szCs w:val="14"/>
                <w:b w:val="1"/>
                <w:bCs w:val="1"/>
                <w:color w:val="auto"/>
              </w:rPr>
              <w:t>​​​ December 31,</w:t>
            </w:r>
          </w:p>
        </w:tc>
      </w:tr>
      <w:tr>
        <w:trPr>
          <w:trHeight w:val="185"/>
        </w:trPr>
        <w:tc>
          <w:tcPr>
            <w:tcW w:w="7600" w:type="dxa"/>
            <w:vAlign w:val="bottom"/>
          </w:tcPr>
          <w:p>
            <w:pPr>
              <w:ind w:left="7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6"/>
                <w:szCs w:val="16"/>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6"/>
                <w:szCs w:val="16"/>
                <w:color w:val="auto"/>
              </w:rPr>
            </w:pPr>
          </w:p>
        </w:tc>
      </w:tr>
      <w:tr>
        <w:trPr>
          <w:trHeight w:val="156"/>
        </w:trPr>
        <w:tc>
          <w:tcPr>
            <w:tcW w:w="76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line="155" w:lineRule="exact"/>
              <w:rPr>
                <w:sz w:val="20"/>
                <w:szCs w:val="20"/>
                <w:color w:val="auto"/>
              </w:rPr>
            </w:pPr>
            <w:r>
              <w:rPr>
                <w:rFonts w:ascii="Arial" w:cs="Arial" w:eastAsia="Arial" w:hAnsi="Arial"/>
                <w:sz w:val="14"/>
                <w:szCs w:val="14"/>
                <w:color w:val="auto"/>
              </w:rPr>
              <w:t>​</w:t>
            </w:r>
          </w:p>
        </w:tc>
      </w:tr>
      <w:tr>
        <w:trPr>
          <w:trHeight w:val="162"/>
        </w:trPr>
        <w:tc>
          <w:tcPr>
            <w:tcW w:w="7600" w:type="dxa"/>
            <w:vAlign w:val="bottom"/>
          </w:tcPr>
          <w:p>
            <w:pPr>
              <w:ind w:left="120"/>
              <w:spacing w:after="0"/>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40" w:type="dxa"/>
            <w:vAlign w:val="bottom"/>
          </w:tcPr>
          <w:p>
            <w:pPr>
              <w:spacing w:after="0"/>
              <w:rPr>
                <w:sz w:val="20"/>
                <w:szCs w:val="20"/>
                <w:color w:val="auto"/>
              </w:rPr>
            </w:pPr>
            <w:r>
              <w:rPr>
                <w:rFonts w:ascii="Arial" w:cs="Arial" w:eastAsia="Arial" w:hAnsi="Arial"/>
                <w:sz w:val="14"/>
                <w:szCs w:val="14"/>
                <w:color w:val="auto"/>
              </w:rPr>
              <w:t>​</w:t>
            </w:r>
          </w:p>
        </w:tc>
      </w:tr>
      <w:tr>
        <w:trPr>
          <w:trHeight w:val="162"/>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2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752,502</w:t>
            </w:r>
          </w:p>
        </w:tc>
        <w:tc>
          <w:tcPr>
            <w:tcW w:w="46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453,001</w:t>
            </w:r>
          </w:p>
        </w:tc>
        <w:tc>
          <w:tcPr>
            <w:tcW w:w="40" w:type="dxa"/>
            <w:vAlign w:val="bottom"/>
          </w:tcPr>
          <w:p>
            <w:pPr>
              <w:spacing w:after="0"/>
              <w:rPr>
                <w:sz w:val="14"/>
                <w:szCs w:val="14"/>
                <w:color w:val="auto"/>
              </w:rPr>
            </w:pPr>
          </w:p>
        </w:tc>
      </w:tr>
      <w:tr>
        <w:trPr>
          <w:trHeight w:val="162"/>
        </w:trPr>
        <w:tc>
          <w:tcPr>
            <w:tcW w:w="7600" w:type="dxa"/>
            <w:vAlign w:val="bottom"/>
          </w:tcPr>
          <w:p>
            <w:pPr>
              <w:ind w:left="220"/>
              <w:spacing w:after="0"/>
              <w:rPr>
                <w:sz w:val="20"/>
                <w:szCs w:val="20"/>
                <w:color w:val="auto"/>
              </w:rPr>
            </w:pPr>
            <w:r>
              <w:rPr>
                <w:rFonts w:ascii="Arial" w:cs="Arial" w:eastAsia="Arial" w:hAnsi="Arial"/>
                <w:sz w:val="14"/>
                <w:szCs w:val="14"/>
                <w:color w:val="auto"/>
              </w:rPr>
              <w:t>Investments, short-term</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22,838</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14,185</w:t>
            </w:r>
          </w:p>
        </w:tc>
        <w:tc>
          <w:tcPr>
            <w:tcW w:w="40" w:type="dxa"/>
            <w:vAlign w:val="bottom"/>
          </w:tcPr>
          <w:p>
            <w:pPr>
              <w:spacing w:after="0"/>
              <w:rPr>
                <w:sz w:val="14"/>
                <w:szCs w:val="14"/>
                <w:color w:val="auto"/>
              </w:rPr>
            </w:pPr>
          </w:p>
        </w:tc>
      </w:tr>
      <w:tr>
        <w:trPr>
          <w:trHeight w:val="162"/>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 net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96,787</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83,033</w:t>
            </w:r>
          </w:p>
        </w:tc>
        <w:tc>
          <w:tcPr>
            <w:tcW w:w="40" w:type="dxa"/>
            <w:vAlign w:val="bottom"/>
          </w:tcPr>
          <w:p>
            <w:pPr>
              <w:spacing w:after="0"/>
              <w:rPr>
                <w:sz w:val="14"/>
                <w:szCs w:val="14"/>
                <w:color w:val="auto"/>
              </w:rPr>
            </w:pPr>
          </w:p>
        </w:tc>
      </w:tr>
      <w:tr>
        <w:trPr>
          <w:trHeight w:val="162"/>
        </w:trPr>
        <w:tc>
          <w:tcPr>
            <w:tcW w:w="7600" w:type="dxa"/>
            <w:vAlign w:val="bottom"/>
          </w:tcPr>
          <w:p>
            <w:pPr>
              <w:ind w:left="220"/>
              <w:spacing w:after="0"/>
              <w:rPr>
                <w:sz w:val="20"/>
                <w:szCs w:val="20"/>
                <w:color w:val="auto"/>
              </w:rPr>
            </w:pPr>
            <w:r>
              <w:rPr>
                <w:rFonts w:ascii="Arial" w:cs="Arial" w:eastAsia="Arial" w:hAnsi="Arial"/>
                <w:sz w:val="14"/>
                <w:szCs w:val="14"/>
                <w:color w:val="auto"/>
              </w:rPr>
              <w:t>Inventory, net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5,357</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7,198</w:t>
            </w:r>
          </w:p>
        </w:tc>
        <w:tc>
          <w:tcPr>
            <w:tcW w:w="40" w:type="dxa"/>
            <w:vAlign w:val="bottom"/>
          </w:tcPr>
          <w:p>
            <w:pPr>
              <w:spacing w:after="0"/>
              <w:rPr>
                <w:sz w:val="14"/>
                <w:szCs w:val="14"/>
                <w:color w:val="auto"/>
              </w:rPr>
            </w:pPr>
          </w:p>
        </w:tc>
      </w:tr>
      <w:tr>
        <w:trPr>
          <w:trHeight w:val="162"/>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16,014</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13,714</w:t>
            </w:r>
          </w:p>
        </w:tc>
        <w:tc>
          <w:tcPr>
            <w:tcW w:w="40" w:type="dxa"/>
            <w:vAlign w:val="bottom"/>
          </w:tcPr>
          <w:p>
            <w:pPr>
              <w:spacing w:after="0"/>
              <w:rPr>
                <w:sz w:val="14"/>
                <w:szCs w:val="14"/>
                <w:color w:val="auto"/>
              </w:rPr>
            </w:pPr>
          </w:p>
        </w:tc>
      </w:tr>
      <w:tr>
        <w:trPr>
          <w:trHeight w:val="162"/>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assets</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13,516</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8,121</w:t>
            </w:r>
          </w:p>
        </w:tc>
        <w:tc>
          <w:tcPr>
            <w:tcW w:w="40" w:type="dxa"/>
            <w:vAlign w:val="bottom"/>
          </w:tcPr>
          <w:p>
            <w:pPr>
              <w:spacing w:after="0"/>
              <w:rPr>
                <w:sz w:val="14"/>
                <w:szCs w:val="14"/>
                <w:color w:val="auto"/>
              </w:rPr>
            </w:pPr>
          </w:p>
        </w:tc>
      </w:tr>
      <w:tr>
        <w:trPr>
          <w:trHeight w:val="155"/>
        </w:trPr>
        <w:tc>
          <w:tcPr>
            <w:tcW w:w="760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current assets</w:t>
            </w:r>
          </w:p>
        </w:tc>
        <w:tc>
          <w:tcPr>
            <w:tcW w:w="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907,014</w:t>
            </w:r>
          </w:p>
        </w:tc>
        <w:tc>
          <w:tcPr>
            <w:tcW w:w="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579,252</w:t>
            </w:r>
          </w:p>
        </w:tc>
        <w:tc>
          <w:tcPr>
            <w:tcW w:w="40" w:type="dxa"/>
            <w:vAlign w:val="bottom"/>
          </w:tcPr>
          <w:p>
            <w:pPr>
              <w:spacing w:after="0"/>
              <w:rPr>
                <w:sz w:val="13"/>
                <w:szCs w:val="13"/>
                <w:color w:val="auto"/>
              </w:rPr>
            </w:pPr>
          </w:p>
        </w:tc>
      </w:tr>
      <w:tr>
        <w:trPr>
          <w:trHeight w:val="156"/>
        </w:trPr>
        <w:tc>
          <w:tcPr>
            <w:tcW w:w="7600" w:type="dxa"/>
            <w:vAlign w:val="bottom"/>
          </w:tcPr>
          <w:p>
            <w:pPr>
              <w:ind w:left="120"/>
              <w:spacing w:after="0" w:line="155" w:lineRule="exact"/>
              <w:rPr>
                <w:sz w:val="20"/>
                <w:szCs w:val="20"/>
                <w:color w:val="auto"/>
              </w:rPr>
            </w:pPr>
            <w:r>
              <w:rPr>
                <w:rFonts w:ascii="Arial" w:cs="Arial" w:eastAsia="Arial" w:hAnsi="Arial"/>
                <w:sz w:val="14"/>
                <w:szCs w:val="14"/>
                <w:color w:val="auto"/>
              </w:rPr>
              <w:t>NONCURRENT ASSETS: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line="155" w:lineRule="exact"/>
              <w:rPr>
                <w:sz w:val="20"/>
                <w:szCs w:val="20"/>
                <w:color w:val="auto"/>
              </w:rPr>
            </w:pPr>
            <w:r>
              <w:rPr>
                <w:rFonts w:ascii="Arial" w:cs="Arial" w:eastAsia="Arial" w:hAnsi="Arial"/>
                <w:sz w:val="14"/>
                <w:szCs w:val="14"/>
                <w:color w:val="auto"/>
              </w:rPr>
              <w:t>​</w:t>
            </w:r>
          </w:p>
        </w:tc>
      </w:tr>
      <w:tr>
        <w:trPr>
          <w:trHeight w:val="162"/>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Investments, long-term</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107,127</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108,874</w:t>
            </w:r>
          </w:p>
        </w:tc>
        <w:tc>
          <w:tcPr>
            <w:tcW w:w="40" w:type="dxa"/>
            <w:vAlign w:val="bottom"/>
          </w:tcPr>
          <w:p>
            <w:pPr>
              <w:spacing w:after="0"/>
              <w:rPr>
                <w:sz w:val="14"/>
                <w:szCs w:val="14"/>
                <w:color w:val="auto"/>
              </w:rPr>
            </w:pPr>
          </w:p>
        </w:tc>
      </w:tr>
      <w:tr>
        <w:trPr>
          <w:trHeight w:val="162"/>
        </w:trPr>
        <w:tc>
          <w:tcPr>
            <w:tcW w:w="7600" w:type="dxa"/>
            <w:vAlign w:val="bottom"/>
          </w:tcPr>
          <w:p>
            <w:pPr>
              <w:ind w:left="220"/>
              <w:spacing w:after="0"/>
              <w:rPr>
                <w:sz w:val="20"/>
                <w:szCs w:val="20"/>
                <w:color w:val="auto"/>
              </w:rPr>
            </w:pPr>
            <w:r>
              <w:rPr>
                <w:rFonts w:ascii="Arial" w:cs="Arial" w:eastAsia="Arial" w:hAnsi="Arial"/>
                <w:sz w:val="14"/>
                <w:szCs w:val="14"/>
                <w:color w:val="auto"/>
              </w:rPr>
              <w:t>Intangible assets, net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89,418</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113,263</w:t>
            </w:r>
          </w:p>
        </w:tc>
        <w:tc>
          <w:tcPr>
            <w:tcW w:w="40" w:type="dxa"/>
            <w:vAlign w:val="bottom"/>
          </w:tcPr>
          <w:p>
            <w:pPr>
              <w:spacing w:after="0"/>
              <w:rPr>
                <w:sz w:val="14"/>
                <w:szCs w:val="14"/>
                <w:color w:val="auto"/>
              </w:rPr>
            </w:pPr>
          </w:p>
        </w:tc>
      </w:tr>
      <w:tr>
        <w:trPr>
          <w:trHeight w:val="162"/>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 asset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149,699</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190,398</w:t>
            </w:r>
          </w:p>
        </w:tc>
        <w:tc>
          <w:tcPr>
            <w:tcW w:w="40" w:type="dxa"/>
            <w:vAlign w:val="bottom"/>
          </w:tcPr>
          <w:p>
            <w:pPr>
              <w:spacing w:after="0"/>
              <w:rPr>
                <w:sz w:val="14"/>
                <w:szCs w:val="14"/>
                <w:color w:val="auto"/>
              </w:rPr>
            </w:pPr>
          </w:p>
        </w:tc>
      </w:tr>
      <w:tr>
        <w:trPr>
          <w:trHeight w:val="162"/>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assets</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18,373</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7,413</w:t>
            </w:r>
          </w:p>
        </w:tc>
        <w:tc>
          <w:tcPr>
            <w:tcW w:w="40" w:type="dxa"/>
            <w:vAlign w:val="bottom"/>
          </w:tcPr>
          <w:p>
            <w:pPr>
              <w:spacing w:after="0"/>
              <w:rPr>
                <w:sz w:val="14"/>
                <w:szCs w:val="14"/>
                <w:color w:val="auto"/>
              </w:rPr>
            </w:pPr>
          </w:p>
        </w:tc>
      </w:tr>
      <w:tr>
        <w:trPr>
          <w:trHeight w:val="156"/>
        </w:trPr>
        <w:tc>
          <w:tcPr>
            <w:tcW w:w="760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noncurrent assets</w:t>
            </w:r>
          </w:p>
        </w:tc>
        <w:tc>
          <w:tcPr>
            <w:tcW w:w="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364,617</w:t>
            </w:r>
          </w:p>
        </w:tc>
        <w:tc>
          <w:tcPr>
            <w:tcW w:w="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419,948</w:t>
            </w:r>
          </w:p>
        </w:tc>
        <w:tc>
          <w:tcPr>
            <w:tcW w:w="40" w:type="dxa"/>
            <w:vAlign w:val="bottom"/>
          </w:tcPr>
          <w:p>
            <w:pPr>
              <w:spacing w:after="0"/>
              <w:rPr>
                <w:sz w:val="13"/>
                <w:szCs w:val="13"/>
                <w:color w:val="auto"/>
              </w:rPr>
            </w:pPr>
          </w:p>
        </w:tc>
      </w:tr>
      <w:tr>
        <w:trPr>
          <w:trHeight w:val="196"/>
        </w:trPr>
        <w:tc>
          <w:tcPr>
            <w:tcW w:w="760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ASSETS</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1,271,631</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999,200</w:t>
            </w:r>
          </w:p>
        </w:tc>
        <w:tc>
          <w:tcPr>
            <w:tcW w:w="40" w:type="dxa"/>
            <w:vAlign w:val="bottom"/>
          </w:tcPr>
          <w:p>
            <w:pPr>
              <w:spacing w:after="0"/>
              <w:rPr>
                <w:sz w:val="17"/>
                <w:szCs w:val="17"/>
                <w:color w:val="auto"/>
              </w:rPr>
            </w:pPr>
          </w:p>
        </w:tc>
      </w:tr>
      <w:tr>
        <w:trPr>
          <w:trHeight w:val="142"/>
        </w:trPr>
        <w:tc>
          <w:tcPr>
            <w:tcW w:w="76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LIABILITIES AND STOCKHOLDERS’ EQUITY</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tcPr>
          <w:p>
            <w:pPr>
              <w:spacing w:after="0" w:line="143" w:lineRule="exact"/>
              <w:rPr>
                <w:sz w:val="20"/>
                <w:szCs w:val="20"/>
                <w:color w:val="auto"/>
              </w:rPr>
            </w:pPr>
            <w:r>
              <w:rPr>
                <w:rFonts w:ascii="Arial" w:cs="Arial" w:eastAsia="Arial" w:hAnsi="Arial"/>
                <w:sz w:val="14"/>
                <w:szCs w:val="14"/>
                <w:color w:val="auto"/>
              </w:rPr>
              <w:t>​</w:t>
            </w:r>
          </w:p>
        </w:tc>
      </w:tr>
      <w:tr>
        <w:trPr>
          <w:trHeight w:val="162"/>
        </w:trPr>
        <w:tc>
          <w:tcPr>
            <w:tcW w:w="7600" w:type="dxa"/>
            <w:vAlign w:val="bottom"/>
          </w:tcPr>
          <w:p>
            <w:pPr>
              <w:ind w:left="120"/>
              <w:spacing w:after="0"/>
              <w:rPr>
                <w:sz w:val="20"/>
                <w:szCs w:val="20"/>
                <w:color w:val="auto"/>
              </w:rPr>
            </w:pPr>
            <w:r>
              <w:rPr>
                <w:rFonts w:ascii="Arial" w:cs="Arial" w:eastAsia="Arial" w:hAnsi="Arial"/>
                <w:sz w:val="14"/>
                <w:szCs w:val="14"/>
                <w:color w:val="auto"/>
              </w:rPr>
              <w:t>CURRENT LIABILITIES: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40" w:type="dxa"/>
            <w:vAlign w:val="bottom"/>
          </w:tcPr>
          <w:p>
            <w:pPr>
              <w:spacing w:after="0"/>
              <w:rPr>
                <w:sz w:val="20"/>
                <w:szCs w:val="20"/>
                <w:color w:val="auto"/>
              </w:rPr>
            </w:pPr>
            <w:r>
              <w:rPr>
                <w:rFonts w:ascii="Arial" w:cs="Arial" w:eastAsia="Arial" w:hAnsi="Arial"/>
                <w:sz w:val="14"/>
                <w:szCs w:val="14"/>
                <w:color w:val="auto"/>
              </w:rPr>
              <w:t>​</w:t>
            </w:r>
          </w:p>
        </w:tc>
      </w:tr>
      <w:tr>
        <w:trPr>
          <w:trHeight w:val="162"/>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payables</w:t>
            </w:r>
          </w:p>
        </w:tc>
        <w:tc>
          <w:tcPr>
            <w:tcW w:w="2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17,693</w:t>
            </w:r>
          </w:p>
        </w:tc>
        <w:tc>
          <w:tcPr>
            <w:tcW w:w="46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13,744</w:t>
            </w:r>
          </w:p>
        </w:tc>
        <w:tc>
          <w:tcPr>
            <w:tcW w:w="40" w:type="dxa"/>
            <w:vAlign w:val="bottom"/>
          </w:tcPr>
          <w:p>
            <w:pPr>
              <w:spacing w:after="0"/>
              <w:rPr>
                <w:sz w:val="14"/>
                <w:szCs w:val="14"/>
                <w:color w:val="auto"/>
              </w:rPr>
            </w:pPr>
          </w:p>
        </w:tc>
      </w:tr>
      <w:tr>
        <w:trPr>
          <w:trHeight w:val="162"/>
        </w:trPr>
        <w:tc>
          <w:tcPr>
            <w:tcW w:w="760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18,443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18,776</w:t>
            </w:r>
          </w:p>
        </w:tc>
        <w:tc>
          <w:tcPr>
            <w:tcW w:w="40" w:type="dxa"/>
            <w:vAlign w:val="bottom"/>
          </w:tcPr>
          <w:p>
            <w:pPr>
              <w:spacing w:after="0"/>
              <w:rPr>
                <w:sz w:val="14"/>
                <w:szCs w:val="14"/>
                <w:color w:val="auto"/>
              </w:rPr>
            </w:pPr>
          </w:p>
        </w:tc>
      </w:tr>
      <w:tr>
        <w:trPr>
          <w:trHeight w:val="162"/>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191,039</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120,640</w:t>
            </w:r>
          </w:p>
        </w:tc>
        <w:tc>
          <w:tcPr>
            <w:tcW w:w="40" w:type="dxa"/>
            <w:vAlign w:val="bottom"/>
          </w:tcPr>
          <w:p>
            <w:pPr>
              <w:spacing w:after="0"/>
              <w:rPr>
                <w:sz w:val="14"/>
                <w:szCs w:val="14"/>
                <w:color w:val="auto"/>
              </w:rPr>
            </w:pPr>
          </w:p>
        </w:tc>
      </w:tr>
      <w:tr>
        <w:trPr>
          <w:trHeight w:val="162"/>
        </w:trPr>
        <w:tc>
          <w:tcPr>
            <w:tcW w:w="7600" w:type="dxa"/>
            <w:vAlign w:val="bottom"/>
          </w:tcPr>
          <w:p>
            <w:pPr>
              <w:ind w:left="220"/>
              <w:spacing w:after="0"/>
              <w:rPr>
                <w:sz w:val="20"/>
                <w:szCs w:val="20"/>
                <w:color w:val="auto"/>
              </w:rPr>
            </w:pPr>
            <w:r>
              <w:rPr>
                <w:rFonts w:ascii="Arial" w:cs="Arial" w:eastAsia="Arial" w:hAnsi="Arial"/>
                <w:sz w:val="14"/>
                <w:szCs w:val="14"/>
                <w:color w:val="auto"/>
              </w:rPr>
              <w:t>Current portion of long-term debt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16,250</w:t>
            </w:r>
          </w:p>
        </w:tc>
        <w:tc>
          <w:tcPr>
            <w:tcW w:w="40" w:type="dxa"/>
            <w:vAlign w:val="bottom"/>
          </w:tcPr>
          <w:p>
            <w:pPr>
              <w:spacing w:after="0"/>
              <w:rPr>
                <w:sz w:val="14"/>
                <w:szCs w:val="14"/>
                <w:color w:val="auto"/>
              </w:rPr>
            </w:pPr>
          </w:p>
        </w:tc>
      </w:tr>
      <w:tr>
        <w:trPr>
          <w:trHeight w:val="162"/>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liabilities</w:t>
            </w: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4,957</w:t>
            </w: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5,672</w:t>
            </w:r>
          </w:p>
        </w:tc>
        <w:tc>
          <w:tcPr>
            <w:tcW w:w="40" w:type="dxa"/>
            <w:vAlign w:val="bottom"/>
          </w:tcPr>
          <w:p>
            <w:pPr>
              <w:spacing w:after="0"/>
              <w:rPr>
                <w:sz w:val="14"/>
                <w:szCs w:val="14"/>
                <w:color w:val="auto"/>
              </w:rPr>
            </w:pPr>
          </w:p>
        </w:tc>
      </w:tr>
      <w:tr>
        <w:trPr>
          <w:trHeight w:val="155"/>
        </w:trPr>
        <w:tc>
          <w:tcPr>
            <w:tcW w:w="760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current liabilities</w:t>
            </w: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252,132</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175,082</w:t>
            </w:r>
          </w:p>
        </w:tc>
        <w:tc>
          <w:tcPr>
            <w:tcW w:w="40" w:type="dxa"/>
            <w:vAlign w:val="bottom"/>
          </w:tcPr>
          <w:p>
            <w:pPr>
              <w:spacing w:after="0"/>
              <w:rPr>
                <w:sz w:val="13"/>
                <w:szCs w:val="13"/>
                <w:color w:val="auto"/>
              </w:rPr>
            </w:pPr>
          </w:p>
        </w:tc>
      </w:tr>
      <w:tr>
        <w:trPr>
          <w:trHeight w:val="156"/>
        </w:trPr>
        <w:tc>
          <w:tcPr>
            <w:tcW w:w="760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color w:val="auto"/>
              </w:rPr>
              <w:t>NONCURRENT LIABILITIES:</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tcPr>
          <w:p>
            <w:pPr>
              <w:spacing w:after="0" w:line="155" w:lineRule="exact"/>
              <w:rPr>
                <w:sz w:val="20"/>
                <w:szCs w:val="20"/>
                <w:color w:val="auto"/>
              </w:rPr>
            </w:pPr>
            <w:r>
              <w:rPr>
                <w:rFonts w:ascii="Arial" w:cs="Arial" w:eastAsia="Arial" w:hAnsi="Arial"/>
                <w:sz w:val="14"/>
                <w:szCs w:val="14"/>
                <w:color w:val="auto"/>
              </w:rPr>
              <w:t>​</w:t>
            </w:r>
          </w:p>
        </w:tc>
      </w:tr>
      <w:tr>
        <w:trPr>
          <w:trHeight w:val="162"/>
        </w:trPr>
        <w:tc>
          <w:tcPr>
            <w:tcW w:w="7600" w:type="dxa"/>
            <w:vAlign w:val="bottom"/>
          </w:tcPr>
          <w:p>
            <w:pPr>
              <w:ind w:left="220"/>
              <w:spacing w:after="0"/>
              <w:rPr>
                <w:sz w:val="20"/>
                <w:szCs w:val="20"/>
                <w:color w:val="auto"/>
              </w:rPr>
            </w:pPr>
            <w:r>
              <w:rPr>
                <w:rFonts w:ascii="Arial" w:cs="Arial" w:eastAsia="Arial" w:hAnsi="Arial"/>
                <w:sz w:val="14"/>
                <w:szCs w:val="14"/>
                <w:color w:val="auto"/>
              </w:rPr>
              <w:t>Long-term debt, net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143,663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163,016</w:t>
            </w:r>
          </w:p>
        </w:tc>
        <w:tc>
          <w:tcPr>
            <w:tcW w:w="40" w:type="dxa"/>
            <w:vAlign w:val="bottom"/>
          </w:tcPr>
          <w:p>
            <w:pPr>
              <w:spacing w:after="0"/>
              <w:rPr>
                <w:sz w:val="14"/>
                <w:szCs w:val="14"/>
                <w:color w:val="auto"/>
              </w:rPr>
            </w:pPr>
          </w:p>
        </w:tc>
      </w:tr>
      <w:tr>
        <w:trPr>
          <w:trHeight w:val="162"/>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liabilities</w:t>
            </w: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5,618</w:t>
            </w: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1,947</w:t>
            </w:r>
          </w:p>
        </w:tc>
        <w:tc>
          <w:tcPr>
            <w:tcW w:w="40" w:type="dxa"/>
            <w:vAlign w:val="bottom"/>
          </w:tcPr>
          <w:p>
            <w:pPr>
              <w:spacing w:after="0"/>
              <w:rPr>
                <w:sz w:val="14"/>
                <w:szCs w:val="14"/>
                <w:color w:val="auto"/>
              </w:rPr>
            </w:pPr>
          </w:p>
        </w:tc>
      </w:tr>
      <w:tr>
        <w:trPr>
          <w:trHeight w:val="156"/>
        </w:trPr>
        <w:tc>
          <w:tcPr>
            <w:tcW w:w="760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noncurrent liabilities</w:t>
            </w: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149,281</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164,963</w:t>
            </w:r>
          </w:p>
        </w:tc>
        <w:tc>
          <w:tcPr>
            <w:tcW w:w="40" w:type="dxa"/>
            <w:vAlign w:val="bottom"/>
          </w:tcPr>
          <w:p>
            <w:pPr>
              <w:spacing w:after="0"/>
              <w:rPr>
                <w:sz w:val="13"/>
                <w:szCs w:val="13"/>
                <w:color w:val="auto"/>
              </w:rPr>
            </w:pPr>
          </w:p>
        </w:tc>
      </w:tr>
      <w:tr>
        <w:trPr>
          <w:trHeight w:val="155"/>
        </w:trPr>
        <w:tc>
          <w:tcPr>
            <w:tcW w:w="7600" w:type="dxa"/>
            <w:vAlign w:val="bottom"/>
            <w:shd w:val="clear" w:color="auto" w:fill="CCEEFF"/>
          </w:tcPr>
          <w:p>
            <w:pPr>
              <w:ind w:left="340"/>
              <w:spacing w:after="0" w:line="155" w:lineRule="exact"/>
              <w:rPr>
                <w:sz w:val="20"/>
                <w:szCs w:val="20"/>
                <w:color w:val="auto"/>
              </w:rPr>
            </w:pPr>
            <w:r>
              <w:rPr>
                <w:rFonts w:ascii="Arial" w:cs="Arial" w:eastAsia="Arial" w:hAnsi="Arial"/>
                <w:sz w:val="14"/>
                <w:szCs w:val="14"/>
                <w:color w:val="auto"/>
              </w:rPr>
              <w:t>TOTAL LIABILITIES</w:t>
            </w:r>
          </w:p>
        </w:tc>
        <w:tc>
          <w:tcPr>
            <w:tcW w:w="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401,413</w:t>
            </w:r>
          </w:p>
        </w:tc>
        <w:tc>
          <w:tcPr>
            <w:tcW w:w="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340,045</w:t>
            </w:r>
          </w:p>
        </w:tc>
        <w:tc>
          <w:tcPr>
            <w:tcW w:w="40" w:type="dxa"/>
            <w:vAlign w:val="bottom"/>
          </w:tcPr>
          <w:p>
            <w:pPr>
              <w:spacing w:after="0"/>
              <w:rPr>
                <w:sz w:val="13"/>
                <w:szCs w:val="13"/>
                <w:color w:val="auto"/>
              </w:rPr>
            </w:pPr>
          </w:p>
        </w:tc>
      </w:tr>
      <w:tr>
        <w:trPr>
          <w:trHeight w:val="155"/>
        </w:trPr>
        <w:tc>
          <w:tcPr>
            <w:tcW w:w="7600" w:type="dxa"/>
            <w:vAlign w:val="bottom"/>
          </w:tcPr>
          <w:p>
            <w:pPr>
              <w:ind w:left="120"/>
              <w:spacing w:after="0" w:line="155" w:lineRule="exact"/>
              <w:rPr>
                <w:sz w:val="20"/>
                <w:szCs w:val="20"/>
                <w:color w:val="auto"/>
              </w:rPr>
            </w:pPr>
            <w:r>
              <w:rPr>
                <w:rFonts w:ascii="Arial" w:cs="Arial" w:eastAsia="Arial" w:hAnsi="Arial"/>
                <w:sz w:val="14"/>
                <w:szCs w:val="14"/>
                <w:color w:val="auto"/>
              </w:rPr>
              <w:t>COMMITMENTS AND CONTINGENCIES (Note 13)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line="155" w:lineRule="exact"/>
              <w:rPr>
                <w:sz w:val="20"/>
                <w:szCs w:val="20"/>
                <w:color w:val="auto"/>
              </w:rPr>
            </w:pPr>
            <w:r>
              <w:rPr>
                <w:rFonts w:ascii="Arial" w:cs="Arial" w:eastAsia="Arial" w:hAnsi="Arial"/>
                <w:sz w:val="14"/>
                <w:szCs w:val="14"/>
                <w:color w:val="auto"/>
              </w:rPr>
              <w:t>​</w:t>
            </w:r>
          </w:p>
        </w:tc>
      </w:tr>
      <w:tr>
        <w:trPr>
          <w:trHeight w:val="162"/>
        </w:trPr>
        <w:tc>
          <w:tcPr>
            <w:tcW w:w="7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STOCKHOLDERS’ EQUITY:</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tcPr>
          <w:p>
            <w:pPr>
              <w:spacing w:after="0"/>
              <w:rPr>
                <w:sz w:val="20"/>
                <w:szCs w:val="20"/>
                <w:color w:val="auto"/>
              </w:rPr>
            </w:pPr>
            <w:r>
              <w:rPr>
                <w:rFonts w:ascii="Arial" w:cs="Arial" w:eastAsia="Arial" w:hAnsi="Arial"/>
                <w:sz w:val="14"/>
                <w:szCs w:val="14"/>
                <w:color w:val="auto"/>
              </w:rPr>
              <w:t>​</w:t>
            </w:r>
          </w:p>
        </w:tc>
      </w:tr>
      <w:tr>
        <w:trPr>
          <w:trHeight w:val="153"/>
        </w:trPr>
        <w:tc>
          <w:tcPr>
            <w:tcW w:w="7600" w:type="dxa"/>
            <w:vAlign w:val="bottom"/>
          </w:tcPr>
          <w:p>
            <w:pPr>
              <w:ind w:left="220"/>
              <w:spacing w:after="0" w:line="153" w:lineRule="exact"/>
              <w:rPr>
                <w:sz w:val="20"/>
                <w:szCs w:val="20"/>
                <w:color w:val="auto"/>
              </w:rPr>
            </w:pPr>
            <w:r>
              <w:rPr>
                <w:rFonts w:ascii="Arial" w:cs="Arial" w:eastAsia="Arial" w:hAnsi="Arial"/>
                <w:sz w:val="14"/>
                <w:szCs w:val="14"/>
                <w:color w:val="auto"/>
              </w:rPr>
              <w:t>Common stock—$0.00001 par value; 500,000,000 shares authorized at December 31, 2025 and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7600" w:type="dxa"/>
            <w:vAlign w:val="bottom"/>
          </w:tcPr>
          <w:p>
            <w:pPr>
              <w:ind w:left="220"/>
              <w:spacing w:after="0"/>
              <w:rPr>
                <w:sz w:val="20"/>
                <w:szCs w:val="20"/>
                <w:color w:val="auto"/>
              </w:rPr>
            </w:pPr>
            <w:r>
              <w:rPr>
                <w:rFonts w:ascii="Arial" w:cs="Arial" w:eastAsia="Arial" w:hAnsi="Arial"/>
                <w:sz w:val="14"/>
                <w:szCs w:val="14"/>
                <w:color w:val="auto"/>
              </w:rPr>
              <w:t>December 31, 2024, respectively; 57,726,170 and 57,144,887 shares issued and outstanding at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7600" w:type="dxa"/>
            <w:vAlign w:val="bottom"/>
          </w:tcPr>
          <w:p>
            <w:pPr>
              <w:ind w:left="220"/>
              <w:spacing w:after="0"/>
              <w:rPr>
                <w:sz w:val="20"/>
                <w:szCs w:val="20"/>
                <w:color w:val="auto"/>
              </w:rPr>
            </w:pPr>
            <w:r>
              <w:rPr>
                <w:rFonts w:ascii="Arial" w:cs="Arial" w:eastAsia="Arial" w:hAnsi="Arial"/>
                <w:sz w:val="14"/>
                <w:szCs w:val="14"/>
                <w:color w:val="auto"/>
              </w:rPr>
              <w:t>December 31, 2025 and December 31, 2024, respectively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r>
      <w:tr>
        <w:trPr>
          <w:trHeight w:val="162"/>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 in capital</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708,968</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656,872</w:t>
            </w:r>
          </w:p>
        </w:tc>
        <w:tc>
          <w:tcPr>
            <w:tcW w:w="40" w:type="dxa"/>
            <w:vAlign w:val="bottom"/>
          </w:tcPr>
          <w:p>
            <w:pPr>
              <w:spacing w:after="0"/>
              <w:rPr>
                <w:sz w:val="14"/>
                <w:szCs w:val="14"/>
                <w:color w:val="auto"/>
              </w:rPr>
            </w:pPr>
          </w:p>
        </w:tc>
      </w:tr>
      <w:tr>
        <w:trPr>
          <w:trHeight w:val="162"/>
        </w:trPr>
        <w:tc>
          <w:tcPr>
            <w:tcW w:w="7600" w:type="dxa"/>
            <w:vAlign w:val="bottom"/>
          </w:tcPr>
          <w:p>
            <w:pPr>
              <w:ind w:left="220"/>
              <w:spacing w:after="0"/>
              <w:rPr>
                <w:sz w:val="20"/>
                <w:szCs w:val="20"/>
                <w:color w:val="auto"/>
              </w:rPr>
            </w:pPr>
            <w:r>
              <w:rPr>
                <w:rFonts w:ascii="Arial" w:cs="Arial" w:eastAsia="Arial" w:hAnsi="Arial"/>
                <w:sz w:val="14"/>
                <w:szCs w:val="14"/>
                <w:color w:val="auto"/>
              </w:rPr>
              <w:t>Accumulated other comprehensive income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w:t>
            </w:r>
          </w:p>
        </w:tc>
        <w:tc>
          <w:tcPr>
            <w:tcW w:w="40" w:type="dxa"/>
            <w:vAlign w:val="bottom"/>
          </w:tcPr>
          <w:p>
            <w:pPr>
              <w:spacing w:after="0"/>
              <w:rPr>
                <w:sz w:val="14"/>
                <w:szCs w:val="14"/>
                <w:color w:val="auto"/>
              </w:rPr>
            </w:pPr>
          </w:p>
        </w:tc>
      </w:tr>
      <w:tr>
        <w:trPr>
          <w:trHeight w:val="162"/>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Retained earnings</w:t>
            </w: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160,903</w:t>
            </w: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2,216</w:t>
            </w:r>
          </w:p>
        </w:tc>
        <w:tc>
          <w:tcPr>
            <w:tcW w:w="40" w:type="dxa"/>
            <w:vAlign w:val="bottom"/>
          </w:tcPr>
          <w:p>
            <w:pPr>
              <w:spacing w:after="0"/>
              <w:rPr>
                <w:sz w:val="14"/>
                <w:szCs w:val="14"/>
                <w:color w:val="auto"/>
              </w:rPr>
            </w:pPr>
          </w:p>
        </w:tc>
      </w:tr>
      <w:tr>
        <w:trPr>
          <w:trHeight w:val="156"/>
        </w:trPr>
        <w:tc>
          <w:tcPr>
            <w:tcW w:w="7600" w:type="dxa"/>
            <w:vAlign w:val="bottom"/>
            <w:tcBorders>
              <w:bottom w:val="single" w:sz="8" w:color="CCEEFF"/>
            </w:tcBorders>
          </w:tcPr>
          <w:p>
            <w:pPr>
              <w:ind w:left="340"/>
              <w:spacing w:after="0" w:line="155" w:lineRule="exact"/>
              <w:rPr>
                <w:sz w:val="20"/>
                <w:szCs w:val="20"/>
                <w:color w:val="auto"/>
              </w:rPr>
            </w:pPr>
            <w:r>
              <w:rPr>
                <w:rFonts w:ascii="Arial" w:cs="Arial" w:eastAsia="Arial" w:hAnsi="Arial"/>
                <w:sz w:val="14"/>
                <w:szCs w:val="14"/>
                <w:color w:val="auto"/>
              </w:rPr>
              <w:t>TOTAL STOCKHOLDERS’ EQUITY</w:t>
            </w: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870,218</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659,155</w:t>
            </w:r>
          </w:p>
        </w:tc>
        <w:tc>
          <w:tcPr>
            <w:tcW w:w="40" w:type="dxa"/>
            <w:vAlign w:val="bottom"/>
          </w:tcPr>
          <w:p>
            <w:pPr>
              <w:spacing w:after="0"/>
              <w:rPr>
                <w:sz w:val="13"/>
                <w:szCs w:val="13"/>
                <w:color w:val="auto"/>
              </w:rPr>
            </w:pPr>
          </w:p>
        </w:tc>
      </w:tr>
      <w:tr>
        <w:trPr>
          <w:trHeight w:val="155"/>
        </w:trPr>
        <w:tc>
          <w:tcPr>
            <w:tcW w:w="76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1,271,631</w:t>
            </w:r>
          </w:p>
        </w:tc>
        <w:tc>
          <w:tcPr>
            <w:tcW w:w="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999,200</w:t>
            </w:r>
          </w:p>
        </w:tc>
        <w:tc>
          <w:tcPr>
            <w:tcW w:w="40" w:type="dxa"/>
            <w:vAlign w:val="bottom"/>
          </w:tcPr>
          <w:p>
            <w:pPr>
              <w:spacing w:after="0"/>
              <w:rPr>
                <w:sz w:val="13"/>
                <w:szCs w:val="13"/>
                <w:color w:val="auto"/>
              </w:rPr>
            </w:pPr>
          </w:p>
        </w:tc>
      </w:tr>
      <w:tr>
        <w:trPr>
          <w:trHeight w:val="20"/>
        </w:trPr>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ind w:left="1020" w:right="1080"/>
        <w:spacing w:after="0" w:line="257" w:lineRule="auto"/>
        <w:rPr>
          <w:sz w:val="20"/>
          <w:szCs w:val="20"/>
          <w:color w:val="auto"/>
        </w:rPr>
      </w:pPr>
      <w:r>
        <w:rPr>
          <w:rFonts w:ascii="Arial" w:cs="Arial" w:eastAsia="Arial" w:hAnsi="Arial"/>
          <w:sz w:val="18"/>
          <w:szCs w:val="18"/>
          <w:b w:val="1"/>
          <w:bCs w:val="1"/>
          <w:color w:val="auto"/>
        </w:rPr>
        <w:t>HARMONY BIOSCIENCES HOLDINGS, INC. AND SUBSIDIARIES CONSOLIDATED STATEMENTS OF OPERATIONS AND COMPREHENSIVE INCOME (LOSS)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vMerge w:val="restart"/>
          </w:tcPr>
          <w:p>
            <w:pPr>
              <w:ind w:left="494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351"/>
              <w:spacing w:after="0" w:line="155" w:lineRule="exact"/>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3"/>
                <w:szCs w:val="13"/>
                <w:color w:val="auto"/>
              </w:rPr>
            </w:pPr>
          </w:p>
        </w:tc>
        <w:tc>
          <w:tcPr>
            <w:tcW w:w="360" w:type="dxa"/>
            <w:vAlign w:val="bottom"/>
            <w:gridSpan w:val="2"/>
          </w:tcPr>
          <w:p>
            <w:pPr>
              <w:jc w:val="right"/>
              <w:ind w:right="107"/>
              <w:spacing w:after="0" w:line="155" w:lineRule="exact"/>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351"/>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11"/>
              <w:spacing w:after="0" w:line="155" w:lineRule="exact"/>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product revenue</w:t>
            </w: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868,453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714,734</w:t>
            </w: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582,022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sold</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198,342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156,815</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121,236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670,111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557,919</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460,786</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1120" w:type="dxa"/>
            <w:vAlign w:val="bottom"/>
            <w:gridSpan w:val="2"/>
          </w:tcPr>
          <w:p>
            <w:pPr>
              <w:ind w:left="10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gridSpan w:val="2"/>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20"/>
              <w:spacing w:after="0" w:line="202" w:lineRule="exact"/>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189,594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145,825</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76,063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ind w:left="220"/>
              <w:spacing w:after="0" w:line="202" w:lineRule="exact"/>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119,512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110,916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97,404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152,536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110,352</w:t>
            </w:r>
          </w:p>
        </w:tc>
        <w:tc>
          <w:tcPr>
            <w:tcW w:w="2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95,289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44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461,642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367,093</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268,756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208,469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190,826</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192,030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Loss on debt extinguishment</w:t>
            </w:r>
          </w:p>
        </w:tc>
        <w:tc>
          <w:tcPr>
            <w:tcW w:w="180" w:type="dxa"/>
            <w:vAlign w:val="bottom"/>
          </w:tcPr>
          <w:p>
            <w:pPr>
              <w:spacing w:after="0"/>
              <w:rPr>
                <w:sz w:val="17"/>
                <w:szCs w:val="17"/>
                <w:color w:val="auto"/>
              </w:rPr>
            </w:pPr>
          </w:p>
        </w:tc>
        <w:tc>
          <w:tcPr>
            <w:tcW w:w="11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(9,766)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 income, net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(14,649)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(17,496)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(23,757)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21,924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18,542</w:t>
            </w:r>
          </w:p>
        </w:tc>
        <w:tc>
          <w:tcPr>
            <w:tcW w:w="2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14,730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215,064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191,804</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173,396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(56,377)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(46,311)</w:t>
            </w:r>
          </w:p>
        </w:tc>
        <w:tc>
          <w:tcPr>
            <w:tcW w:w="2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(44,543)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158,687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145,493</w:t>
            </w:r>
          </w:p>
        </w:tc>
        <w:tc>
          <w:tcPr>
            <w:tcW w:w="22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128,853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income on investments</w:t>
            </w: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158,967</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145,557</w:t>
            </w: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129,006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0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SHARE:</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0"/>
              <w:spacing w:after="0" w:line="183"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0" w:type="dxa"/>
            <w:vAlign w:val="bottom"/>
          </w:tcPr>
          <w:p>
            <w:pPr>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8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2.76</w:t>
            </w:r>
          </w:p>
        </w:tc>
        <w:tc>
          <w:tcPr>
            <w:tcW w:w="80" w:type="dxa"/>
            <w:vAlign w:val="bottom"/>
          </w:tcPr>
          <w:p>
            <w:pPr>
              <w:spacing w:after="0"/>
              <w:rPr>
                <w:sz w:val="17"/>
                <w:szCs w:val="17"/>
                <w:color w:val="auto"/>
              </w:rPr>
            </w:pPr>
          </w:p>
        </w:tc>
        <w:tc>
          <w:tcPr>
            <w:tcW w:w="36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c>
          <w:tcPr>
            <w:tcW w:w="5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w:t>
            </w:r>
          </w:p>
        </w:tc>
        <w:tc>
          <w:tcPr>
            <w:tcW w:w="58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080" w:type="dxa"/>
            <w:vAlign w:val="bottom"/>
          </w:tcPr>
          <w:p>
            <w:pPr>
              <w:ind w:left="220"/>
              <w:spacing w:after="0" w:line="183" w:lineRule="exact"/>
              <w:rPr>
                <w:sz w:val="20"/>
                <w:szCs w:val="20"/>
                <w:color w:val="auto"/>
              </w:rPr>
            </w:pPr>
            <w:r>
              <w:rPr>
                <w:rFonts w:ascii="Arial" w:cs="Arial" w:eastAsia="Arial" w:hAnsi="Arial"/>
                <w:sz w:val="18"/>
                <w:szCs w:val="18"/>
                <w:color w:val="auto"/>
              </w:rPr>
              <w:t>Weighted average number of shares of common stock -</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080" w:type="dxa"/>
            <w:vAlign w:val="bottom"/>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57,492,277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56,885,455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59,469,648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08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Weighted average number of shares of common stock -</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58,544,570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57,869,915</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60,372,397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760" w:hanging="320"/>
        <w:spacing w:after="0" w:line="285" w:lineRule="auto"/>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$15,000 in related party expenses for the year ended December 31, 2025, and no related party expenses for the years ended December 31, 2024, and 2023.</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4" w:name="page95"/>
    <w:bookmarkEnd w:id="94"/>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9" w:lineRule="exact"/>
        <w:rPr>
          <w:sz w:val="20"/>
          <w:szCs w:val="20"/>
          <w:color w:val="auto"/>
        </w:rPr>
      </w:pPr>
    </w:p>
    <w:p>
      <w:pPr>
        <w:jc w:val="center"/>
        <w:ind w:left="840" w:right="2320"/>
        <w:spacing w:after="0" w:line="271" w:lineRule="auto"/>
        <w:rPr>
          <w:sz w:val="20"/>
          <w:szCs w:val="20"/>
          <w:color w:val="auto"/>
        </w:rPr>
      </w:pPr>
      <w:r>
        <w:rPr>
          <w:rFonts w:ascii="Arial" w:cs="Arial" w:eastAsia="Arial" w:hAnsi="Arial"/>
          <w:sz w:val="16"/>
          <w:szCs w:val="16"/>
          <w:b w:val="1"/>
          <w:bCs w:val="1"/>
          <w:color w:val="auto"/>
        </w:rPr>
        <w:t>HARMONY BIOSCIENCES HOLDINGS, INC. AND SUBSIDIARIES CONSOLIDATED STATEMENTS OF STOCKHOLDERS’ EQUITY (DEFICIT) (In thousands, except share and per share data)</w:t>
      </w:r>
    </w:p>
    <w:p>
      <w:pPr>
        <w:spacing w:after="0" w:line="178" w:lineRule="exact"/>
        <w:rPr>
          <w:sz w:val="20"/>
          <w:szCs w:val="20"/>
          <w:color w:val="auto"/>
        </w:rPr>
      </w:pPr>
    </w:p>
    <w:tbl>
      <w:tblPr>
        <w:tblLayout w:type="fixed"/>
        <w:tblInd w:w="1" w:type="dxa"/>
        <w:tblCellMar>
          <w:top w:w="0" w:type="dxa"/>
          <w:left w:w="0" w:type="dxa"/>
          <w:bottom w:w="0" w:type="dxa"/>
          <w:right w:w="0" w:type="dxa"/>
        </w:tblCellMar>
      </w:tblPr>
      <w:tr>
        <w:trPr>
          <w:trHeight w:val="162"/>
        </w:trPr>
        <w:tc>
          <w:tcPr>
            <w:tcW w:w="2540" w:type="dxa"/>
            <w:vAlign w:val="bottom"/>
            <w:gridSpan w:val="2"/>
          </w:tcPr>
          <w:p>
            <w:pPr>
              <w:ind w:left="240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Retained</w:t>
            </w:r>
          </w:p>
        </w:tc>
        <w:tc>
          <w:tcPr>
            <w:tcW w:w="4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center"/>
              <w:ind w:right="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3"/>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3"/>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9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2520" w:type="dxa"/>
            <w:vAlign w:val="bottom"/>
          </w:tcPr>
          <w:p>
            <w:pPr>
              <w:ind w:left="2400"/>
              <w:spacing w:after="0" w:line="155"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3"/>
                <w:szCs w:val="13"/>
                <w:color w:val="auto"/>
              </w:rPr>
            </w:pPr>
          </w:p>
        </w:tc>
        <w:tc>
          <w:tcPr>
            <w:tcW w:w="98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rPr>
              <w:t>Shares (1)</w:t>
            </w:r>
          </w:p>
        </w:tc>
        <w:tc>
          <w:tcPr>
            <w:tcW w:w="104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    Amount</w:t>
            </w:r>
          </w:p>
        </w:tc>
        <w:tc>
          <w:tcPr>
            <w:tcW w:w="280" w:type="dxa"/>
            <w:vAlign w:val="bottom"/>
          </w:tcPr>
          <w:p>
            <w:pPr>
              <w:spacing w:after="0"/>
              <w:rPr>
                <w:sz w:val="13"/>
                <w:szCs w:val="13"/>
                <w:color w:val="auto"/>
              </w:rPr>
            </w:pPr>
          </w:p>
        </w:tc>
        <w:tc>
          <w:tcPr>
            <w:tcW w:w="34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center"/>
              <w:ind w:right="73"/>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income (loss)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113"/>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4"/>
        </w:trPr>
        <w:tc>
          <w:tcPr>
            <w:tcW w:w="2520" w:type="dxa"/>
            <w:vAlign w:val="bottom"/>
            <w:tcBorders>
              <w:top w:val="single" w:sz="8" w:color="CCEEFF"/>
            </w:tcBorders>
            <w:shd w:val="clear" w:color="auto" w:fill="CCEEFF"/>
          </w:tcPr>
          <w:p>
            <w:pPr>
              <w:spacing w:after="0" w:line="164" w:lineRule="exact"/>
              <w:rPr>
                <w:sz w:val="20"/>
                <w:szCs w:val="20"/>
                <w:color w:val="auto"/>
              </w:rPr>
            </w:pPr>
            <w:r>
              <w:rPr>
                <w:rFonts w:ascii="Arial" w:cs="Arial" w:eastAsia="Arial" w:hAnsi="Arial"/>
                <w:sz w:val="18"/>
                <w:szCs w:val="18"/>
                <w:color w:val="auto"/>
              </w:rPr>
              <w:t>Balance as of</w:t>
            </w:r>
          </w:p>
        </w:tc>
        <w:tc>
          <w:tcPr>
            <w:tcW w:w="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59,615,731</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(272,130)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402,838</w:t>
            </w:r>
          </w:p>
        </w:tc>
        <w:tc>
          <w:tcPr>
            <w:tcW w:w="0" w:type="dxa"/>
            <w:vAlign w:val="bottom"/>
          </w:tcPr>
          <w:p>
            <w:pPr>
              <w:spacing w:after="0"/>
              <w:rPr>
                <w:sz w:val="1"/>
                <w:szCs w:val="1"/>
                <w:color w:val="auto"/>
              </w:rPr>
            </w:pPr>
          </w:p>
        </w:tc>
      </w:tr>
      <w:tr>
        <w:trPr>
          <w:trHeight w:val="203"/>
        </w:trPr>
        <w:tc>
          <w:tcPr>
            <w:tcW w:w="2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Net income</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128,853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128,853</w:t>
            </w:r>
          </w:p>
        </w:tc>
        <w:tc>
          <w:tcPr>
            <w:tcW w:w="0" w:type="dxa"/>
            <w:vAlign w:val="bottom"/>
          </w:tcPr>
          <w:p>
            <w:pPr>
              <w:spacing w:after="0"/>
              <w:rPr>
                <w:sz w:val="1"/>
                <w:szCs w:val="1"/>
                <w:color w:val="auto"/>
              </w:rPr>
            </w:pPr>
          </w:p>
        </w:tc>
      </w:tr>
      <w:tr>
        <w:trPr>
          <w:trHeight w:val="184"/>
        </w:trPr>
        <w:tc>
          <w:tcPr>
            <w:tcW w:w="254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8"/>
                <w:szCs w:val="18"/>
                <w:color w:val="auto"/>
              </w:rPr>
              <w:t>Unrealized loss on</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84"/>
        </w:trPr>
        <w:tc>
          <w:tcPr>
            <w:tcW w:w="2540" w:type="dxa"/>
            <w:vAlign w:val="bottom"/>
            <w:gridSpan w:val="2"/>
          </w:tcPr>
          <w:p>
            <w:pPr>
              <w:ind w:left="220"/>
              <w:spacing w:after="0" w:line="183" w:lineRule="exact"/>
              <w:rPr>
                <w:sz w:val="20"/>
                <w:szCs w:val="20"/>
                <w:color w:val="auto"/>
              </w:rPr>
            </w:pPr>
            <w:r>
              <w:rPr>
                <w:rFonts w:ascii="Arial" w:cs="Arial" w:eastAsia="Arial" w:hAnsi="Arial"/>
                <w:sz w:val="18"/>
                <w:szCs w:val="18"/>
                <w:color w:val="auto"/>
              </w:rPr>
              <w:t>Repurchase of common</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40" w:type="dxa"/>
            <w:vAlign w:val="bottom"/>
            <w:gridSpan w:val="2"/>
          </w:tcPr>
          <w:p>
            <w:pPr>
              <w:ind w:left="220"/>
              <w:spacing w:after="0"/>
              <w:rPr>
                <w:sz w:val="20"/>
                <w:szCs w:val="20"/>
                <w:color w:val="auto"/>
              </w:rPr>
            </w:pPr>
            <w:r>
              <w:rPr>
                <w:rFonts w:ascii="Arial" w:cs="Arial" w:eastAsia="Arial" w:hAnsi="Arial"/>
                <w:sz w:val="18"/>
                <w:szCs w:val="18"/>
                <w:color w:val="auto"/>
              </w:rPr>
              <w:t>stock</w:t>
            </w:r>
          </w:p>
        </w:tc>
        <w:tc>
          <w:tcPr>
            <w:tcW w:w="980" w:type="dxa"/>
            <w:vAlign w:val="bottom"/>
          </w:tcPr>
          <w:p>
            <w:pPr>
              <w:jc w:val="right"/>
              <w:spacing w:after="0"/>
              <w:rPr>
                <w:sz w:val="20"/>
                <w:szCs w:val="20"/>
                <w:color w:val="auto"/>
              </w:rPr>
            </w:pPr>
            <w:r>
              <w:rPr>
                <w:rFonts w:ascii="Arial" w:cs="Arial" w:eastAsia="Arial" w:hAnsi="Arial"/>
                <w:sz w:val="18"/>
                <w:szCs w:val="18"/>
                <w:color w:val="auto"/>
              </w:rPr>
              <w:t>(3,254,445)</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(101,097)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(101,097)</w:t>
            </w:r>
          </w:p>
        </w:tc>
        <w:tc>
          <w:tcPr>
            <w:tcW w:w="0" w:type="dxa"/>
            <w:vAlign w:val="bottom"/>
          </w:tcPr>
          <w:p>
            <w:pPr>
              <w:spacing w:after="0"/>
              <w:rPr>
                <w:sz w:val="1"/>
                <w:szCs w:val="1"/>
                <w:color w:val="auto"/>
              </w:rPr>
            </w:pPr>
          </w:p>
        </w:tc>
      </w:tr>
      <w:tr>
        <w:trPr>
          <w:trHeight w:val="184"/>
        </w:trPr>
        <w:tc>
          <w:tcPr>
            <w:tcW w:w="254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8"/>
                <w:szCs w:val="18"/>
                <w:color w:val="auto"/>
              </w:rPr>
              <w:t>Exercise of options and</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vesting of restricted stock</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units (2)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407,795</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184"/>
        </w:trPr>
        <w:tc>
          <w:tcPr>
            <w:tcW w:w="2540" w:type="dxa"/>
            <w:vAlign w:val="bottom"/>
            <w:gridSpan w:val="2"/>
          </w:tcPr>
          <w:p>
            <w:pPr>
              <w:ind w:left="220"/>
              <w:spacing w:after="0" w:line="183" w:lineRule="exact"/>
              <w:rPr>
                <w:sz w:val="20"/>
                <w:szCs w:val="20"/>
                <w:color w:val="auto"/>
              </w:rPr>
            </w:pPr>
            <w:r>
              <w:rPr>
                <w:rFonts w:ascii="Arial" w:cs="Arial" w:eastAsia="Arial" w:hAnsi="Arial"/>
                <w:sz w:val="18"/>
                <w:szCs w:val="18"/>
                <w:color w:val="auto"/>
              </w:rPr>
              <w:t>Stock-based</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40" w:type="dxa"/>
            <w:vAlign w:val="bottom"/>
            <w:gridSpan w:val="2"/>
          </w:tcPr>
          <w:p>
            <w:pPr>
              <w:ind w:left="220"/>
              <w:spacing w:after="0"/>
              <w:rPr>
                <w:sz w:val="20"/>
                <w:szCs w:val="20"/>
                <w:color w:val="auto"/>
              </w:rPr>
            </w:pPr>
            <w:r>
              <w:rPr>
                <w:rFonts w:ascii="Arial" w:cs="Arial" w:eastAsia="Arial" w:hAnsi="Arial"/>
                <w:sz w:val="18"/>
                <w:szCs w:val="18"/>
                <w:color w:val="auto"/>
              </w:rPr>
              <w:t>compensation</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31,705</w:t>
            </w:r>
          </w:p>
        </w:tc>
        <w:tc>
          <w:tcPr>
            <w:tcW w:w="0" w:type="dxa"/>
            <w:vAlign w:val="bottom"/>
          </w:tcPr>
          <w:p>
            <w:pPr>
              <w:spacing w:after="0"/>
              <w:rPr>
                <w:sz w:val="1"/>
                <w:szCs w:val="1"/>
                <w:color w:val="auto"/>
              </w:rPr>
            </w:pPr>
          </w:p>
        </w:tc>
      </w:tr>
      <w:tr>
        <w:trPr>
          <w:trHeight w:val="164"/>
        </w:trPr>
        <w:tc>
          <w:tcPr>
            <w:tcW w:w="2520" w:type="dxa"/>
            <w:vAlign w:val="bottom"/>
            <w:tcBorders>
              <w:top w:val="single" w:sz="8" w:color="CCEEFF"/>
            </w:tcBorders>
            <w:shd w:val="clear" w:color="auto" w:fill="CCEEFF"/>
          </w:tcPr>
          <w:p>
            <w:pPr>
              <w:spacing w:after="0" w:line="164" w:lineRule="exact"/>
              <w:rPr>
                <w:sz w:val="20"/>
                <w:szCs w:val="20"/>
                <w:color w:val="auto"/>
              </w:rPr>
            </w:pPr>
            <w:r>
              <w:rPr>
                <w:rFonts w:ascii="Arial" w:cs="Arial" w:eastAsia="Arial" w:hAnsi="Arial"/>
                <w:sz w:val="18"/>
                <w:szCs w:val="18"/>
                <w:color w:val="auto"/>
              </w:rPr>
              <w:t>Balance as of</w:t>
            </w:r>
          </w:p>
        </w:tc>
        <w:tc>
          <w:tcPr>
            <w:tcW w:w="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56,769,081</w:t>
            </w:r>
          </w:p>
        </w:tc>
        <w:tc>
          <w:tcPr>
            <w:tcW w:w="10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(143,277)</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466,992</w:t>
            </w:r>
          </w:p>
        </w:tc>
        <w:tc>
          <w:tcPr>
            <w:tcW w:w="0" w:type="dxa"/>
            <w:vAlign w:val="bottom"/>
          </w:tcPr>
          <w:p>
            <w:pPr>
              <w:spacing w:after="0"/>
              <w:rPr>
                <w:sz w:val="1"/>
                <w:szCs w:val="1"/>
                <w:color w:val="auto"/>
              </w:rPr>
            </w:pPr>
          </w:p>
        </w:tc>
      </w:tr>
      <w:tr>
        <w:trPr>
          <w:trHeight w:val="203"/>
        </w:trPr>
        <w:tc>
          <w:tcPr>
            <w:tcW w:w="2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Net income</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145,493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145,493</w:t>
            </w:r>
          </w:p>
        </w:tc>
        <w:tc>
          <w:tcPr>
            <w:tcW w:w="0" w:type="dxa"/>
            <w:vAlign w:val="bottom"/>
          </w:tcPr>
          <w:p>
            <w:pPr>
              <w:spacing w:after="0"/>
              <w:rPr>
                <w:sz w:val="1"/>
                <w:szCs w:val="1"/>
                <w:color w:val="auto"/>
              </w:rPr>
            </w:pPr>
          </w:p>
        </w:tc>
      </w:tr>
      <w:tr>
        <w:trPr>
          <w:trHeight w:val="184"/>
        </w:trPr>
        <w:tc>
          <w:tcPr>
            <w:tcW w:w="254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8"/>
                <w:szCs w:val="18"/>
                <w:color w:val="auto"/>
              </w:rPr>
              <w:t>Unrealized gain on</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84"/>
        </w:trPr>
        <w:tc>
          <w:tcPr>
            <w:tcW w:w="2540" w:type="dxa"/>
            <w:vAlign w:val="bottom"/>
            <w:gridSpan w:val="2"/>
          </w:tcPr>
          <w:p>
            <w:pPr>
              <w:ind w:left="220"/>
              <w:spacing w:after="0" w:line="183" w:lineRule="exact"/>
              <w:rPr>
                <w:sz w:val="20"/>
                <w:szCs w:val="20"/>
                <w:color w:val="auto"/>
              </w:rPr>
            </w:pPr>
            <w:r>
              <w:rPr>
                <w:rFonts w:ascii="Arial" w:cs="Arial" w:eastAsia="Arial" w:hAnsi="Arial"/>
                <w:sz w:val="18"/>
                <w:szCs w:val="18"/>
                <w:color w:val="auto"/>
              </w:rPr>
              <w:t>Exercise of options and</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vesting of restricted stock</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540" w:type="dxa"/>
            <w:vAlign w:val="bottom"/>
            <w:gridSpan w:val="2"/>
          </w:tcPr>
          <w:p>
            <w:pPr>
              <w:ind w:left="220"/>
              <w:spacing w:after="0"/>
              <w:rPr>
                <w:sz w:val="20"/>
                <w:szCs w:val="20"/>
                <w:color w:val="auto"/>
              </w:rPr>
            </w:pPr>
            <w:r>
              <w:rPr>
                <w:rFonts w:ascii="Arial" w:cs="Arial" w:eastAsia="Arial" w:hAnsi="Arial"/>
                <w:sz w:val="18"/>
                <w:szCs w:val="18"/>
                <w:color w:val="auto"/>
              </w:rPr>
              <w:t>units (2)</w:t>
            </w:r>
          </w:p>
        </w:tc>
        <w:tc>
          <w:tcPr>
            <w:tcW w:w="980" w:type="dxa"/>
            <w:vAlign w:val="bottom"/>
          </w:tcPr>
          <w:p>
            <w:pPr>
              <w:jc w:val="right"/>
              <w:spacing w:after="0"/>
              <w:rPr>
                <w:sz w:val="20"/>
                <w:szCs w:val="20"/>
                <w:color w:val="auto"/>
              </w:rPr>
            </w:pPr>
            <w:r>
              <w:rPr>
                <w:rFonts w:ascii="Arial" w:cs="Arial" w:eastAsia="Arial" w:hAnsi="Arial"/>
                <w:sz w:val="18"/>
                <w:szCs w:val="18"/>
                <w:color w:val="auto"/>
              </w:rPr>
              <w:t>375,806</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184"/>
        </w:trPr>
        <w:tc>
          <w:tcPr>
            <w:tcW w:w="254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8"/>
                <w:szCs w:val="18"/>
                <w:color w:val="auto"/>
              </w:rPr>
              <w:t>Stock-based</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compensation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42,602</w:t>
            </w:r>
          </w:p>
        </w:tc>
        <w:tc>
          <w:tcPr>
            <w:tcW w:w="0" w:type="dxa"/>
            <w:vAlign w:val="bottom"/>
          </w:tcPr>
          <w:p>
            <w:pPr>
              <w:spacing w:after="0"/>
              <w:rPr>
                <w:sz w:val="1"/>
                <w:szCs w:val="1"/>
                <w:color w:val="auto"/>
              </w:rPr>
            </w:pPr>
          </w:p>
        </w:tc>
      </w:tr>
      <w:tr>
        <w:trPr>
          <w:trHeight w:val="164"/>
        </w:trPr>
        <w:tc>
          <w:tcPr>
            <w:tcW w:w="2520" w:type="dxa"/>
            <w:vAlign w:val="bottom"/>
          </w:tcPr>
          <w:p>
            <w:pPr>
              <w:spacing w:after="0" w:line="163" w:lineRule="exact"/>
              <w:rPr>
                <w:sz w:val="20"/>
                <w:szCs w:val="20"/>
                <w:color w:val="auto"/>
              </w:rPr>
            </w:pPr>
            <w:r>
              <w:rPr>
                <w:rFonts w:ascii="Arial" w:cs="Arial" w:eastAsia="Arial" w:hAnsi="Arial"/>
                <w:sz w:val="18"/>
                <w:szCs w:val="18"/>
                <w:color w:val="auto"/>
              </w:rPr>
              <w:t>Balance as of</w:t>
            </w:r>
          </w:p>
        </w:tc>
        <w:tc>
          <w:tcPr>
            <w:tcW w:w="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540" w:type="dxa"/>
            <w:vAlign w:val="bottom"/>
            <w:gridSpan w:val="2"/>
          </w:tcPr>
          <w:p>
            <w:pPr>
              <w:spacing w:after="0"/>
              <w:rPr>
                <w:sz w:val="20"/>
                <w:szCs w:val="20"/>
                <w:color w:val="auto"/>
              </w:rPr>
            </w:pPr>
            <w:r>
              <w:rPr>
                <w:rFonts w:ascii="Arial" w:cs="Arial" w:eastAsia="Arial" w:hAnsi="Arial"/>
                <w:sz w:val="18"/>
                <w:szCs w:val="18"/>
                <w:color w:val="auto"/>
              </w:rPr>
              <w:t>December 31, 2024</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57,144,887</w:t>
            </w:r>
          </w:p>
        </w:tc>
        <w:tc>
          <w:tcPr>
            <w:tcW w:w="10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656,872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2,216</w:t>
            </w:r>
          </w:p>
        </w:tc>
        <w:tc>
          <w:tcPr>
            <w:tcW w:w="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659,155</w:t>
            </w:r>
          </w:p>
        </w:tc>
        <w:tc>
          <w:tcPr>
            <w:tcW w:w="0" w:type="dxa"/>
            <w:vAlign w:val="bottom"/>
          </w:tcPr>
          <w:p>
            <w:pPr>
              <w:spacing w:after="0"/>
              <w:rPr>
                <w:sz w:val="1"/>
                <w:szCs w:val="1"/>
                <w:color w:val="auto"/>
              </w:rPr>
            </w:pPr>
          </w:p>
        </w:tc>
      </w:tr>
      <w:tr>
        <w:trPr>
          <w:trHeight w:val="203"/>
        </w:trPr>
        <w:tc>
          <w:tcPr>
            <w:tcW w:w="2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158,687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158,687</w:t>
            </w:r>
          </w:p>
        </w:tc>
        <w:tc>
          <w:tcPr>
            <w:tcW w:w="0" w:type="dxa"/>
            <w:vAlign w:val="bottom"/>
          </w:tcPr>
          <w:p>
            <w:pPr>
              <w:spacing w:after="0"/>
              <w:rPr>
                <w:sz w:val="1"/>
                <w:szCs w:val="1"/>
                <w:color w:val="auto"/>
              </w:rPr>
            </w:pPr>
          </w:p>
        </w:tc>
      </w:tr>
      <w:tr>
        <w:trPr>
          <w:trHeight w:val="184"/>
        </w:trPr>
        <w:tc>
          <w:tcPr>
            <w:tcW w:w="2540" w:type="dxa"/>
            <w:vAlign w:val="bottom"/>
            <w:gridSpan w:val="2"/>
          </w:tcPr>
          <w:p>
            <w:pPr>
              <w:ind w:left="220"/>
              <w:spacing w:after="0" w:line="183" w:lineRule="exact"/>
              <w:rPr>
                <w:sz w:val="20"/>
                <w:szCs w:val="20"/>
                <w:color w:val="auto"/>
              </w:rPr>
            </w:pPr>
            <w:r>
              <w:rPr>
                <w:rFonts w:ascii="Arial" w:cs="Arial" w:eastAsia="Arial" w:hAnsi="Arial"/>
                <w:sz w:val="18"/>
                <w:szCs w:val="18"/>
                <w:color w:val="auto"/>
              </w:rPr>
              <w:t>Unrealized gain on</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40" w:type="dxa"/>
            <w:vAlign w:val="bottom"/>
            <w:gridSpan w:val="2"/>
          </w:tcPr>
          <w:p>
            <w:pPr>
              <w:ind w:left="220"/>
              <w:spacing w:after="0"/>
              <w:rPr>
                <w:sz w:val="20"/>
                <w:szCs w:val="20"/>
                <w:color w:val="auto"/>
              </w:rPr>
            </w:pPr>
            <w:r>
              <w:rPr>
                <w:rFonts w:ascii="Arial" w:cs="Arial" w:eastAsia="Arial" w:hAnsi="Arial"/>
                <w:sz w:val="18"/>
                <w:szCs w:val="18"/>
                <w:color w:val="auto"/>
              </w:rPr>
              <w:t>investments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184"/>
        </w:trPr>
        <w:tc>
          <w:tcPr>
            <w:tcW w:w="254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8"/>
                <w:szCs w:val="18"/>
                <w:color w:val="auto"/>
              </w:rPr>
              <w:t>Exercise of options and</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vesting of restricted stock</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units (2)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581,283</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w:t>
            </w:r>
          </w:p>
        </w:tc>
        <w:tc>
          <w:tcPr>
            <w:tcW w:w="0" w:type="dxa"/>
            <w:vAlign w:val="bottom"/>
          </w:tcPr>
          <w:p>
            <w:pPr>
              <w:spacing w:after="0"/>
              <w:rPr>
                <w:sz w:val="1"/>
                <w:szCs w:val="1"/>
                <w:color w:val="auto"/>
              </w:rPr>
            </w:pPr>
          </w:p>
        </w:tc>
      </w:tr>
      <w:tr>
        <w:trPr>
          <w:trHeight w:val="184"/>
        </w:trPr>
        <w:tc>
          <w:tcPr>
            <w:tcW w:w="2540" w:type="dxa"/>
            <w:vAlign w:val="bottom"/>
            <w:gridSpan w:val="2"/>
          </w:tcPr>
          <w:p>
            <w:pPr>
              <w:ind w:left="220"/>
              <w:spacing w:after="0" w:line="183" w:lineRule="exact"/>
              <w:rPr>
                <w:sz w:val="20"/>
                <w:szCs w:val="20"/>
                <w:color w:val="auto"/>
              </w:rPr>
            </w:pPr>
            <w:r>
              <w:rPr>
                <w:rFonts w:ascii="Arial" w:cs="Arial" w:eastAsia="Arial" w:hAnsi="Arial"/>
                <w:sz w:val="18"/>
                <w:szCs w:val="18"/>
                <w:color w:val="auto"/>
              </w:rPr>
              <w:t>Stock-based</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compensation</w:t>
            </w: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44,895</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spacing w:after="0" w:line="163" w:lineRule="exact"/>
              <w:rPr>
                <w:sz w:val="20"/>
                <w:szCs w:val="20"/>
                <w:color w:val="auto"/>
              </w:rPr>
            </w:pPr>
            <w:r>
              <w:rPr>
                <w:rFonts w:ascii="Arial" w:cs="Arial" w:eastAsia="Arial" w:hAnsi="Arial"/>
                <w:sz w:val="18"/>
                <w:szCs w:val="18"/>
                <w:color w:val="auto"/>
              </w:rPr>
              <w:t>Balance as of</w:t>
            </w:r>
          </w:p>
        </w:tc>
        <w:tc>
          <w:tcPr>
            <w:tcW w:w="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57,726,170</w:t>
            </w:r>
          </w:p>
        </w:tc>
        <w:tc>
          <w:tcPr>
            <w:tcW w:w="1040" w:type="dxa"/>
            <w:vAlign w:val="bottom"/>
            <w:gridSpan w:val="2"/>
            <w:vMerge w:val="restart"/>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708,968</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160,903</w:t>
            </w:r>
          </w:p>
        </w:tc>
        <w:tc>
          <w:tcPr>
            <w:tcW w:w="4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870,218</w:t>
            </w:r>
          </w:p>
        </w:tc>
        <w:tc>
          <w:tcPr>
            <w:tcW w:w="0" w:type="dxa"/>
            <w:vAlign w:val="bottom"/>
          </w:tcPr>
          <w:p>
            <w:pPr>
              <w:spacing w:after="0"/>
              <w:rPr>
                <w:sz w:val="1"/>
                <w:szCs w:val="1"/>
                <w:color w:val="auto"/>
              </w:rPr>
            </w:pPr>
          </w:p>
        </w:tc>
      </w:tr>
      <w:tr>
        <w:trPr>
          <w:trHeight w:val="208"/>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2025</w:t>
            </w:r>
          </w:p>
        </w:tc>
        <w:tc>
          <w:tcPr>
            <w:tcW w:w="98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16198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386" w:lineRule="exact"/>
        <w:rPr>
          <w:sz w:val="20"/>
          <w:szCs w:val="20"/>
          <w:color w:val="auto"/>
        </w:rPr>
      </w:pPr>
    </w:p>
    <w:p>
      <w:pPr>
        <w:ind w:left="321" w:hanging="321"/>
        <w:spacing w:after="0"/>
        <w:tabs>
          <w:tab w:leader="none" w:pos="321" w:val="left"/>
        </w:tabs>
        <w:numPr>
          <w:ilvl w:val="0"/>
          <w:numId w:val="46"/>
        </w:numPr>
        <w:rPr>
          <w:rFonts w:ascii="Arial" w:cs="Arial" w:eastAsia="Arial" w:hAnsi="Arial"/>
          <w:sz w:val="13"/>
          <w:szCs w:val="13"/>
          <w:color w:val="auto"/>
        </w:rPr>
      </w:pPr>
      <w:r>
        <w:rPr>
          <w:rFonts w:ascii="Arial" w:cs="Arial" w:eastAsia="Arial" w:hAnsi="Arial"/>
          <w:sz w:val="13"/>
          <w:szCs w:val="13"/>
          <w:color w:val="auto"/>
        </w:rPr>
        <w:t>Common stock of Harmony Biosciences Holdings, Inc.</w:t>
      </w:r>
    </w:p>
    <w:p>
      <w:pPr>
        <w:spacing w:after="0" w:line="11" w:lineRule="exact"/>
        <w:rPr>
          <w:rFonts w:ascii="Arial" w:cs="Arial" w:eastAsia="Arial" w:hAnsi="Arial"/>
          <w:sz w:val="13"/>
          <w:szCs w:val="13"/>
          <w:color w:val="auto"/>
        </w:rPr>
      </w:pPr>
    </w:p>
    <w:p>
      <w:pPr>
        <w:ind w:left="321" w:hanging="321"/>
        <w:spacing w:after="0"/>
        <w:tabs>
          <w:tab w:leader="none" w:pos="321"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Inclusive of fees and 1% excise tax on shares repurchased.</w:t>
      </w:r>
    </w:p>
    <w:p>
      <w:pPr>
        <w:spacing w:after="0" w:line="15" w:lineRule="exact"/>
        <w:rPr>
          <w:sz w:val="20"/>
          <w:szCs w:val="20"/>
          <w:color w:val="auto"/>
        </w:rPr>
      </w:pPr>
    </w:p>
    <w:p>
      <w:pPr>
        <w:ind w:left="2381"/>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351790</wp:posOffset>
            </wp:positionV>
            <wp:extent cx="648081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10201"/>
          </w:cols>
          <w:pgMar w:left="839" w:top="661" w:right="8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HARMONY BIOSCIENCES HOLDINGS, INC.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246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576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2025</w:t>
            </w:r>
          </w:p>
        </w:tc>
        <w:tc>
          <w:tcPr>
            <w:tcW w:w="40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3"/>
                <w:szCs w:val="13"/>
                <w:color w:val="auto"/>
              </w:rPr>
            </w:pPr>
          </w:p>
        </w:tc>
      </w:tr>
      <w:tr>
        <w:trPr>
          <w:trHeight w:val="156"/>
        </w:trPr>
        <w:tc>
          <w:tcPr>
            <w:tcW w:w="57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CASH FLOWS FROM OPERATING ACTIVITIES</w:t>
            </w:r>
          </w:p>
        </w:tc>
        <w:tc>
          <w:tcPr>
            <w:tcW w:w="7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jc w:val="right"/>
              <w:ind w:right="175"/>
              <w:spacing w:after="0"/>
              <w:rPr>
                <w:sz w:val="20"/>
                <w:szCs w:val="20"/>
                <w:color w:val="auto"/>
              </w:rPr>
            </w:pPr>
            <w:r>
              <w:rPr>
                <w:rFonts w:ascii="Arial" w:cs="Arial" w:eastAsia="Arial" w:hAnsi="Arial"/>
                <w:sz w:val="1"/>
                <w:szCs w:val="1"/>
                <w:color w:val="auto"/>
                <w:w w:val="4294942296"/>
              </w:rPr>
              <w:t>​</w:t>
            </w: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line="155" w:lineRule="exact"/>
              <w:rPr>
                <w:sz w:val="20"/>
                <w:szCs w:val="20"/>
                <w:color w:val="auto"/>
              </w:rPr>
            </w:pPr>
            <w:r>
              <w:rPr>
                <w:rFonts w:ascii="Arial" w:cs="Arial" w:eastAsia="Arial" w:hAnsi="Arial"/>
                <w:sz w:val="14"/>
                <w:szCs w:val="14"/>
                <w:color w:val="auto"/>
              </w:rPr>
              <w:t>​</w:t>
            </w: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Net income</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158,687</w:t>
            </w:r>
          </w:p>
        </w:tc>
        <w:tc>
          <w:tcPr>
            <w:tcW w:w="4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145,493</w:t>
            </w:r>
          </w:p>
        </w:tc>
        <w:tc>
          <w:tcPr>
            <w:tcW w:w="4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128,853</w:t>
            </w:r>
          </w:p>
        </w:tc>
        <w:tc>
          <w:tcPr>
            <w:tcW w:w="40" w:type="dxa"/>
            <w:vAlign w:val="bottom"/>
          </w:tcPr>
          <w:p>
            <w:pPr>
              <w:spacing w:after="0"/>
              <w:rPr>
                <w:sz w:val="14"/>
                <w:szCs w:val="14"/>
                <w:color w:val="auto"/>
              </w:rPr>
            </w:pPr>
          </w:p>
        </w:tc>
      </w:tr>
      <w:tr>
        <w:trPr>
          <w:trHeight w:val="162"/>
        </w:trPr>
        <w:tc>
          <w:tcPr>
            <w:tcW w:w="576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Adjustments to reconcile net income to net cash used in operating activities:</w:t>
            </w: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Depreciation and impairment of long-lived assets</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1,490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514</w:t>
            </w:r>
          </w:p>
        </w:tc>
        <w:tc>
          <w:tcPr>
            <w:tcW w:w="40" w:type="dxa"/>
            <w:vAlign w:val="bottom"/>
          </w:tcPr>
          <w:p>
            <w:pPr>
              <w:spacing w:after="0"/>
              <w:rPr>
                <w:sz w:val="14"/>
                <w:szCs w:val="14"/>
                <w:color w:val="auto"/>
              </w:rPr>
            </w:pP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amortization</w:t>
            </w: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23,845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23,845</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23,845</w:t>
            </w:r>
          </w:p>
        </w:tc>
        <w:tc>
          <w:tcPr>
            <w:tcW w:w="40" w:type="dxa"/>
            <w:vAlign w:val="bottom"/>
          </w:tcPr>
          <w:p>
            <w:pPr>
              <w:spacing w:after="0"/>
              <w:rPr>
                <w:sz w:val="14"/>
                <w:szCs w:val="14"/>
                <w:color w:val="auto"/>
              </w:rPr>
            </w:pP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Acquired in-process research &amp; development (IPR&amp;D) expense</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34,250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43,595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2,260</w:t>
            </w:r>
          </w:p>
        </w:tc>
        <w:tc>
          <w:tcPr>
            <w:tcW w:w="40" w:type="dxa"/>
            <w:vAlign w:val="bottom"/>
          </w:tcPr>
          <w:p>
            <w:pPr>
              <w:spacing w:after="0"/>
              <w:rPr>
                <w:sz w:val="14"/>
                <w:szCs w:val="14"/>
                <w:color w:val="auto"/>
              </w:rPr>
            </w:pP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44,895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42,602</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31,705</w:t>
            </w:r>
          </w:p>
        </w:tc>
        <w:tc>
          <w:tcPr>
            <w:tcW w:w="40" w:type="dxa"/>
            <w:vAlign w:val="bottom"/>
          </w:tcPr>
          <w:p>
            <w:pPr>
              <w:spacing w:after="0"/>
              <w:rPr>
                <w:sz w:val="14"/>
                <w:szCs w:val="14"/>
                <w:color w:val="auto"/>
              </w:rPr>
            </w:pP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Stock appreciation rights market adjustment</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(499)</w:t>
            </w:r>
          </w:p>
        </w:tc>
        <w:tc>
          <w:tcPr>
            <w:tcW w:w="40" w:type="dxa"/>
            <w:vAlign w:val="bottom"/>
          </w:tcPr>
          <w:p>
            <w:pPr>
              <w:spacing w:after="0"/>
              <w:rPr>
                <w:sz w:val="14"/>
                <w:szCs w:val="14"/>
                <w:color w:val="auto"/>
              </w:rPr>
            </w:pP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issuance costs amortization</w:t>
            </w: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2,274</w:t>
            </w:r>
          </w:p>
        </w:tc>
        <w:tc>
          <w:tcPr>
            <w:tcW w:w="40" w:type="dxa"/>
            <w:vAlign w:val="bottom"/>
          </w:tcPr>
          <w:p>
            <w:pPr>
              <w:spacing w:after="0"/>
              <w:rPr>
                <w:sz w:val="14"/>
                <w:szCs w:val="14"/>
                <w:color w:val="auto"/>
              </w:rPr>
            </w:pP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Deferred taxes</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(7,301)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(29,298)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(13,419)</w:t>
            </w:r>
          </w:p>
        </w:tc>
        <w:tc>
          <w:tcPr>
            <w:tcW w:w="40" w:type="dxa"/>
            <w:vAlign w:val="bottom"/>
          </w:tcPr>
          <w:p>
            <w:pPr>
              <w:spacing w:after="0"/>
              <w:rPr>
                <w:sz w:val="14"/>
                <w:szCs w:val="14"/>
                <w:color w:val="auto"/>
              </w:rPr>
            </w:pP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premiums and accretion of discounts on Investment securities</w:t>
            </w: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(2,261)</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(2,715)</w:t>
            </w:r>
          </w:p>
        </w:tc>
        <w:tc>
          <w:tcPr>
            <w:tcW w:w="40" w:type="dxa"/>
            <w:vAlign w:val="bottom"/>
          </w:tcPr>
          <w:p>
            <w:pPr>
              <w:spacing w:after="0"/>
              <w:rPr>
                <w:sz w:val="14"/>
                <w:szCs w:val="14"/>
                <w:color w:val="auto"/>
              </w:rPr>
            </w:pP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Loss on debt extinguishment</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9,766</w:t>
            </w:r>
          </w:p>
        </w:tc>
        <w:tc>
          <w:tcPr>
            <w:tcW w:w="40" w:type="dxa"/>
            <w:vAlign w:val="bottom"/>
          </w:tcPr>
          <w:p>
            <w:pPr>
              <w:spacing w:after="0"/>
              <w:rPr>
                <w:sz w:val="14"/>
                <w:szCs w:val="14"/>
                <w:color w:val="auto"/>
              </w:rPr>
            </w:pP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non-cash expenses</w:t>
            </w: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w:t>
            </w:r>
          </w:p>
        </w:tc>
        <w:tc>
          <w:tcPr>
            <w:tcW w:w="40" w:type="dxa"/>
            <w:vAlign w:val="bottom"/>
          </w:tcPr>
          <w:p>
            <w:pPr>
              <w:spacing w:after="0"/>
              <w:rPr>
                <w:sz w:val="14"/>
                <w:szCs w:val="14"/>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Change in operating assets and liabilities:</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w:t>
            </w: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(8,893)</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(19,400)</w:t>
            </w:r>
          </w:p>
        </w:tc>
        <w:tc>
          <w:tcPr>
            <w:tcW w:w="40" w:type="dxa"/>
            <w:vAlign w:val="bottom"/>
          </w:tcPr>
          <w:p>
            <w:pPr>
              <w:spacing w:after="0"/>
              <w:rPr>
                <w:sz w:val="14"/>
                <w:szCs w:val="14"/>
                <w:color w:val="auto"/>
              </w:rPr>
            </w:pP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Inventory</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1,841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(1,835)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(1,066)</w:t>
            </w:r>
          </w:p>
        </w:tc>
        <w:tc>
          <w:tcPr>
            <w:tcW w:w="40" w:type="dxa"/>
            <w:vAlign w:val="bottom"/>
          </w:tcPr>
          <w:p>
            <w:pPr>
              <w:spacing w:after="0"/>
              <w:rPr>
                <w:sz w:val="14"/>
                <w:szCs w:val="14"/>
                <w:color w:val="auto"/>
              </w:rPr>
            </w:pP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assets</w:t>
            </w: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31,787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40" w:type="dxa"/>
            <w:vAlign w:val="bottom"/>
          </w:tcPr>
          <w:p>
            <w:pPr>
              <w:spacing w:after="0"/>
              <w:rPr>
                <w:sz w:val="14"/>
                <w:szCs w:val="14"/>
                <w:color w:val="auto"/>
              </w:rPr>
            </w:pP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Trade payables</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3,949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(5,384)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8,949</w:t>
            </w:r>
          </w:p>
        </w:tc>
        <w:tc>
          <w:tcPr>
            <w:tcW w:w="40" w:type="dxa"/>
            <w:vAlign w:val="bottom"/>
          </w:tcPr>
          <w:p>
            <w:pPr>
              <w:spacing w:after="0"/>
              <w:rPr>
                <w:sz w:val="14"/>
                <w:szCs w:val="14"/>
                <w:color w:val="auto"/>
              </w:rPr>
            </w:pP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liabilities</w:t>
            </w:r>
          </w:p>
        </w:tc>
        <w:tc>
          <w:tcPr>
            <w:tcW w:w="7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67,994</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11,799</w:t>
            </w: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46,478</w:t>
            </w:r>
          </w:p>
        </w:tc>
        <w:tc>
          <w:tcPr>
            <w:tcW w:w="40" w:type="dxa"/>
            <w:vAlign w:val="bottom"/>
          </w:tcPr>
          <w:p>
            <w:pPr>
              <w:spacing w:after="0"/>
              <w:rPr>
                <w:sz w:val="14"/>
                <w:szCs w:val="14"/>
                <w:color w:val="auto"/>
              </w:rPr>
            </w:pPr>
          </w:p>
        </w:tc>
      </w:tr>
      <w:tr>
        <w:trPr>
          <w:trHeight w:val="156"/>
        </w:trPr>
        <w:tc>
          <w:tcPr>
            <w:tcW w:w="57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7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348,199</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219,821</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219,387</w:t>
            </w:r>
          </w:p>
        </w:tc>
        <w:tc>
          <w:tcPr>
            <w:tcW w:w="40" w:type="dxa"/>
            <w:vAlign w:val="bottom"/>
          </w:tcPr>
          <w:p>
            <w:pPr>
              <w:spacing w:after="0"/>
              <w:rPr>
                <w:sz w:val="13"/>
                <w:szCs w:val="13"/>
                <w:color w:val="auto"/>
              </w:rPr>
            </w:pPr>
          </w:p>
        </w:tc>
      </w:tr>
      <w:tr>
        <w:trPr>
          <w:trHeight w:val="155"/>
        </w:trPr>
        <w:tc>
          <w:tcPr>
            <w:tcW w:w="57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175"/>
              <w:spacing w:after="0"/>
              <w:rPr>
                <w:sz w:val="20"/>
                <w:szCs w:val="20"/>
                <w:color w:val="auto"/>
              </w:rPr>
            </w:pPr>
            <w:r>
              <w:rPr>
                <w:rFonts w:ascii="Arial" w:cs="Arial" w:eastAsia="Arial" w:hAnsi="Arial"/>
                <w:sz w:val="1"/>
                <w:szCs w:val="1"/>
                <w:color w:val="auto"/>
                <w:w w:val="4294942296"/>
              </w:rPr>
              <w:t>​</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Purchase of investment securities</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(86,151)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(105,289)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(127,469)</w:t>
            </w:r>
          </w:p>
        </w:tc>
        <w:tc>
          <w:tcPr>
            <w:tcW w:w="40" w:type="dxa"/>
            <w:vAlign w:val="bottom"/>
          </w:tcPr>
          <w:p>
            <w:pPr>
              <w:spacing w:after="0"/>
              <w:rPr>
                <w:sz w:val="14"/>
                <w:szCs w:val="14"/>
                <w:color w:val="auto"/>
              </w:rPr>
            </w:pP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maturities and sales of investment securities</w:t>
            </w: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81,062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98,527</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118,309</w:t>
            </w:r>
          </w:p>
        </w:tc>
        <w:tc>
          <w:tcPr>
            <w:tcW w:w="40" w:type="dxa"/>
            <w:vAlign w:val="bottom"/>
          </w:tcPr>
          <w:p>
            <w:pPr>
              <w:spacing w:after="0"/>
              <w:rPr>
                <w:sz w:val="14"/>
                <w:szCs w:val="14"/>
                <w:color w:val="auto"/>
              </w:rPr>
            </w:pP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Purchase of property and equipment</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(1,153)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(312)</w:t>
            </w:r>
          </w:p>
        </w:tc>
        <w:tc>
          <w:tcPr>
            <w:tcW w:w="40" w:type="dxa"/>
            <w:vAlign w:val="bottom"/>
          </w:tcPr>
          <w:p>
            <w:pPr>
              <w:spacing w:after="0"/>
              <w:rPr>
                <w:sz w:val="14"/>
                <w:szCs w:val="14"/>
                <w:color w:val="auto"/>
              </w:rPr>
            </w:pP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of Zynerba Pharmaceuticals, Inc., net of cash acquired</w:t>
            </w: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(36,967)</w:t>
            </w:r>
          </w:p>
        </w:tc>
        <w:tc>
          <w:tcPr>
            <w:tcW w:w="40" w:type="dxa"/>
            <w:vAlign w:val="bottom"/>
          </w:tcPr>
          <w:p>
            <w:pPr>
              <w:spacing w:after="0"/>
              <w:rPr>
                <w:sz w:val="14"/>
                <w:szCs w:val="14"/>
                <w:color w:val="auto"/>
              </w:rPr>
            </w:pP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Acquisition of Epygenix Therapeutics, Inc., net of cash acquired</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(33,069)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 of milestones</w:t>
            </w: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162"/>
        </w:trPr>
        <w:tc>
          <w:tcPr>
            <w:tcW w:w="57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Payment of upfront fee related to license agreements (1)</w:t>
            </w:r>
          </w:p>
        </w:tc>
        <w:tc>
          <w:tcPr>
            <w:tcW w:w="7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(15,000)</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(25,500)</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155"/>
        </w:trPr>
        <w:tc>
          <w:tcPr>
            <w:tcW w:w="57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70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(39,649)</w:t>
            </w:r>
          </w:p>
        </w:tc>
        <w:tc>
          <w:tcPr>
            <w:tcW w:w="2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(67,484)</w:t>
            </w:r>
          </w:p>
        </w:tc>
        <w:tc>
          <w:tcPr>
            <w:tcW w:w="2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(46,439)</w:t>
            </w:r>
          </w:p>
        </w:tc>
        <w:tc>
          <w:tcPr>
            <w:tcW w:w="40" w:type="dxa"/>
            <w:vAlign w:val="bottom"/>
          </w:tcPr>
          <w:p>
            <w:pPr>
              <w:spacing w:after="0"/>
              <w:rPr>
                <w:sz w:val="13"/>
                <w:szCs w:val="13"/>
                <w:color w:val="auto"/>
              </w:rPr>
            </w:pPr>
          </w:p>
        </w:tc>
      </w:tr>
      <w:tr>
        <w:trPr>
          <w:trHeight w:val="155"/>
        </w:trPr>
        <w:tc>
          <w:tcPr>
            <w:tcW w:w="5760" w:type="dxa"/>
            <w:vAlign w:val="bottom"/>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jc w:val="right"/>
              <w:ind w:right="175"/>
              <w:spacing w:after="0"/>
              <w:rPr>
                <w:sz w:val="20"/>
                <w:szCs w:val="20"/>
                <w:color w:val="auto"/>
              </w:rPr>
            </w:pPr>
            <w:r>
              <w:rPr>
                <w:rFonts w:ascii="Arial" w:cs="Arial" w:eastAsia="Arial" w:hAnsi="Arial"/>
                <w:sz w:val="1"/>
                <w:szCs w:val="1"/>
                <w:color w:val="auto"/>
                <w:w w:val="4294942296"/>
              </w:rPr>
              <w:t>​</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long-term debt</w:t>
            </w: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40" w:type="dxa"/>
            <w:vAlign w:val="bottom"/>
          </w:tcPr>
          <w:p>
            <w:pPr>
              <w:spacing w:after="0"/>
              <w:rPr>
                <w:sz w:val="14"/>
                <w:szCs w:val="14"/>
                <w:color w:val="auto"/>
              </w:rPr>
            </w:pP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Debt issuance costs</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(2,997)</w:t>
            </w:r>
          </w:p>
        </w:tc>
        <w:tc>
          <w:tcPr>
            <w:tcW w:w="40" w:type="dxa"/>
            <w:vAlign w:val="bottom"/>
          </w:tcPr>
          <w:p>
            <w:pPr>
              <w:spacing w:after="0"/>
              <w:rPr>
                <w:sz w:val="14"/>
                <w:szCs w:val="14"/>
                <w:color w:val="auto"/>
              </w:rPr>
            </w:pP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Extinguishment of debt</w:t>
            </w: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(196,500)</w:t>
            </w:r>
          </w:p>
        </w:tc>
        <w:tc>
          <w:tcPr>
            <w:tcW w:w="40" w:type="dxa"/>
            <w:vAlign w:val="bottom"/>
          </w:tcPr>
          <w:p>
            <w:pPr>
              <w:spacing w:after="0"/>
              <w:rPr>
                <w:sz w:val="14"/>
                <w:szCs w:val="14"/>
                <w:color w:val="auto"/>
              </w:rPr>
            </w:pP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Extinguishment of debt exit fees</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(5,846)</w:t>
            </w:r>
          </w:p>
        </w:tc>
        <w:tc>
          <w:tcPr>
            <w:tcW w:w="40" w:type="dxa"/>
            <w:vAlign w:val="bottom"/>
          </w:tcPr>
          <w:p>
            <w:pPr>
              <w:spacing w:after="0"/>
              <w:rPr>
                <w:sz w:val="14"/>
                <w:szCs w:val="14"/>
                <w:color w:val="auto"/>
              </w:rPr>
            </w:pP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Principal repayment of long-term debt</w:t>
            </w: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(4,750)</w:t>
            </w:r>
          </w:p>
        </w:tc>
        <w:tc>
          <w:tcPr>
            <w:tcW w:w="40" w:type="dxa"/>
            <w:vAlign w:val="bottom"/>
          </w:tcPr>
          <w:p>
            <w:pPr>
              <w:spacing w:after="0"/>
              <w:rPr>
                <w:sz w:val="14"/>
                <w:szCs w:val="14"/>
                <w:color w:val="auto"/>
              </w:rPr>
            </w:pP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Repurchase of common stock</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(100,000)</w:t>
            </w:r>
          </w:p>
        </w:tc>
        <w:tc>
          <w:tcPr>
            <w:tcW w:w="40" w:type="dxa"/>
            <w:vAlign w:val="bottom"/>
          </w:tcPr>
          <w:p>
            <w:pPr>
              <w:spacing w:after="0"/>
              <w:rPr>
                <w:sz w:val="14"/>
                <w:szCs w:val="14"/>
                <w:color w:val="auto"/>
              </w:rPr>
            </w:pP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of employee withholding taxes related to stock-based awards</w:t>
            </w: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40" w:type="dxa"/>
            <w:vAlign w:val="bottom"/>
          </w:tcPr>
          <w:p>
            <w:pPr>
              <w:spacing w:after="0"/>
              <w:rPr>
                <w:sz w:val="14"/>
                <w:szCs w:val="14"/>
                <w:color w:val="auto"/>
              </w:rPr>
            </w:pPr>
          </w:p>
        </w:tc>
      </w:tr>
      <w:tr>
        <w:trPr>
          <w:trHeight w:val="162"/>
        </w:trPr>
        <w:tc>
          <w:tcPr>
            <w:tcW w:w="57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Proceeds from exercised options</w:t>
            </w:r>
          </w:p>
        </w:tc>
        <w:tc>
          <w:tcPr>
            <w:tcW w:w="7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10,205</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5,055</w:t>
            </w:r>
          </w:p>
        </w:tc>
        <w:tc>
          <w:tcPr>
            <w:tcW w:w="40" w:type="dxa"/>
            <w:vAlign w:val="bottom"/>
          </w:tcPr>
          <w:p>
            <w:pPr>
              <w:spacing w:after="0"/>
              <w:rPr>
                <w:sz w:val="14"/>
                <w:szCs w:val="14"/>
                <w:color w:val="auto"/>
              </w:rPr>
            </w:pPr>
          </w:p>
        </w:tc>
      </w:tr>
      <w:tr>
        <w:trPr>
          <w:trHeight w:val="155"/>
        </w:trPr>
        <w:tc>
          <w:tcPr>
            <w:tcW w:w="57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cash used in financing activities</w:t>
            </w:r>
          </w:p>
        </w:tc>
        <w:tc>
          <w:tcPr>
            <w:tcW w:w="70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(9,049)</w:t>
            </w:r>
          </w:p>
        </w:tc>
        <w:tc>
          <w:tcPr>
            <w:tcW w:w="2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(10,996)</w:t>
            </w:r>
          </w:p>
        </w:tc>
        <w:tc>
          <w:tcPr>
            <w:tcW w:w="2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(105,552)</w:t>
            </w:r>
          </w:p>
        </w:tc>
        <w:tc>
          <w:tcPr>
            <w:tcW w:w="40" w:type="dxa"/>
            <w:vAlign w:val="bottom"/>
          </w:tcPr>
          <w:p>
            <w:pPr>
              <w:spacing w:after="0"/>
              <w:rPr>
                <w:sz w:val="13"/>
                <w:szCs w:val="13"/>
                <w:color w:val="auto"/>
              </w:rPr>
            </w:pPr>
          </w:p>
        </w:tc>
      </w:tr>
      <w:tr>
        <w:trPr>
          <w:trHeight w:val="155"/>
        </w:trPr>
        <w:tc>
          <w:tcPr>
            <w:tcW w:w="57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NET INCREASE IN CASH, CASH EQUIVALENTS, AND RESTRICTED CASH</w:t>
            </w:r>
          </w:p>
        </w:tc>
        <w:tc>
          <w:tcPr>
            <w:tcW w:w="7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299,501</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141,341</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67,396</w:t>
            </w:r>
          </w:p>
        </w:tc>
        <w:tc>
          <w:tcPr>
            <w:tcW w:w="40" w:type="dxa"/>
            <w:vAlign w:val="bottom"/>
          </w:tcPr>
          <w:p>
            <w:pPr>
              <w:spacing w:after="0"/>
              <w:rPr>
                <w:sz w:val="13"/>
                <w:szCs w:val="13"/>
                <w:color w:val="auto"/>
              </w:rPr>
            </w:pPr>
          </w:p>
        </w:tc>
      </w:tr>
      <w:tr>
        <w:trPr>
          <w:trHeight w:val="156"/>
        </w:trPr>
        <w:tc>
          <w:tcPr>
            <w:tcW w:w="57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CASH, CASH EQUIVALENTS, AND RESTRICTED CASH—Beginning of period</w:t>
            </w:r>
          </w:p>
        </w:tc>
        <w:tc>
          <w:tcPr>
            <w:tcW w:w="70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453,271</w:t>
            </w:r>
          </w:p>
        </w:tc>
        <w:tc>
          <w:tcPr>
            <w:tcW w:w="2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311,930</w:t>
            </w:r>
          </w:p>
        </w:tc>
        <w:tc>
          <w:tcPr>
            <w:tcW w:w="2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244,534</w:t>
            </w:r>
          </w:p>
        </w:tc>
        <w:tc>
          <w:tcPr>
            <w:tcW w:w="40" w:type="dxa"/>
            <w:vAlign w:val="bottom"/>
          </w:tcPr>
          <w:p>
            <w:pPr>
              <w:spacing w:after="0"/>
              <w:rPr>
                <w:sz w:val="13"/>
                <w:szCs w:val="13"/>
                <w:color w:val="auto"/>
              </w:rPr>
            </w:pPr>
          </w:p>
        </w:tc>
      </w:tr>
      <w:tr>
        <w:trPr>
          <w:trHeight w:val="155"/>
        </w:trPr>
        <w:tc>
          <w:tcPr>
            <w:tcW w:w="57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CASH, CASH EQUIVALENTS, AND RESTRICTED CASH—End of period</w:t>
            </w:r>
          </w:p>
        </w:tc>
        <w:tc>
          <w:tcPr>
            <w:tcW w:w="7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752,772</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453,271</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311,930</w:t>
            </w:r>
          </w:p>
        </w:tc>
        <w:tc>
          <w:tcPr>
            <w:tcW w:w="40" w:type="dxa"/>
            <w:vAlign w:val="bottom"/>
          </w:tcPr>
          <w:p>
            <w:pPr>
              <w:spacing w:after="0"/>
              <w:rPr>
                <w:sz w:val="13"/>
                <w:szCs w:val="13"/>
                <w:color w:val="auto"/>
              </w:rPr>
            </w:pPr>
          </w:p>
        </w:tc>
      </w:tr>
      <w:tr>
        <w:trPr>
          <w:trHeight w:val="155"/>
        </w:trPr>
        <w:tc>
          <w:tcPr>
            <w:tcW w:w="57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Supplemental Disclosure of Cash Flow Information:</w:t>
            </w: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175"/>
              <w:spacing w:after="0"/>
              <w:rPr>
                <w:sz w:val="20"/>
                <w:szCs w:val="20"/>
                <w:color w:val="auto"/>
              </w:rPr>
            </w:pPr>
            <w:r>
              <w:rPr>
                <w:rFonts w:ascii="Arial" w:cs="Arial" w:eastAsia="Arial" w:hAnsi="Arial"/>
                <w:sz w:val="1"/>
                <w:szCs w:val="1"/>
                <w:color w:val="auto"/>
                <w:w w:val="4294942296"/>
              </w:rPr>
              <w:t>​</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5760" w:type="dxa"/>
            <w:vAlign w:val="bottom"/>
          </w:tcPr>
          <w:p>
            <w:pPr>
              <w:ind w:left="220"/>
              <w:spacing w:after="0"/>
              <w:rPr>
                <w:sz w:val="20"/>
                <w:szCs w:val="20"/>
                <w:color w:val="auto"/>
              </w:rPr>
            </w:pPr>
            <w:r>
              <w:rPr>
                <w:rFonts w:ascii="Arial" w:cs="Arial" w:eastAsia="Arial" w:hAnsi="Arial"/>
                <w:sz w:val="14"/>
                <w:szCs w:val="14"/>
                <w:color w:val="auto"/>
              </w:rPr>
              <w:t>Cash paid during the year for interest</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14,685</w:t>
            </w:r>
          </w:p>
        </w:tc>
        <w:tc>
          <w:tcPr>
            <w:tcW w:w="4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17,317</w:t>
            </w:r>
          </w:p>
        </w:tc>
        <w:tc>
          <w:tcPr>
            <w:tcW w:w="4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20,051</w:t>
            </w:r>
          </w:p>
        </w:tc>
        <w:tc>
          <w:tcPr>
            <w:tcW w:w="40" w:type="dxa"/>
            <w:vAlign w:val="bottom"/>
          </w:tcPr>
          <w:p>
            <w:pPr>
              <w:spacing w:after="0"/>
              <w:rPr>
                <w:sz w:val="14"/>
                <w:szCs w:val="14"/>
                <w:color w:val="auto"/>
              </w:rPr>
            </w:pPr>
          </w:p>
        </w:tc>
      </w:tr>
      <w:tr>
        <w:trPr>
          <w:trHeight w:val="162"/>
        </w:trPr>
        <w:tc>
          <w:tcPr>
            <w:tcW w:w="57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during the year for income taxes net of refunds received</w:t>
            </w: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19,820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79,635</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48,233</w:t>
            </w:r>
          </w:p>
        </w:tc>
        <w:tc>
          <w:tcPr>
            <w:tcW w:w="40" w:type="dxa"/>
            <w:vAlign w:val="bottom"/>
          </w:tcPr>
          <w:p>
            <w:pPr>
              <w:spacing w:after="0"/>
              <w:rPr>
                <w:sz w:val="14"/>
                <w:szCs w:val="14"/>
                <w:color w:val="auto"/>
              </w:rPr>
            </w:pPr>
          </w:p>
        </w:tc>
      </w:tr>
    </w:tbl>
    <w:p>
      <w:pPr>
        <w:spacing w:after="0" w:line="193" w:lineRule="exact"/>
        <w:rPr>
          <w:sz w:val="20"/>
          <w:szCs w:val="20"/>
          <w:color w:val="auto"/>
        </w:rPr>
      </w:pPr>
    </w:p>
    <w:p>
      <w:pPr>
        <w:ind w:left="680" w:right="60" w:hanging="321"/>
        <w:spacing w:after="0" w:line="285" w:lineRule="auto"/>
        <w:tabs>
          <w:tab w:leader="none" w:pos="6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$15,000 in cash paid to a related party during the year ended December 31, 2025, and no related party payments during the years ended December 31, 2024, and 2023.</w:t>
      </w:r>
    </w:p>
    <w:p>
      <w:pPr>
        <w:spacing w:after="0" w:line="137"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HARMONY BIOSCIENCES HOLDINGS, INC. AND SUBSIDIARIES NOTES TO CONSOLIDATED FINANCIAL STATEMENTS (In thousands, except share and per share data)</w:t>
      </w:r>
    </w:p>
    <w:p>
      <w:pPr>
        <w:spacing w:after="0" w:line="159" w:lineRule="exact"/>
        <w:rPr>
          <w:sz w:val="20"/>
          <w:szCs w:val="20"/>
          <w:color w:val="auto"/>
        </w:rPr>
      </w:pPr>
    </w:p>
    <w:p>
      <w:pPr>
        <w:ind w:left="700" w:right="5340" w:hanging="692"/>
        <w:spacing w:after="0" w:line="485" w:lineRule="auto"/>
        <w:tabs>
          <w:tab w:leader="none" w:pos="216"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The Company</w:t>
      </w:r>
    </w:p>
    <w:p>
      <w:pPr>
        <w:jc w:val="both"/>
        <w:ind w:firstLine="648"/>
        <w:spacing w:after="0"/>
        <w:rPr>
          <w:sz w:val="20"/>
          <w:szCs w:val="20"/>
          <w:color w:val="auto"/>
        </w:rPr>
      </w:pPr>
      <w:r>
        <w:rPr>
          <w:rFonts w:ascii="Arial" w:cs="Arial" w:eastAsia="Arial" w:hAnsi="Arial"/>
          <w:sz w:val="18"/>
          <w:szCs w:val="18"/>
          <w:color w:val="auto"/>
        </w:rPr>
        <w:t xml:space="preserve">Harmony Biosciences Holdings, Inc., and its consolidated subsidiaries (the “Company”) was founded in July 2017 as Harmony Biosciences II, LLC, a Delaware limited liability company. The Company converted to a Delaware corporation named Harmony Biosciences II, Inc. in September 2017 and, in February 2020, the Company changed its name to Harmony Biosciences Holdings, Inc. </w:t>
      </w:r>
      <w:r>
        <w:rPr>
          <w:rFonts w:ascii="Arial" w:cs="Arial" w:eastAsia="Arial" w:hAnsi="Arial"/>
          <w:sz w:val="18"/>
          <w:szCs w:val="18"/>
          <w:color w:val="212529"/>
        </w:rPr>
        <w:t>The Company’s operations are conducted in its wholly owned subsidiaries, Harmony</w:t>
      </w:r>
      <w:r>
        <w:rPr>
          <w:rFonts w:ascii="Arial" w:cs="Arial" w:eastAsia="Arial" w:hAnsi="Arial"/>
          <w:sz w:val="18"/>
          <w:szCs w:val="18"/>
          <w:color w:val="auto"/>
        </w:rPr>
        <w:t xml:space="preserve"> </w:t>
      </w:r>
      <w:r>
        <w:rPr>
          <w:rFonts w:ascii="Arial" w:cs="Arial" w:eastAsia="Arial" w:hAnsi="Arial"/>
          <w:sz w:val="18"/>
          <w:szCs w:val="18"/>
          <w:color w:val="212529"/>
        </w:rPr>
        <w:t>Biosciences, LLC (“Harmony”), and Harmony Biosciences Management, Inc. The Company is a commercial-stage pharmaceutical company focused on developing and commercializing innovative therapies for patients living with rare neurological disorders as well as patients living with other neurological diseases who have unmet medical needs. The Company is headquartered in Plymouth Meeting, Pennsylvania</w:t>
      </w:r>
      <w:r>
        <w:rPr>
          <w:rFonts w:ascii="Arial" w:cs="Arial" w:eastAsia="Arial" w:hAnsi="Arial"/>
          <w:sz w:val="18"/>
          <w:szCs w:val="18"/>
          <w:color w:val="000000"/>
        </w:rPr>
        <w:t>.</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are cultivating a differentiated neuroscience company, rooted in innovation and driven by a commitment to addressing the unmet needs of patients living with neurological diseases. To date, we have focused on rare neurological diseases with a growing portfolio now spanning sleep/wake, neurobehavioral, and rare epilepsy, and we are harnessing scientific insights and pioneering approaches to advance meaningful treatments that help patients thrive.</w:t>
      </w:r>
    </w:p>
    <w:p>
      <w:pPr>
        <w:spacing w:after="0" w:line="16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In July 2017, the Company entered into a License Agreement (the “2017 LCA”) with Bioprojet Société Civile de Recherche (“Bioprojet”) whereby the Company acquired the exclusive right to commercialize the pharmaceutical compound pitolisant. Our lead product, WAKIX® (pitolisant) (“WAKIX”), is a first-in-class therapy with a novel mechanism of action designed to enhance histamine signaling in the brain by binding to H</w:t>
      </w:r>
      <w:r>
        <w:rPr>
          <w:rFonts w:ascii="Arial" w:cs="Arial" w:eastAsia="Arial" w:hAnsi="Arial"/>
          <w:sz w:val="26"/>
          <w:szCs w:val="26"/>
          <w:color w:val="auto"/>
          <w:vertAlign w:val="subscript"/>
        </w:rPr>
        <w:t>3</w:t>
      </w:r>
      <w:r>
        <w:rPr>
          <w:rFonts w:ascii="Arial" w:cs="Arial" w:eastAsia="Arial" w:hAnsi="Arial"/>
          <w:sz w:val="18"/>
          <w:szCs w:val="18"/>
          <w:color w:val="auto"/>
        </w:rPr>
        <w:t xml:space="preserve"> receptors. Since its initial FDA approval in 2019 for</w:t>
      </w:r>
    </w:p>
    <w:p>
      <w:pPr>
        <w:jc w:val="both"/>
        <w:spacing w:after="0" w:line="237" w:lineRule="auto"/>
        <w:rPr>
          <w:sz w:val="20"/>
          <w:szCs w:val="20"/>
          <w:color w:val="auto"/>
        </w:rPr>
      </w:pPr>
      <w:r>
        <w:rPr>
          <w:rFonts w:ascii="Arial" w:cs="Arial" w:eastAsia="Arial" w:hAnsi="Arial"/>
          <w:sz w:val="18"/>
          <w:szCs w:val="18"/>
          <w:color w:val="auto"/>
        </w:rPr>
        <w:t>excessive daytime sleepiness (“EDS”) in adult patients with narcolepsy, WAKIX has subsequently been approved for cataplexy in adult patients in 2020 and EDS in pediatric patients six years and older in 2024. Beyond narcolepsy, we are also advancing late-stage clinical programs exploring pitolisant in Prader-Willi syndrome (“PWS”) and continue to grow our impact in other rare neurological diseases. In July 2022, the Company entered into a License and Commercialization Agreement (the “2022 LCA”) with Bioprojet whereby we obtained exclusive rights to manufacture, develop and commercialize one or more next generation pitolisant based products in the United States and Latin America. Two of the next generations formulations, Pitolisant Gastro-Resistant (“Pitolisant GR”) and Pitolisant High-Dose (“Pitolisant HD”) are currently in clinical development.</w:t>
      </w:r>
    </w:p>
    <w:p>
      <w:pPr>
        <w:spacing w:after="0" w:line="16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Along with nurturing the growth of our original pipeline, our innovation strategy includes targeted business development that strengthens our foundation and strategically extends our patient reach as we look to expand our portfolio to new diseases beyond histaminergic science. In June 2025, we entered into a research collaboration, option and license agreement (the “CiRC Agreement”) with CiRC Biosciences, Inc. (“CiRC”), a related party. Under this agreement, Harmony and CiRC will collaborate on the research and development of two discovery-stage candidates, CBS105 for treatment-resistant narcolepsy and CBS104 for refractory epilepsy (together, the “Candidates”), using cell replacement therapy for the treatment of refractory epilepsies and treatment-resistant narcolepsy.</w:t>
      </w:r>
    </w:p>
    <w:p>
      <w:pPr>
        <w:spacing w:after="0" w:line="14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April 2024, we expanded into orexin science through a sublicense agreement with Bioprojet for an orexin 2 receptor agonist (“BP1.15205”) in preclinical development for narcolepsy and other potential indications. Under the sublicense agreement the Company obtained the exclusive right to develop, manufacture and commercialize BP1.15205 in the United States and Latin American territories, which are rights originally licensed from Teijin Pharma, the innovator of BP1.15205. We further broadened our portfolio into rare epilepsy when the Company acquired Epygenix Therapeutics, Inc. (“Epygenix”) in April 2024. As a result, the Company now has an exclusive license relating to the use of clemizole hydrochloride, initially for the treatment of Dravet Syndrome (“DS”) and Lennox-Gastaut Syndrome (“LGS”), and a liquid formulation of lorcaserin for the treatment of developmental and epileptic encephalopathies</w:t>
      </w:r>
      <w:r>
        <w:rPr>
          <w:rFonts w:ascii="Arial" w:cs="Arial" w:eastAsia="Arial" w:hAnsi="Arial"/>
          <w:sz w:val="18"/>
          <w:szCs w:val="18"/>
          <w:color w:val="212529"/>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LIQUIDITY AND CAPITAL RESOURCES</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consolidated financial statements have been prepared as though the Company will continue as a going concern, which contemplates the realization of assets and satisfaction of liabilities in the normal course of business.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Company had retained earnings of $160,903 and $2,216, as of December 31, 2025, and 2024, respectively. As of December 31, 2025, the Company had cash, cash equivalents and investments of $882,467.</w:t>
      </w:r>
    </w:p>
    <w:p>
      <w:pPr>
        <w:spacing w:after="0" w:line="15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Company believes that its existing cash, cash equivalents and investments on hand as of December 31, 2025, as well as additional cash generated from operating and financing activities will meet its operational liquidity needs and fund potential investing activities for at least the next twelve months from the date of issuance of these consolidated financial statements.</w:t>
      </w:r>
    </w:p>
    <w:p>
      <w:pPr>
        <w:spacing w:after="0" w:line="174" w:lineRule="exact"/>
        <w:rPr>
          <w:sz w:val="20"/>
          <w:szCs w:val="20"/>
          <w:color w:val="auto"/>
        </w:rPr>
      </w:pPr>
    </w:p>
    <w:p>
      <w:pPr>
        <w:ind w:left="660" w:right="5140" w:hanging="652"/>
        <w:spacing w:after="0" w:line="485" w:lineRule="auto"/>
        <w:tabs>
          <w:tab w:leader="none" w:pos="21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firstLine="648"/>
        <w:spacing w:after="0" w:line="253"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Reclassifications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212529"/>
        </w:rPr>
        <w:t>Certain prior period amounts within the consolidated balance sheets have been reclassified to conform to current period presentation. In particular, restricted cash and property, plant and equipment were previously classified as separate captions and are now included within other noncurrent assets. The reclassification of these items had no impact on net income, earnings per share or accumulated deficit in current or prior periods.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Significant Risks and Uncertainties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competition from products manufactured and sold or being developed by other companies; the price of, and demand for, the Company’s products, if approved; the Company’s ability to negotiate favorable licensing or other manufacturing and marketing agreements for its product candidates; and the Company’s ability to raise capital.</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Company currently has one commercially approved product, WAKIX, and there can be no assurance that the Company’s research and development efforts will result in successfully commercialized products in addition to WAKIX.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9"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disclosures in the consolidated financial statements, including the notes thereto, and elsewhere in this report. Actual results may differ significantly from estimates, which include rebates due pursuant to commercial and government contracts, accrued research and development expenses, stock-based compensation expense and income taxes.</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Operating Segments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Company holds all its tangible assets, conducts its operations, and generates its revenue in the U.S. Operating segments which are defined as components of an entity for which separate financial information is available and that is regularly reviewed by the Chief Operating Decision Maker (“CODM”) in deciding how to allocate resources to an individual segment and in assessing performance. The Company has determined it operates in a single operating segment and, therefore, has one reportable segment.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Company’s consolidated financial statements include cash, cash equivalents, accounts receivable, other current assets, accounts payable, and accrued liabilities, all of which are short term in nature and, accordingly, approximate fair value.</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It is the Company’s policy to measure non-financial assets and liabilities at fair value on a nonrecurring basis. These non-financial assets and liabilities are not measured at fair value on an ongoing basis but are subject to fair value adjustments in certain circumstances (such as evidence of impairment), which, if material, are disclosed in the accompanying footnotes.</w:t>
      </w:r>
    </w:p>
    <w:p>
      <w:pPr>
        <w:spacing w:after="0" w:line="17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The Company measures certain assets and liabilities at fair value based on the fair value hierarchy that prioritizes inputs to valuation techniques used to measure fair value into three levels based on the source of inputs as follows: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2—Valuations based on observable inputs and quoted prices in active markets for similar assets and liabilities.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3—Valuations based on unobservable inputs and models that are supported by little or no market activity.</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 other pricing sources. The Company did not classify any assets or liabilities as Level 3 as of December 31, 2025, or December 31, 2024.</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Cash and cash equivalents and restricted cash consist of cash and, if applicable, highly liquid investments with an original maturity of three months or less when purchased, including investments in money market funds and debt securities that approximate fair value. The following table provides a reconciliation of cash, cash equivalents, and restricted cash reported within the balance sheet and in the statements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ind w:left="726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80" w:type="dxa"/>
            <w:vAlign w:val="bottom"/>
            <w:tcBorders>
              <w:bottom w:val="single" w:sz="8" w:color="auto"/>
            </w:tcBorders>
          </w:tcPr>
          <w:p>
            <w:pPr>
              <w:spacing w:after="0"/>
              <w:rPr>
                <w:sz w:val="14"/>
                <w:szCs w:val="14"/>
                <w:color w:val="auto"/>
              </w:rPr>
            </w:pPr>
          </w:p>
        </w:tc>
      </w:tr>
      <w:tr>
        <w:trPr>
          <w:trHeight w:val="146"/>
        </w:trPr>
        <w:tc>
          <w:tcPr>
            <w:tcW w:w="7400" w:type="dxa"/>
            <w:vAlign w:val="bottom"/>
          </w:tcPr>
          <w:p>
            <w:pPr>
              <w:ind w:left="7260"/>
              <w:spacing w:after="0" w:line="147"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320" w:type="dxa"/>
            <w:vAlign w:val="bottom"/>
            <w:gridSpan w:val="2"/>
          </w:tcPr>
          <w:p>
            <w:pPr>
              <w:jc w:val="right"/>
              <w:ind w:right="30"/>
              <w:spacing w:after="0" w:line="147"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57"/>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74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2024</w:t>
            </w: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752,502</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453,001</w:t>
            </w:r>
          </w:p>
        </w:tc>
      </w:tr>
      <w:tr>
        <w:trPr>
          <w:trHeight w:val="203"/>
        </w:trPr>
        <w:tc>
          <w:tcPr>
            <w:tcW w:w="74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Restricted cash included in other noncurrent assets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w:t>
            </w: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w:t>
            </w:r>
          </w:p>
        </w:tc>
      </w:tr>
      <w:tr>
        <w:trPr>
          <w:trHeight w:val="196"/>
        </w:trPr>
        <w:tc>
          <w:tcPr>
            <w:tcW w:w="7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cash, cash equivalents, and restricted cash shown in the statements of cash flows</w:t>
            </w:r>
          </w:p>
        </w:tc>
        <w:tc>
          <w:tcPr>
            <w:tcW w:w="24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752,772</w:t>
            </w:r>
          </w:p>
        </w:tc>
        <w:tc>
          <w:tcPr>
            <w:tcW w:w="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453,271</w:t>
            </w: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Restricted cash includes amounts required to be held as a security deposit in the form of letters of credit for the Company’s credit card program and the fleet program.</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Investments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Company’s investments consist of debt securities that are classified as available-for-sale. Short-term and long-term investments are carried at fair value and unrealized gains and losses are recorded as a component of accumulated comprehensive income in stockholders’ equity. The amortization of premiums and accretion of discounts adjust the carrying value of investments and are recorded in interest expense on the consolidated statements of operations and comprehensive income. Interest income and realized gains and losses, if any, are also recorded in interest income on the consolidated statement of operations and comprehensive income. Realized gains and losses that result from the sale of investments are determined on a specific identification basis.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each reporting period, the Company reviews any unrealized losses position to determine if the decline in the fair value of the underlying investments is a result of credit losses or other factors. If the assessment indicates that a credit loss exists, any impairment is recognized as an allowance for credit losses in our consolidated statement of operations.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Concentrations of Risk</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Substantially all of the Company’s cash and money market funds are held in five financial institutions. Due to their size, the Company believes these financial institutions represent minimal credit risk. Deposits may exceed the amount of insurance provided on such deposits by the Federal Deposit Insurance Corporation for U.S. institutions. The Company has not experienced any losses on its deposits of cash and cash equivalents. The Company believes that it is not exposed to significant credit risk due to the financial position of the depository institutions in which those deposits are held.</w:t>
      </w:r>
    </w:p>
    <w:p>
      <w:pPr>
        <w:spacing w:after="0" w:line="17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Company is subject to credit risk from its trade receivables related to its product sales. The Company extends credit to specialty pharmaceutical distribution companies within the United States. Customer creditworthiness is monitored and collateral is not required. Historically, the Company has not experienced credit losses on its accounts receivable. The Company monitors its exposure within accounts receivable and would record a reserve against uncollectible accounts receivable if necessary. As of December 31, 2025, three customers accounted for 100% of gross accounts receivable, Accredo Health Group, Inc. (“Accredo”), which accounted for 45% of gross accounts receivable; Caremark LLC (“CVS Caremark”), which accounted for 36% of gross accounts receivable; and PANTHERx Specialty Pharmacy LLC (“PANTHERx”), which accounted for 19% of gross accounts receivable. As of December 31, 2024, three customers accounted for 100% of gross accounts receivable; CVS Caremark, which accounted for 39% of gross accounts receivable, PANTHERx, which accounted for 31% of gross accounts receivable and Accredo, which accounted for 30% of gross accounts receivable.</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For the year ended December 31, 2025, three customers accounted for 100% of gross product revenue; CVS Caremark accounted for 38% of gross product revenue; Accredo accounted for 36% of gross product revenue; and PANTHERx accounted for 26% of gross product revenue. For the year ended December 31, 2024, three customers accounted for 100% of gross product revenue; CVS Caremark accounted for 39% of gross product revenue; Accredo accounted for 34% of gross product revenue; and PANTHERx accounted for 27% of gross product revenue. For the year ended December 31, 2023, three customers accounted for 100% of gross product revenue; CVS Caremark accounted for 37% of gross product revenue; Accredo accounted for 32% of gross product revenue; and PANTHERx accounted for 31% of gross product revenue.</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The Company depends on two suppliers of the active pharmaceutical ingredient (“API”) for its commercial product, WAKIX, and single API suppliers for each of its potential product candidates.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Repurchases</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Company accounts for share repurchases as constructive retirements, whereby it reduces common stock and additional paid-in capital by the amount of the original issuance, with any excess purchase price recorded as a reduction to retained earnings. Under this method, issued and outstanding shares of common stock are reduced by the amount of shares of common stock repurchased, and no treasury stock is recognized on the condensed consolidated financial statements.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Inventory</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Inventory is valued at the lower of cost or net realizable value. Cost is determined using the specific identification method for all inventory. Our policy is to write down inventory that has become obsolete, that has a cost basis in excess of its expected net realizable value and/or that we have quantities in excess of expected future demand. The estimate of excess quantities is subjective and primarily dependent on our estimates of future demand. If our estimate of future demand changes, we consider the impact on the reserve for excess inventory and adjust the reserve as required. Inventory reserves are recorded as a component of cost of product sold in our consolidated statement of operations.</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may capitalize inventory costs associated with products prior to regulatory approval when future commercialization is probable.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Property and Equipment</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generally between three and ten years. Leasehold improvements are depreciated using the straight-line method over the shorter of the estimated useful life of the asset or the term of the lease. The Company’s leasehold improvements primarily relate to its corporate headquarters in Plymouth Meeting, PA, and have been fully depreciated as of December 31, 2025. When assets are retired or otherwise disposed of, the cost and accumulated depreciation are removed from the balance sheet and any resulting gain or loss is reflected in the consolidated statement of operations and comprehensive income (loss) in the period realized.</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Intangible Assets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Intangible assets with finite useful lives consist primarily of purchased developed technology and are amortized on a straight-line basis over their estimated useful lives. The estimated useful lives associated with finite-lived intangible assets are consistent with the estimated lives of the associated products and may be modified when circumstances warrant. Such assets are reviewed for impairment when events or circumstances indicate that the carrying value of an asset may not be recoverable. An impairment loss would be recognized when estimated undiscounted future cash flows expected to result from the use of an asset and its eventual disposition are less than its carrying amount. The amount of any impairment is measured as the difference between the carrying amount and the fair value of the impaired asset.</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 Recognition</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account for contracts with our customers in accordance with ASC 606, Revenue from Contracts with Customers (ASC 606).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we transfer to the customer. The amount of variable consideration which is included in the transaction price may be constrained and is included in the net sales price only to the extent that it is probable that a significant reversal in the amount of the cumulative revenue recognized under contracts will not occur in a future period. Our analyses contemplate the application of the constraint in accordance with ASC 606.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spacing w:after="0" w:line="18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have determined that the delivery of our product to our customer constitutes a single performance obligation as there are no other promises to deliver goods or services in contracts with our customers. Shipping and handling activities are considered to be fulfilment activities and are not considered to be a separate performance obligation. The payment terms with our customers do not exceed one year and therefore, no amount of consideration has been allocated as a financing component. Taxes collected related to product sales are remitted to governmental authorities and are excluded from revenue.</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recognize revenue from sales of WAKIX when the customers, specialty pharmacies, obtain control of the product which occurs at a point in time, typically upon delivery. Product revenue is recorded at the product’s list price, and is reduced from the product’s list price at the time of recognition for variable consideration that are offered within contracts between us and our customers, payors, and other indirect customers relating to the sale of WAKIX. Components of variable consideration include government (as detailed below) and commercial contracts, commercial co-payment assistance program, and distribution service fees. These deductions are based on the amounts earned, or to be claimed on the related sales, and are classified as a current liability or reduction of receivables in our consolidated balance sheet.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Contracts</w:t>
      </w:r>
    </w:p>
    <w:p>
      <w:pPr>
        <w:spacing w:after="0" w:line="21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have entered into contracts (i) to participate in the Medicaid Drug Rebate Program and the Medicare Part D program, and (ii) to sell to the U.S. Department of Veterans Affairs, 340b entities and other government agencies, or government payors, so that WAKIX will be eligible for purchase by, in partial or full reimbursement from, such government payors. We record reserves for rebates due pursuant to these contracts as a reduction of revenue in the same period in which the revenue is recognized. The liability for government rebates is included in accrued expenses in our consolidated balance sheet.</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We estimate rebates due pursuant to government contracts based upon our historical payment trends, information obtained from third parties estimating current payment trends, the government-mandated discounts applicable to government-funded programs, as well as information obtained from our customers. The liability for these government rebates consists of estimates of claims for WAKIX dispensed in the current period, plus an estimate for product which has shipped and has been recognized as revenue but remains in the distribution channel at the end of a reporting period.</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Sold</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Cost of product sold includes manufacturing and distribution costs, the cost of drug substance, FDA program fees, royalties due to third parties on net product sales, freight, shipping, handling, storage costs, and salaries of employees involved with production.</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Research and development costs are expensed as incurred. Liabilities due to third parties in connection with research and development collaborations prior to regulatory approval are expensed as incurred.</w:t>
      </w:r>
    </w:p>
    <w:p>
      <w:pPr>
        <w:spacing w:after="0" w:line="15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Upfront payments and pre-FDA approval milestone payments made for licensing of technology are expensed as research and development in the period in which they are incurred. Advance payments for goods and services to be received in the future for use in research and development activities are recorded as prepaid expenses. The prepaid amounts are expensed as the related goods are delivered or the services are performed.</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Advertising Expenses</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expense the costs of advertising, including promotional expenses, as incurred. Advertising expenses were $29,526, $27,556 and $21,544 for the years ended December 31, 2025, 2024 and 2023, respectively.</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 recognizes stock-based compensation expense in operating results using a fair value measurement method, in accordance with FASB ASC 718, Compensation-Stock Compensation. ASC 718 requires all stock-based payments to employees to be recognized in operating results as compensation expense based on fair value over the requisite service period of the awards. The vesting periods have a time-based provision consisting of one to five years and expire no more than 10 years after the date of grant. Upon a change of control, certain unvested awards will immediately vest. The Company determines the fair value of stock-based awards on their grant date using the Black-Scholes option-pricing model, which uses both historical and current market data to estimate fair value. The method incorporates various assumptions, such as the risk-free interest rate, expected volatility, expected dividend yield, and expected life of the options. The Company recognizes forfeitures as they occur.</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Basic and Diluted Net Income per Share</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Basic net income per share is determined using the weighted average number of shares of common stock outstanding during each period. Diluted net income per share includes the effect, if any, from the potential exercise or conversion of securities, such as stock options, and warrants which would result in the issuance of incremental shares of common stock.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Deferred tax assets may be reduced by a valuation allowance if, based on all available evidence, it is more likely than not that some portion or all of the deferred income tax assets will not be realized. Management judgment is required in determining the period in which a reversal of a valuation allowance should occur. The Company is required to consider all available evidence, both positive and negative, such as historical levels of income and future forecasts of taxable income among other items, in determining whether a full or partial release of its valuation allowance is required. Our accounting for deferred tax consequences represents the best estimate of those future events. The Company presents deferred income taxes on the Consolidated Balance Sheet on a jurisdictional basis as either a net noncurrent asset or liability.</w:t>
      </w:r>
    </w:p>
    <w:p>
      <w:pPr>
        <w:spacing w:after="0" w:line="18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sustainable, based solely on its technical merits and consideration of the relevant taxing authority’s widely understood administrative practices and precedents. Recognized income tax positions are measured at the largest amount that is greater than 50% likely of being realized. Changes in recognition or measurement are reflected in the period in which a change in judgment occurs. At December 31, 2025, and 2024, the Company did not have any unrecognized uncertain tax positions. The Company’s policy is to include any interest and penalties as a component of income tax expense.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Business Combinations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Business combinations and asset acquisitions are accounted for in accordance with FASB ASC 805 Business Combinations. Refer to Note 4, </w:t>
      </w:r>
      <w:r>
        <w:rPr>
          <w:rFonts w:ascii="Arial" w:cs="Arial" w:eastAsia="Arial" w:hAnsi="Arial"/>
          <w:sz w:val="18"/>
          <w:szCs w:val="18"/>
          <w:i w:val="1"/>
          <w:iCs w:val="1"/>
          <w:color w:val="auto"/>
        </w:rPr>
        <w:t>Acquisitions</w:t>
      </w:r>
      <w:r>
        <w:rPr>
          <w:rFonts w:ascii="Arial" w:cs="Arial" w:eastAsia="Arial" w:hAnsi="Arial"/>
          <w:sz w:val="18"/>
          <w:szCs w:val="18"/>
          <w:color w:val="auto"/>
        </w:rPr>
        <w:t>, for a more detailed discussion of the Company’s acquisition of Zynerba and Epygenix.</w:t>
      </w:r>
    </w:p>
    <w:p>
      <w:pPr>
        <w:spacing w:after="0" w:line="15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In November 2023, the FASB issued Accounting Standards Update (“ASU”) No. 2023-07, </w:t>
      </w:r>
      <w:r>
        <w:rPr>
          <w:rFonts w:ascii="Arial" w:cs="Arial" w:eastAsia="Arial" w:hAnsi="Arial"/>
          <w:sz w:val="18"/>
          <w:szCs w:val="18"/>
          <w:i w:val="1"/>
          <w:iCs w:val="1"/>
          <w:color w:val="auto"/>
        </w:rPr>
        <w:t>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Reportable Segment Disclosures </w:t>
      </w:r>
      <w:r>
        <w:rPr>
          <w:rFonts w:ascii="Arial" w:cs="Arial" w:eastAsia="Arial" w:hAnsi="Arial"/>
          <w:sz w:val="18"/>
          <w:szCs w:val="18"/>
          <w:color w:val="auto"/>
        </w:rPr>
        <w:t>(“ASU 2023-07”). ASU 2023-07 is intended to improve reportable segment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through enhanced disclosure of reportable segment expenses and requires that a public entity that has a single reportable segment provide all the disclosures required by ASU 2023-07 and all existing segment disclosures in Topic 280. This ASU was effective for annual reporting periods beginning after December 15, 2023, and interim periods within fiscal years beginning after December 15, 2024. Early adoption was permitted. ASU 2023-07 was required to be applied retrospectively to all prior periods presented in the financial statements. The Company adopted this guidance in the fourth quarter of 2024. This pronouncement addresses disclosures only and had no impact on its consolidated financial results.</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7"/>
          <w:szCs w:val="17"/>
          <w:color w:val="auto"/>
        </w:rPr>
        <w:t xml:space="preserve">In December 2023, the FASB issued Accounting Standards Update (“ASU”) No 2023-09,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Improvements to Income Tax Disclosures” </w:t>
      </w:r>
      <w:r>
        <w:rPr>
          <w:rFonts w:ascii="Arial" w:cs="Arial" w:eastAsia="Arial" w:hAnsi="Arial"/>
          <w:sz w:val="17"/>
          <w:szCs w:val="17"/>
          <w:color w:val="auto"/>
        </w:rPr>
        <w:t>(“ASU 2023-09”). ASU 2023-09 expands disclosures in the rate reconciliation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disclosure of income taxes paid by jurisdiction. ASU 2023-09 is effective for fiscal years beginning after December 15, 2024. Early adoption was permitted. The Company adopted this guidance in the fourth quarter of 2025 on a prospective basis. This pronouncement addresses disclosures only and had no impact on its consolidated financial results.</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Statement—Reporting Comprehensive Income—</w:t>
      </w:r>
      <w:r>
        <w:rPr>
          <w:rFonts w:ascii="Arial" w:cs="Arial" w:eastAsia="Arial" w:hAnsi="Arial"/>
          <w:sz w:val="18"/>
          <w:szCs w:val="18"/>
          <w:color w:val="auto"/>
        </w:rPr>
        <w:t xml:space="preserve"> </w:t>
      </w:r>
      <w:r>
        <w:rPr>
          <w:rFonts w:ascii="Arial" w:cs="Arial" w:eastAsia="Arial" w:hAnsi="Arial"/>
          <w:sz w:val="18"/>
          <w:szCs w:val="18"/>
          <w:i w:val="1"/>
          <w:iCs w:val="1"/>
          <w:color w:val="auto"/>
        </w:rPr>
        <w:t>Expense Disaggregation Disclosures (Subtopic 220-40)</w:t>
      </w:r>
      <w:r>
        <w:rPr>
          <w:rFonts w:ascii="Arial" w:cs="Arial" w:eastAsia="Arial" w:hAnsi="Arial"/>
          <w:sz w:val="18"/>
          <w:szCs w:val="18"/>
          <w:color w:val="auto"/>
        </w:rPr>
        <w:t>. ASU 2024-03 requires disclosure, in the notes to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specified information about certain costs and expenses, including amounts of purchases of inventory, employee compensation, depreciation, and intangible asset amortization included in each relevant expense caption, as well as a qualitative description of amounts remaining in relevant expense captions that are not separately disaggregated quantitatively. ASU 2024-03 also requires disclosure of the total amount of selling expenses and, in annual periods, an entity’s definition of selling expenses. ASU 2024-03 is effective for fiscal years beginning after December 15, 2026,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interim periods within fiscal years beginning after December 15, 2027. The guidance may be applied prospectively or retrospectively. Early adoption is permitted. The Company is currently evaluating the impact that ASU 2024-03 will have on its consolidated financial statements.</w:t>
      </w:r>
    </w:p>
    <w:p>
      <w:pPr>
        <w:spacing w:after="0" w:line="15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Targeted Improvements to the Accounting for Internal -Use</w:t>
      </w:r>
      <w:r>
        <w:rPr>
          <w:rFonts w:ascii="Arial" w:cs="Arial" w:eastAsia="Arial" w:hAnsi="Arial"/>
          <w:sz w:val="18"/>
          <w:szCs w:val="18"/>
          <w:color w:val="auto"/>
        </w:rPr>
        <w:t xml:space="preserve"> </w:t>
      </w:r>
      <w:r>
        <w:rPr>
          <w:rFonts w:ascii="Arial" w:cs="Arial" w:eastAsia="Arial" w:hAnsi="Arial"/>
          <w:sz w:val="18"/>
          <w:szCs w:val="18"/>
          <w:i w:val="1"/>
          <w:iCs w:val="1"/>
          <w:color w:val="auto"/>
        </w:rPr>
        <w:t>Software</w:t>
      </w:r>
      <w:r>
        <w:rPr>
          <w:rFonts w:ascii="Arial" w:cs="Arial" w:eastAsia="Arial" w:hAnsi="Arial"/>
          <w:sz w:val="18"/>
          <w:szCs w:val="18"/>
          <w:color w:val="auto"/>
        </w:rPr>
        <w:t>. ASU 2025-06 makes targeted improvements to accounting for and disclosure of software costs under ASC 350-</w:t>
      </w:r>
    </w:p>
    <w:p>
      <w:pPr>
        <w:jc w:val="both"/>
        <w:ind w:firstLine="8"/>
        <w:spacing w:after="0"/>
        <w:tabs>
          <w:tab w:leader="none" w:pos="34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ASU is effective for all entities for annual reporting periods beginning after December 15, 2027, and interim reporting periods within those annual reporting periods. The guidance may be adopted prospectively, retrospectively, or via a modified prospective transition method. Early adoption is permitted. The Company is currently evaluating the impact that ASU 2025-06 will have on its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of Zynerba</w:t>
      </w:r>
    </w:p>
    <w:p>
      <w:pPr>
        <w:spacing w:after="0" w:line="21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October 2023, the Company completed a tender offer to purchase the outstanding common stock of Zynerba (“Zynerba Common Stock”) for (i) $1.1059 per share of Zynerba Common Stock (the “Common Cash Amount”), plus (ii) one contingent value right (each, a “CVR”) per share of Zynerba Common Stock (the “Common CVR Amount”), which represents the right to receive up to approximately $2.5444 per share of Zynerba Common Stock, subject to the achievement of certain clinical, regulatory and sales-based milestones. The Common CVR Amounts are to be paid in cash, subject to any applicable withholding of taxes and without interest. The aggregate amount of consideration to acquire Zynerba Common Stock was $60,000, excluding transaction-related fees of $2,645 and was paid by the Company using cash on hand.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purchase consideration for Zynerba was as follows:</w:t>
      </w:r>
    </w:p>
    <w:p>
      <w:pPr>
        <w:sectPr>
          <w:pgSz w:w="11900" w:h="16838" w:orient="portrait"/>
          <w:cols w:equalWidth="0" w:num="1">
            <w:col w:w="9920"/>
          </w:cols>
          <w:pgMar w:left="980" w:top="661" w:right="999"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Cash consideration paid to selling shareholders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-131445</wp:posOffset>
            </wp:positionV>
            <wp:extent cx="6292215"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39" w:lineRule="auto"/>
        <w:rPr>
          <w:sz w:val="20"/>
          <w:szCs w:val="20"/>
          <w:color w:val="auto"/>
        </w:rPr>
      </w:pPr>
      <w:r>
        <w:rPr>
          <w:rFonts w:ascii="Arial" w:cs="Arial" w:eastAsia="Arial" w:hAnsi="Arial"/>
          <w:sz w:val="20"/>
          <w:szCs w:val="20"/>
          <w:color w:val="auto"/>
        </w:rPr>
        <w:t>Cash consideration paid to settle Zynerba restricted stock awards ("RSAs") as stock options (ii) 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-150495</wp:posOffset>
            </wp:positionV>
            <wp:extent cx="629221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Total purchase consideration</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511" w:hanging="511"/>
        <w:spacing w:after="0"/>
        <w:tabs>
          <w:tab w:leader="none" w:pos="511" w:val="left"/>
        </w:tabs>
        <w:numPr>
          <w:ilvl w:val="0"/>
          <w:numId w:val="51"/>
        </w:numPr>
        <w:rPr>
          <w:rFonts w:ascii="Arial" w:cs="Arial" w:eastAsia="Arial" w:hAnsi="Arial"/>
          <w:sz w:val="20"/>
          <w:szCs w:val="20"/>
          <w:color w:val="auto"/>
        </w:rPr>
      </w:pPr>
      <w:r>
        <w:rPr>
          <w:rFonts w:ascii="Arial" w:cs="Arial" w:eastAsia="Arial" w:hAnsi="Arial"/>
          <w:sz w:val="20"/>
          <w:szCs w:val="20"/>
          <w:color w:val="auto"/>
        </w:rPr>
        <w:t>55,960</w:t>
      </w:r>
    </w:p>
    <w:p>
      <w:pPr>
        <w:spacing w:after="0" w:line="4" w:lineRule="exact"/>
        <w:rPr>
          <w:rFonts w:ascii="Arial" w:cs="Arial" w:eastAsia="Arial" w:hAnsi="Arial"/>
          <w:sz w:val="20"/>
          <w:szCs w:val="20"/>
          <w:color w:val="auto"/>
        </w:rPr>
      </w:pPr>
    </w:p>
    <w:p>
      <w:pPr>
        <w:ind w:left="631"/>
        <w:spacing w:after="0" w:line="237" w:lineRule="auto"/>
        <w:rPr>
          <w:rFonts w:ascii="Arial" w:cs="Arial" w:eastAsia="Arial" w:hAnsi="Arial"/>
          <w:sz w:val="20"/>
          <w:szCs w:val="20"/>
          <w:color w:val="auto"/>
        </w:rPr>
      </w:pPr>
      <w:r>
        <w:rPr>
          <w:rFonts w:ascii="Arial" w:cs="Arial" w:eastAsia="Arial" w:hAnsi="Arial"/>
          <w:sz w:val="19"/>
          <w:szCs w:val="19"/>
          <w:color w:val="auto"/>
        </w:rPr>
        <w:t>4,040</w:t>
      </w:r>
    </w:p>
    <w:p>
      <w:pPr>
        <w:ind w:left="631"/>
        <w:spacing w:after="0"/>
        <w:rPr>
          <w:rFonts w:ascii="Arial" w:cs="Arial" w:eastAsia="Arial" w:hAnsi="Arial"/>
          <w:sz w:val="20"/>
          <w:szCs w:val="20"/>
          <w:color w:val="auto"/>
        </w:rPr>
      </w:pPr>
      <w:r>
        <w:rPr>
          <w:rFonts w:ascii="Arial" w:cs="Arial" w:eastAsia="Arial" w:hAnsi="Arial"/>
          <w:sz w:val="19"/>
          <w:szCs w:val="19"/>
          <w:color w:val="auto"/>
        </w:rPr>
        <w:t>2,645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7543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511" w:hanging="511"/>
        <w:spacing w:after="0"/>
        <w:tabs>
          <w:tab w:leader="none" w:pos="511" w:val="left"/>
        </w:tabs>
        <w:numPr>
          <w:ilvl w:val="0"/>
          <w:numId w:val="52"/>
        </w:numPr>
        <w:rPr>
          <w:rFonts w:ascii="Arial" w:cs="Arial" w:eastAsia="Arial" w:hAnsi="Arial"/>
          <w:sz w:val="20"/>
          <w:szCs w:val="20"/>
          <w:color w:val="auto"/>
        </w:rPr>
      </w:pPr>
      <w:r>
        <w:rPr>
          <w:rFonts w:ascii="Arial" w:cs="Arial" w:eastAsia="Arial" w:hAnsi="Arial"/>
          <w:sz w:val="20"/>
          <w:szCs w:val="20"/>
          <w:color w:val="auto"/>
        </w:rPr>
        <w:t>62,645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7543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7543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320" w:space="409"/>
            <w:col w:w="1191"/>
          </w:cols>
          <w:pgMar w:left="980" w:top="661" w:right="999" w:bottom="1440" w:gutter="0" w:footer="0" w:header="0"/>
          <w:type w:val="continuous"/>
        </w:sectPr>
      </w:pPr>
    </w:p>
    <w:p>
      <w:pPr>
        <w:spacing w:after="0" w:line="216" w:lineRule="exact"/>
        <w:rPr>
          <w:sz w:val="20"/>
          <w:szCs w:val="20"/>
          <w:color w:val="auto"/>
        </w:rPr>
      </w:pPr>
    </w:p>
    <w:p>
      <w:pPr>
        <w:ind w:left="1340" w:hanging="657"/>
        <w:spacing w:after="0" w:line="271" w:lineRule="auto"/>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cash consideration paid to selling shareholders was determined based on the total number of Zynerba shares tendered at closing of 50,602,656 at a per share price of $1.1059.</w:t>
      </w:r>
    </w:p>
    <w:p>
      <w:pPr>
        <w:spacing w:after="0" w:line="153" w:lineRule="exact"/>
        <w:rPr>
          <w:rFonts w:ascii="Arial" w:cs="Arial" w:eastAsia="Arial" w:hAnsi="Arial"/>
          <w:sz w:val="18"/>
          <w:szCs w:val="18"/>
          <w:color w:val="auto"/>
        </w:rPr>
      </w:pPr>
    </w:p>
    <w:p>
      <w:pPr>
        <w:jc w:val="both"/>
        <w:ind w:left="1340" w:hanging="657"/>
        <w:spacing w:after="0" w:line="253" w:lineRule="auto"/>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cash consideration paid to settle Zynerba restricted stock awards (“RSAs”) and stock options under Zynerba equity incentive plans was determined based on the total number of underlying shares of 4,000,169 at a per share price of $1.1059, less exercise price for the stock options.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consideration was paid during the year ended December 31, 2023.</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212529"/>
        </w:rPr>
        <w:t>The Zynerba Acquisition was accounted for as an asset acquisition under ASC Topic 805, Business Combinations, because substantially all of the fair value of the gross assets acquired was concentrated in a single identifiable IPR&amp;D asset, ZYN002, Zynerba’s lead asset. The Company recognized the acquired assets and assumed liabilities based on the consideration paid, including transaction costs, on a relative fair value basis, and after first allocating the preliminary excess of the fair value of net assets acquired over the purchase price consideration to certain qualifying assets, principally, the IPR&amp;D asset. The guidance in ASC Topic 730 Research and Development requires that both tangible and intangible identifiable research and development assets with no alternative future use be allocated a portion of the consideration transferred and recorded as research and development expense at the acquisition date. As a result, the Company recorded a charge of $2,260 related to acquired in-process research and development expense related to the ZYN002 IPR&amp;D asset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12529"/>
        </w:rPr>
        <w:t>The following table shows the allocation of the purchase consideration based on the relative fair value of assets acquired and liabilities assumed by the Company, after reducing the excess fair value of the IPR&amp;D asset as described above: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Assets acquired</w:t>
            </w: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6"/>
        </w:trPr>
        <w:tc>
          <w:tcPr>
            <w:tcW w:w="7820" w:type="dxa"/>
            <w:vAlign w:val="bottom"/>
          </w:tcPr>
          <w:p>
            <w:pPr>
              <w:spacing w:after="0" w:line="216" w:lineRule="exact"/>
              <w:rPr>
                <w:sz w:val="20"/>
                <w:szCs w:val="20"/>
                <w:color w:val="auto"/>
              </w:rPr>
            </w:pPr>
            <w:r>
              <w:rPr>
                <w:rFonts w:ascii="Arial" w:cs="Arial" w:eastAsia="Arial" w:hAnsi="Arial"/>
                <w:sz w:val="20"/>
                <w:szCs w:val="20"/>
                <w:color w:val="auto"/>
              </w:rPr>
              <w:t>Cash and cash equivalents</w:t>
            </w:r>
          </w:p>
        </w:tc>
        <w:tc>
          <w:tcPr>
            <w:tcW w:w="780" w:type="dxa"/>
            <w:vAlign w:val="bottom"/>
          </w:tcPr>
          <w:p>
            <w:pPr>
              <w:jc w:val="right"/>
              <w:ind w:right="561"/>
              <w:spacing w:after="0" w:line="216" w:lineRule="exact"/>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line="216" w:lineRule="exact"/>
              <w:rPr>
                <w:sz w:val="20"/>
                <w:szCs w:val="20"/>
                <w:color w:val="auto"/>
              </w:rPr>
            </w:pPr>
            <w:r>
              <w:rPr>
                <w:rFonts w:ascii="Arial" w:cs="Arial" w:eastAsia="Arial" w:hAnsi="Arial"/>
                <w:sz w:val="20"/>
                <w:szCs w:val="20"/>
                <w:color w:val="auto"/>
              </w:rPr>
              <w:t>25,658</w:t>
            </w:r>
          </w:p>
        </w:tc>
      </w:tr>
      <w:tr>
        <w:trPr>
          <w:trHeight w:val="216"/>
        </w:trPr>
        <w:tc>
          <w:tcPr>
            <w:tcW w:w="78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Prepaid expenses and other current assets</w:t>
            </w:r>
          </w:p>
        </w:tc>
        <w:tc>
          <w:tcPr>
            <w:tcW w:w="7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3,540</w:t>
            </w:r>
          </w:p>
        </w:tc>
      </w:tr>
      <w:tr>
        <w:trPr>
          <w:trHeight w:val="216"/>
        </w:trPr>
        <w:tc>
          <w:tcPr>
            <w:tcW w:w="7820" w:type="dxa"/>
            <w:vAlign w:val="bottom"/>
          </w:tcPr>
          <w:p>
            <w:pPr>
              <w:spacing w:after="0" w:line="216" w:lineRule="exact"/>
              <w:rPr>
                <w:sz w:val="20"/>
                <w:szCs w:val="20"/>
                <w:color w:val="auto"/>
              </w:rPr>
            </w:pPr>
            <w:r>
              <w:rPr>
                <w:rFonts w:ascii="Arial" w:cs="Arial" w:eastAsia="Arial" w:hAnsi="Arial"/>
                <w:sz w:val="20"/>
                <w:szCs w:val="20"/>
                <w:color w:val="auto"/>
              </w:rPr>
              <w:t>Deferred tax asset</w:t>
            </w:r>
          </w:p>
        </w:tc>
        <w:tc>
          <w:tcPr>
            <w:tcW w:w="78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Arial" w:cs="Arial" w:eastAsia="Arial" w:hAnsi="Arial"/>
                <w:sz w:val="20"/>
                <w:szCs w:val="20"/>
                <w:color w:val="auto"/>
              </w:rPr>
              <w:t>44,800</w:t>
            </w:r>
          </w:p>
        </w:tc>
      </w:tr>
      <w:tr>
        <w:trPr>
          <w:trHeight w:val="216"/>
        </w:trPr>
        <w:tc>
          <w:tcPr>
            <w:tcW w:w="78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Restricted cash</w:t>
            </w:r>
          </w:p>
        </w:tc>
        <w:tc>
          <w:tcPr>
            <w:tcW w:w="7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20</w:t>
            </w:r>
          </w:p>
        </w:tc>
      </w:tr>
      <w:tr>
        <w:trPr>
          <w:trHeight w:val="216"/>
        </w:trPr>
        <w:tc>
          <w:tcPr>
            <w:tcW w:w="7820" w:type="dxa"/>
            <w:vAlign w:val="bottom"/>
            <w:tcBorders>
              <w:bottom w:val="single" w:sz="8" w:color="CCEEFF"/>
            </w:tcBorders>
          </w:tcPr>
          <w:p>
            <w:pPr>
              <w:spacing w:after="0" w:line="216" w:lineRule="exact"/>
              <w:rPr>
                <w:sz w:val="20"/>
                <w:szCs w:val="20"/>
                <w:color w:val="auto"/>
              </w:rPr>
            </w:pPr>
            <w:r>
              <w:rPr>
                <w:rFonts w:ascii="Arial" w:cs="Arial" w:eastAsia="Arial" w:hAnsi="Arial"/>
                <w:sz w:val="20"/>
                <w:szCs w:val="20"/>
                <w:color w:val="auto"/>
              </w:rPr>
              <w:t>Acquired in-process research and development</w:t>
            </w:r>
          </w:p>
        </w:tc>
        <w:tc>
          <w:tcPr>
            <w:tcW w:w="7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2,260</w:t>
            </w:r>
          </w:p>
        </w:tc>
      </w:tr>
      <w:tr>
        <w:trPr>
          <w:trHeight w:val="209"/>
        </w:trPr>
        <w:tc>
          <w:tcPr>
            <w:tcW w:w="7820" w:type="dxa"/>
            <w:vAlign w:val="bottom"/>
            <w:shd w:val="clear" w:color="auto" w:fill="CCEEFF"/>
          </w:tcPr>
          <w:p>
            <w:pPr>
              <w:spacing w:after="0" w:line="209" w:lineRule="exact"/>
              <w:rPr>
                <w:sz w:val="20"/>
                <w:szCs w:val="20"/>
                <w:color w:val="auto"/>
              </w:rPr>
            </w:pPr>
            <w:r>
              <w:rPr>
                <w:rFonts w:ascii="Arial" w:cs="Arial" w:eastAsia="Arial" w:hAnsi="Arial"/>
                <w:sz w:val="20"/>
                <w:szCs w:val="20"/>
                <w:color w:val="auto"/>
              </w:rPr>
              <w:t>Total assets acquired</w:t>
            </w:r>
          </w:p>
        </w:tc>
        <w:tc>
          <w:tcPr>
            <w:tcW w:w="780" w:type="dxa"/>
            <w:vAlign w:val="bottom"/>
            <w:tcBorders>
              <w:bottom w:val="single" w:sz="8" w:color="auto"/>
            </w:tcBorders>
            <w:shd w:val="clear" w:color="auto" w:fill="CCEEFF"/>
          </w:tcPr>
          <w:p>
            <w:pPr>
              <w:jc w:val="right"/>
              <w:ind w:right="561"/>
              <w:spacing w:after="0" w:line="209" w:lineRule="exact"/>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76,278</w:t>
            </w:r>
          </w:p>
        </w:tc>
      </w:tr>
      <w:tr>
        <w:trPr>
          <w:trHeight w:val="210"/>
        </w:trPr>
        <w:tc>
          <w:tcPr>
            <w:tcW w:w="7820" w:type="dxa"/>
            <w:vAlign w:val="bottom"/>
          </w:tcPr>
          <w:p>
            <w:pPr>
              <w:spacing w:after="0" w:line="209" w:lineRule="exact"/>
              <w:rPr>
                <w:sz w:val="20"/>
                <w:szCs w:val="20"/>
                <w:color w:val="auto"/>
              </w:rPr>
            </w:pPr>
            <w:r>
              <w:rPr>
                <w:rFonts w:ascii="Arial" w:cs="Arial" w:eastAsia="Arial" w:hAnsi="Arial"/>
                <w:sz w:val="20"/>
                <w:szCs w:val="20"/>
                <w:b w:val="1"/>
                <w:bCs w:val="1"/>
                <w:color w:val="auto"/>
              </w:rPr>
              <w:t>Liabilities assumed</w:t>
            </w: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Accounts payable</w:t>
            </w:r>
          </w:p>
        </w:tc>
        <w:tc>
          <w:tcPr>
            <w:tcW w:w="7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4,995</w:t>
            </w:r>
          </w:p>
        </w:tc>
      </w:tr>
      <w:tr>
        <w:trPr>
          <w:trHeight w:val="216"/>
        </w:trPr>
        <w:tc>
          <w:tcPr>
            <w:tcW w:w="7820" w:type="dxa"/>
            <w:vAlign w:val="bottom"/>
          </w:tcPr>
          <w:p>
            <w:pPr>
              <w:spacing w:after="0" w:line="216" w:lineRule="exact"/>
              <w:rPr>
                <w:sz w:val="20"/>
                <w:szCs w:val="20"/>
                <w:color w:val="auto"/>
              </w:rPr>
            </w:pPr>
            <w:r>
              <w:rPr>
                <w:rFonts w:ascii="Arial" w:cs="Arial" w:eastAsia="Arial" w:hAnsi="Arial"/>
                <w:sz w:val="20"/>
                <w:szCs w:val="20"/>
                <w:color w:val="auto"/>
              </w:rPr>
              <w:t>Accrued expenses and accrued compensation</w:t>
            </w:r>
          </w:p>
        </w:tc>
        <w:tc>
          <w:tcPr>
            <w:tcW w:w="78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Arial" w:cs="Arial" w:eastAsia="Arial" w:hAnsi="Arial"/>
                <w:sz w:val="20"/>
                <w:szCs w:val="20"/>
                <w:color w:val="auto"/>
              </w:rPr>
              <w:t>8,479</w:t>
            </w:r>
          </w:p>
        </w:tc>
      </w:tr>
      <w:tr>
        <w:trPr>
          <w:trHeight w:val="216"/>
        </w:trPr>
        <w:tc>
          <w:tcPr>
            <w:tcW w:w="78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Other current liabilities</w:t>
            </w:r>
          </w:p>
        </w:tc>
        <w:tc>
          <w:tcPr>
            <w:tcW w:w="7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159</w:t>
            </w:r>
          </w:p>
        </w:tc>
      </w:tr>
      <w:tr>
        <w:trPr>
          <w:trHeight w:val="210"/>
        </w:trPr>
        <w:tc>
          <w:tcPr>
            <w:tcW w:w="7820" w:type="dxa"/>
            <w:vAlign w:val="bottom"/>
            <w:tcBorders>
              <w:bottom w:val="single" w:sz="8" w:color="CCEEFF"/>
            </w:tcBorders>
          </w:tcPr>
          <w:p>
            <w:pPr>
              <w:spacing w:after="0" w:line="209" w:lineRule="exact"/>
              <w:rPr>
                <w:sz w:val="20"/>
                <w:szCs w:val="20"/>
                <w:color w:val="auto"/>
              </w:rPr>
            </w:pPr>
            <w:r>
              <w:rPr>
                <w:rFonts w:ascii="Arial" w:cs="Arial" w:eastAsia="Arial" w:hAnsi="Arial"/>
                <w:sz w:val="20"/>
                <w:szCs w:val="20"/>
                <w:color w:val="auto"/>
              </w:rPr>
              <w:t>Total liabilities assumed</w:t>
            </w:r>
          </w:p>
        </w:tc>
        <w:tc>
          <w:tcPr>
            <w:tcW w:w="780" w:type="dxa"/>
            <w:vAlign w:val="bottom"/>
            <w:tcBorders>
              <w:bottom w:val="single" w:sz="8" w:color="auto"/>
            </w:tcBorders>
          </w:tcPr>
          <w:p>
            <w:pPr>
              <w:jc w:val="right"/>
              <w:ind w:right="561"/>
              <w:spacing w:after="0" w:line="209" w:lineRule="exact"/>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13,633</w:t>
            </w:r>
          </w:p>
        </w:tc>
      </w:tr>
      <w:tr>
        <w:trPr>
          <w:trHeight w:val="209"/>
        </w:trPr>
        <w:tc>
          <w:tcPr>
            <w:tcW w:w="78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r>
      <w:tr>
        <w:trPr>
          <w:trHeight w:val="210"/>
        </w:trPr>
        <w:tc>
          <w:tcPr>
            <w:tcW w:w="7820" w:type="dxa"/>
            <w:vAlign w:val="bottom"/>
          </w:tcPr>
          <w:p>
            <w:pPr>
              <w:spacing w:after="0" w:line="209" w:lineRule="exact"/>
              <w:rPr>
                <w:sz w:val="20"/>
                <w:szCs w:val="20"/>
                <w:color w:val="auto"/>
              </w:rPr>
            </w:pPr>
            <w:r>
              <w:rPr>
                <w:rFonts w:ascii="Arial" w:cs="Arial" w:eastAsia="Arial" w:hAnsi="Arial"/>
                <w:sz w:val="20"/>
                <w:szCs w:val="20"/>
                <w:b w:val="1"/>
                <w:bCs w:val="1"/>
                <w:color w:val="auto"/>
              </w:rPr>
              <w:t>Net assets acquired</w:t>
            </w:r>
          </w:p>
        </w:tc>
        <w:tc>
          <w:tcPr>
            <w:tcW w:w="780" w:type="dxa"/>
            <w:vAlign w:val="bottom"/>
            <w:tcBorders>
              <w:bottom w:val="single" w:sz="8" w:color="auto"/>
            </w:tcBorders>
          </w:tcPr>
          <w:p>
            <w:pPr>
              <w:jc w:val="right"/>
              <w:ind w:right="561"/>
              <w:spacing w:after="0" w:line="209" w:lineRule="exact"/>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62,645</w:t>
            </w:r>
          </w:p>
        </w:tc>
      </w:tr>
      <w:tr>
        <w:trPr>
          <w:trHeight w:val="20"/>
        </w:trPr>
        <w:tc>
          <w:tcPr>
            <w:tcW w:w="7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212529"/>
        </w:rPr>
        <w:t>In September 2025, the Company achieved a clinical milestone for ZYN002 that triggered a $15,000 payment, which was paid in the fourth quarter of 2025.</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12529"/>
        </w:rPr>
        <w:t>Acquisition of Epygenix</w:t>
      </w:r>
    </w:p>
    <w:p>
      <w:pPr>
        <w:spacing w:after="0" w:line="21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212529"/>
        </w:rPr>
        <w:t>On April 30, 2024, the Company acquired all of the issued and outstanding capital stock of Epygenix pursuant to the terms of a stock purchase agreement. The Company paid the former stockholders of Epygenix up front consideration of $35,000 less a working capital adjustment. In addition, the Company will be obligated to pay up to $130,000 upon the achievement of development and regulatory milestones and up to $515,000 upon the achievement of certain sales-based milestones, in each case to Epygenix’s former stockholders. As a result, the Company now has an exclusive license relating to the use of clemizole, initially for the treatment of Dravet Syndrome and Lennox-Gastaut Syndrome.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780" w:type="dxa"/>
            <w:vAlign w:val="bottom"/>
          </w:tcPr>
          <w:p>
            <w:pPr>
              <w:ind w:left="640"/>
              <w:spacing w:after="0"/>
              <w:rPr>
                <w:sz w:val="20"/>
                <w:szCs w:val="20"/>
                <w:color w:val="auto"/>
              </w:rPr>
            </w:pPr>
            <w:r>
              <w:rPr>
                <w:rFonts w:ascii="Arial" w:cs="Arial" w:eastAsia="Arial" w:hAnsi="Arial"/>
                <w:sz w:val="18"/>
                <w:szCs w:val="18"/>
                <w:color w:val="212529"/>
              </w:rPr>
              <w:t>The total purchase consideration for Epygenix was as follows:</w:t>
            </w: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consideration paid to selling shareholders and to settle restricted stock units ("RSUs")</w:t>
            </w:r>
          </w:p>
        </w:tc>
        <w:tc>
          <w:tcPr>
            <w:tcW w:w="1060" w:type="dxa"/>
            <w:vAlign w:val="bottom"/>
            <w:gridSpan w:val="2"/>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Transaction costs</w:t>
            </w:r>
          </w:p>
        </w:tc>
        <w:tc>
          <w:tcPr>
            <w:tcW w:w="5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purchase consideration</w:t>
            </w:r>
          </w:p>
        </w:tc>
        <w:tc>
          <w:tcPr>
            <w:tcW w:w="5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212529"/>
        </w:rPr>
        <w:t>The acquisition of Epygenix was accounted for as an asset acquisition under ASC Topic 805, Business Combinations. The Company did not acquire any outputs and there was not an acquired substantive process in place to create outputs. The Company recognized the acquired assets and assumed liabilities based on the consideration paid, including transaction costs, on a relative fair value basis, and after first allocating the preliminary excess of the fair value of net assets acquired over the purchase price consideration to certain qualifying assets, principally, the IPR&amp;D asset. In accordance with the accounting for asset acquisitions, an entity that acquires IPR&amp;D assets in an asset acquisition follows the guidance in ASC Topic 730, Research and Development, which requires that both tangible and intangible identifiable research and development assets with no alternative future use be allocated a portion of the consideration transferred and recorded as research and development expense at the acquisition date. As a result, the Company recorded a charge of $17,095 related to acquired in-process research and development expense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12529"/>
        </w:rPr>
        <w:t>The following table shows the allocation of the purchase consideration based on the relative fair value of assets acquired and liabilities assumed by the Company, after reducing the excess fair value of the IPR&amp;D asset as described above: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acquired</w:t>
            </w:r>
          </w:p>
        </w:tc>
        <w:tc>
          <w:tcPr>
            <w:tcW w:w="2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Acquired in-process research and development</w:t>
            </w:r>
          </w:p>
        </w:tc>
        <w:tc>
          <w:tcPr>
            <w:tcW w:w="2820" w:type="dxa"/>
            <w:vAlign w:val="bottom"/>
            <w:gridSpan w:val="2"/>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17,095</w:t>
            </w: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w:t>
            </w:r>
          </w:p>
        </w:tc>
        <w:tc>
          <w:tcPr>
            <w:tcW w:w="2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18,268</w:t>
            </w:r>
          </w:p>
        </w:tc>
        <w:tc>
          <w:tcPr>
            <w:tcW w:w="0" w:type="dxa"/>
            <w:vAlign w:val="bottom"/>
          </w:tcPr>
          <w:p>
            <w:pPr>
              <w:spacing w:after="0"/>
              <w:rPr>
                <w:sz w:val="1"/>
                <w:szCs w:val="1"/>
                <w:color w:val="auto"/>
              </w:rPr>
            </w:pPr>
          </w:p>
        </w:tc>
      </w:tr>
      <w:tr>
        <w:trPr>
          <w:trHeight w:val="203"/>
        </w:trPr>
        <w:tc>
          <w:tcPr>
            <w:tcW w:w="60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assets</w:t>
            </w:r>
          </w:p>
        </w:tc>
        <w:tc>
          <w:tcPr>
            <w:tcW w:w="22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 acquired</w:t>
            </w:r>
          </w:p>
        </w:tc>
        <w:tc>
          <w:tcPr>
            <w:tcW w:w="22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35,953</w:t>
            </w:r>
          </w:p>
        </w:tc>
        <w:tc>
          <w:tcPr>
            <w:tcW w:w="0" w:type="dxa"/>
            <w:vAlign w:val="bottom"/>
          </w:tcPr>
          <w:p>
            <w:pPr>
              <w:spacing w:after="0"/>
              <w:rPr>
                <w:sz w:val="1"/>
                <w:szCs w:val="1"/>
                <w:color w:val="auto"/>
              </w:rPr>
            </w:pPr>
          </w:p>
        </w:tc>
      </w:tr>
      <w:tr>
        <w:trPr>
          <w:trHeight w:val="196"/>
        </w:trPr>
        <w:tc>
          <w:tcPr>
            <w:tcW w:w="604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Total liabilities assumed</w:t>
            </w:r>
          </w:p>
        </w:tc>
        <w:tc>
          <w:tcPr>
            <w:tcW w:w="22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40" w:type="dxa"/>
            <w:vAlign w:val="bottom"/>
          </w:tcPr>
          <w:p>
            <w:pPr>
              <w:spacing w:after="0" w:line="196" w:lineRule="exact"/>
              <w:rPr>
                <w:sz w:val="20"/>
                <w:szCs w:val="20"/>
                <w:color w:val="auto"/>
              </w:rPr>
            </w:pPr>
            <w:r>
              <w:rPr>
                <w:rFonts w:ascii="Arial" w:cs="Arial" w:eastAsia="Arial" w:hAnsi="Arial"/>
                <w:sz w:val="18"/>
                <w:szCs w:val="18"/>
                <w:b w:val="1"/>
                <w:bCs w:val="1"/>
                <w:color w:val="auto"/>
              </w:rPr>
              <w:t>Net assets acquired</w:t>
            </w:r>
          </w:p>
        </w:tc>
        <w:tc>
          <w:tcPr>
            <w:tcW w:w="2280" w:type="dxa"/>
            <w:vAlign w:val="bottom"/>
          </w:tcPr>
          <w:p>
            <w:pPr>
              <w:spacing w:after="0"/>
              <w:rPr>
                <w:sz w:val="17"/>
                <w:szCs w:val="17"/>
                <w:color w:val="auto"/>
              </w:rPr>
            </w:pPr>
          </w:p>
        </w:tc>
        <w:tc>
          <w:tcPr>
            <w:tcW w:w="5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33,136</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b w:val="1"/>
                <w:bCs w:val="1"/>
                <w:color w:val="auto"/>
              </w:rPr>
              <w:t>5. INVESTMENTS</w:t>
            </w:r>
          </w:p>
        </w:tc>
        <w:tc>
          <w:tcPr>
            <w:tcW w:w="2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040" w:type="dxa"/>
            <w:vAlign w:val="bottom"/>
            <w:vMerge w:val="continue"/>
          </w:tcPr>
          <w:p>
            <w:pPr>
              <w:spacing w:after="0"/>
              <w:rPr>
                <w:sz w:val="24"/>
                <w:szCs w:val="24"/>
                <w:color w:val="auto"/>
              </w:rPr>
            </w:pPr>
          </w:p>
        </w:tc>
        <w:tc>
          <w:tcPr>
            <w:tcW w:w="2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The carrying value and amortized cost of the Company’s available-for-sale debt securities, summarized by type of security,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rPr>
              <w:t>December 31, 2025</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Amortized</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Unrealized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Cost</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Gains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Losses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w:t>
            </w:r>
          </w:p>
        </w:tc>
        <w:tc>
          <w:tcPr>
            <w:tcW w:w="1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Commercial paper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7,558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1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15,261</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15,273</w:t>
            </w:r>
          </w:p>
        </w:tc>
        <w:tc>
          <w:tcPr>
            <w:tcW w:w="0" w:type="dxa"/>
            <w:vAlign w:val="bottom"/>
          </w:tcPr>
          <w:p>
            <w:pPr>
              <w:spacing w:after="0"/>
              <w:rPr>
                <w:sz w:val="1"/>
                <w:szCs w:val="1"/>
                <w:color w:val="auto"/>
              </w:rPr>
            </w:pPr>
          </w:p>
        </w:tc>
      </w:tr>
      <w:tr>
        <w:trPr>
          <w:trHeight w:val="236"/>
        </w:trPr>
        <w:tc>
          <w:tcPr>
            <w:tcW w:w="3940" w:type="dxa"/>
            <w:vAlign w:val="bottom"/>
            <w:gridSpan w:val="2"/>
          </w:tcPr>
          <w:p>
            <w:pPr>
              <w:spacing w:after="0" w:line="196" w:lineRule="exact"/>
              <w:rPr>
                <w:sz w:val="20"/>
                <w:szCs w:val="20"/>
                <w:color w:val="auto"/>
              </w:rPr>
            </w:pPr>
            <w:r>
              <w:rPr>
                <w:rFonts w:ascii="Arial" w:cs="Arial" w:eastAsia="Arial" w:hAnsi="Arial"/>
                <w:sz w:val="18"/>
                <w:szCs w:val="18"/>
                <w:color w:val="auto"/>
              </w:rPr>
              <w:t>Total short-term investments</w:t>
            </w:r>
          </w:p>
        </w:tc>
        <w:tc>
          <w:tcPr>
            <w:tcW w:w="1680" w:type="dxa"/>
            <w:vAlign w:val="bottom"/>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22,819</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w:t>
            </w:r>
          </w:p>
        </w:tc>
        <w:tc>
          <w:tcPr>
            <w:tcW w:w="180" w:type="dxa"/>
            <w:vAlign w:val="bottom"/>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22,838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9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Long-term:</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 paper</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Corporate debt securities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88,626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government securities</w:t>
            </w:r>
          </w:p>
        </w:tc>
        <w:tc>
          <w:tcPr>
            <w:tcW w:w="1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17,369</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17,447</w:t>
            </w:r>
          </w:p>
        </w:tc>
        <w:tc>
          <w:tcPr>
            <w:tcW w:w="0" w:type="dxa"/>
            <w:vAlign w:val="bottom"/>
          </w:tcPr>
          <w:p>
            <w:pPr>
              <w:spacing w:after="0"/>
              <w:rPr>
                <w:sz w:val="1"/>
                <w:szCs w:val="1"/>
                <w:color w:val="auto"/>
              </w:rPr>
            </w:pPr>
          </w:p>
        </w:tc>
      </w:tr>
      <w:tr>
        <w:trPr>
          <w:trHeight w:val="236"/>
        </w:trPr>
        <w:tc>
          <w:tcPr>
            <w:tcW w:w="3940" w:type="dxa"/>
            <w:vAlign w:val="bottom"/>
            <w:gridSpan w:val="2"/>
          </w:tcPr>
          <w:p>
            <w:pPr>
              <w:spacing w:after="0" w:line="196" w:lineRule="exact"/>
              <w:rPr>
                <w:sz w:val="20"/>
                <w:szCs w:val="20"/>
                <w:color w:val="auto"/>
              </w:rPr>
            </w:pPr>
            <w:r>
              <w:rPr>
                <w:rFonts w:ascii="Arial" w:cs="Arial" w:eastAsia="Arial" w:hAnsi="Arial"/>
                <w:sz w:val="18"/>
                <w:szCs w:val="18"/>
                <w:color w:val="auto"/>
              </w:rPr>
              <w:t>Total long-term investments</w:t>
            </w:r>
          </w:p>
        </w:tc>
        <w:tc>
          <w:tcPr>
            <w:tcW w:w="1680" w:type="dxa"/>
            <w:vAlign w:val="bottom"/>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106,800</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327</w:t>
            </w:r>
          </w:p>
        </w:tc>
        <w:tc>
          <w:tcPr>
            <w:tcW w:w="180" w:type="dxa"/>
            <w:vAlign w:val="bottom"/>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107,127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rPr>
              <w:t>December 31, 2024</w:t>
            </w: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Amortized</w:t>
            </w: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Unrealized</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Unrealized</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Cost</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Gains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9"/>
              </w:rPr>
              <w:t>Losses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w:t>
            </w:r>
          </w:p>
        </w:tc>
        <w:tc>
          <w:tcPr>
            <w:tcW w:w="1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Arial" w:cs="Arial" w:eastAsia="Arial" w:hAnsi="Arial"/>
                <w:sz w:val="18"/>
                <w:szCs w:val="18"/>
                <w:color w:val="auto"/>
              </w:rPr>
              <w:t>Commercial paper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7,670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1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0" w:type="dxa"/>
            <w:vAlign w:val="bottom"/>
          </w:tcPr>
          <w:p>
            <w:pPr>
              <w:spacing w:after="0"/>
              <w:rPr>
                <w:sz w:val="1"/>
                <w:szCs w:val="1"/>
                <w:color w:val="auto"/>
              </w:rPr>
            </w:pPr>
          </w:p>
        </w:tc>
      </w:tr>
      <w:tr>
        <w:trPr>
          <w:trHeight w:val="236"/>
        </w:trPr>
        <w:tc>
          <w:tcPr>
            <w:tcW w:w="3940" w:type="dxa"/>
            <w:vAlign w:val="bottom"/>
            <w:gridSpan w:val="2"/>
          </w:tcPr>
          <w:p>
            <w:pPr>
              <w:spacing w:after="0" w:line="196" w:lineRule="exact"/>
              <w:rPr>
                <w:sz w:val="20"/>
                <w:szCs w:val="20"/>
                <w:color w:val="auto"/>
              </w:rPr>
            </w:pPr>
            <w:r>
              <w:rPr>
                <w:rFonts w:ascii="Arial" w:cs="Arial" w:eastAsia="Arial" w:hAnsi="Arial"/>
                <w:sz w:val="18"/>
                <w:szCs w:val="18"/>
                <w:color w:val="auto"/>
              </w:rPr>
              <w:t>Total short-term investments</w:t>
            </w:r>
          </w:p>
        </w:tc>
        <w:tc>
          <w:tcPr>
            <w:tcW w:w="1680" w:type="dxa"/>
            <w:vAlign w:val="bottom"/>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14,165</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14,185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9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Long-term:</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U.S. government securities</w:t>
            </w:r>
          </w:p>
        </w:tc>
        <w:tc>
          <w:tcPr>
            <w:tcW w:w="1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22,128</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long-term investments</w:t>
            </w:r>
          </w:p>
        </w:tc>
        <w:tc>
          <w:tcPr>
            <w:tcW w:w="1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108,828</w:t>
            </w: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203</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Company classifies investments with an original maturity of less than one year as current and investments with an original maturity date of greater than one year as noncurrent on its consolidated balance sheet. The investments classified as noncurrent have original maturity dates ranging from 1-2 years. The Company did not have any available-for-sale debt security investments in a continuous unrealized loss position of greater than 12 months as of December 31, 2025, and December 31, 2024, respectively.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 other pricing sources. The Company did not classify any assets or liabilities as Level 3 as of December 31, 2025, or December 31, 2024.</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assets measured at fair value consisted of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December 31, 2025</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December 31, 2024</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13"/>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6"/>
        </w:trPr>
        <w:tc>
          <w:tcPr>
            <w:tcW w:w="2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Cash equivalents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225,605</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225,605</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303,545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303,545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104,147</w:t>
            </w: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104,147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93,257</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93,257</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securities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0" w:type="dxa"/>
            <w:vAlign w:val="bottom"/>
          </w:tcPr>
          <w:p>
            <w:pPr>
              <w:spacing w:after="0"/>
              <w:rPr>
                <w:sz w:val="1"/>
                <w:szCs w:val="1"/>
                <w:color w:val="auto"/>
              </w:rPr>
            </w:pPr>
          </w:p>
        </w:tc>
      </w:tr>
      <w:tr>
        <w:trPr>
          <w:trHeight w:val="196"/>
        </w:trPr>
        <w:tc>
          <w:tcPr>
            <w:tcW w:w="2860" w:type="dxa"/>
            <w:vAlign w:val="bottom"/>
          </w:tcPr>
          <w:p>
            <w:pPr>
              <w:ind w:left="120"/>
              <w:spacing w:after="0" w:line="196" w:lineRule="exact"/>
              <w:rPr>
                <w:sz w:val="20"/>
                <w:szCs w:val="20"/>
                <w:color w:val="auto"/>
              </w:rPr>
            </w:pPr>
            <w:r>
              <w:rPr>
                <w:rFonts w:ascii="Arial" w:cs="Arial" w:eastAsia="Arial" w:hAnsi="Arial"/>
                <w:sz w:val="18"/>
                <w:szCs w:val="18"/>
                <w:color w:val="auto"/>
              </w:rPr>
              <w:t>Total</w:t>
            </w:r>
          </w:p>
        </w:tc>
        <w:tc>
          <w:tcPr>
            <w:tcW w:w="5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355,570</w:t>
            </w:r>
          </w:p>
        </w:tc>
        <w:tc>
          <w:tcPr>
            <w:tcW w:w="2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225,605</w:t>
            </w:r>
          </w:p>
        </w:tc>
        <w:tc>
          <w:tcPr>
            <w:tcW w:w="2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129,965</w:t>
            </w:r>
          </w:p>
        </w:tc>
        <w:tc>
          <w:tcPr>
            <w:tcW w:w="2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426,604</w:t>
            </w:r>
          </w:p>
        </w:tc>
        <w:tc>
          <w:tcPr>
            <w:tcW w:w="200" w:type="dxa"/>
            <w:vAlign w:val="bottom"/>
          </w:tcPr>
          <w:p>
            <w:pPr>
              <w:spacing w:after="0"/>
              <w:rPr>
                <w:sz w:val="17"/>
                <w:szCs w:val="17"/>
                <w:color w:val="auto"/>
              </w:rPr>
            </w:pPr>
          </w:p>
        </w:tc>
        <w:tc>
          <w:tcPr>
            <w:tcW w:w="8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303,545</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123,059</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b w:val="1"/>
                <w:bCs w:val="1"/>
                <w:color w:val="auto"/>
              </w:rPr>
              <w:t>7. INVENTORY</w:t>
            </w: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8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560" w:type="dxa"/>
            <w:vAlign w:val="bottom"/>
            <w:gridSpan w:val="5"/>
          </w:tcPr>
          <w:p>
            <w:pPr>
              <w:ind w:left="660"/>
              <w:spacing w:after="0"/>
              <w:rPr>
                <w:sz w:val="20"/>
                <w:szCs w:val="20"/>
                <w:color w:val="auto"/>
              </w:rPr>
            </w:pPr>
            <w:r>
              <w:rPr>
                <w:rFonts w:ascii="Arial" w:cs="Arial" w:eastAsia="Arial" w:hAnsi="Arial"/>
                <w:sz w:val="18"/>
                <w:szCs w:val="18"/>
                <w:color w:val="auto"/>
              </w:rPr>
              <w:t>Inventory, net consisted of the following:</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4"/>
                <w:szCs w:val="24"/>
                <w:color w:val="auto"/>
              </w:rPr>
            </w:pPr>
          </w:p>
        </w:tc>
        <w:tc>
          <w:tcPr>
            <w:tcW w:w="1060" w:type="dxa"/>
            <w:vAlign w:val="bottom"/>
            <w:gridSpan w:val="5"/>
          </w:tcPr>
          <w:p>
            <w:pPr>
              <w:jc w:val="right"/>
              <w:ind w:right="88"/>
              <w:spacing w:after="0"/>
              <w:rPr>
                <w:sz w:val="20"/>
                <w:szCs w:val="20"/>
                <w:color w:val="auto"/>
              </w:rPr>
            </w:pPr>
            <w:r>
              <w:rPr>
                <w:rFonts w:ascii="Arial" w:cs="Arial" w:eastAsia="Arial" w:hAnsi="Arial"/>
                <w:sz w:val="14"/>
                <w:szCs w:val="14"/>
                <w:b w:val="1"/>
                <w:bCs w:val="1"/>
                <w:color w:val="auto"/>
              </w:rPr>
              <w:t>As of</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gridSpan w:val="4"/>
          </w:tcPr>
          <w:p>
            <w:pPr>
              <w:jc w:val="right"/>
              <w:spacing w:after="0" w:line="147" w:lineRule="exact"/>
              <w:rPr>
                <w:sz w:val="20"/>
                <w:szCs w:val="20"/>
                <w:color w:val="auto"/>
              </w:rPr>
            </w:pPr>
            <w:r>
              <w:rPr>
                <w:rFonts w:ascii="Arial" w:cs="Arial" w:eastAsia="Arial" w:hAnsi="Arial"/>
                <w:sz w:val="14"/>
                <w:szCs w:val="14"/>
                <w:b w:val="1"/>
                <w:bCs w:val="1"/>
                <w:color w:val="auto"/>
              </w:rPr>
              <w:t xml:space="preserve">December 31,  </w:t>
            </w:r>
            <w:r>
              <w:rPr>
                <w:rFonts w:ascii="Arial" w:cs="Arial" w:eastAsia="Arial" w:hAnsi="Arial"/>
                <w:sz w:val="14"/>
                <w:szCs w:val="14"/>
                <w:color w:val="auto"/>
              </w:rPr>
              <w:t>​​​</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13"/>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8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2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Raw materials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9"/>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03"/>
        </w:trPr>
        <w:tc>
          <w:tcPr>
            <w:tcW w:w="286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2,885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2,636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196"/>
        </w:trPr>
        <w:tc>
          <w:tcPr>
            <w:tcW w:w="2860" w:type="dxa"/>
            <w:vAlign w:val="bottom"/>
          </w:tcPr>
          <w:p>
            <w:pPr>
              <w:spacing w:after="0" w:line="196" w:lineRule="exact"/>
              <w:rPr>
                <w:sz w:val="20"/>
                <w:szCs w:val="20"/>
                <w:color w:val="auto"/>
              </w:rPr>
            </w:pPr>
            <w:r>
              <w:rPr>
                <w:rFonts w:ascii="Arial" w:cs="Arial" w:eastAsia="Arial" w:hAnsi="Arial"/>
                <w:sz w:val="18"/>
                <w:szCs w:val="18"/>
                <w:color w:val="auto"/>
              </w:rPr>
              <w:t>Inventory, gross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5,521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7,198</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Reserve for excess inventory</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860" w:type="dxa"/>
            <w:vAlign w:val="bottom"/>
          </w:tcPr>
          <w:p>
            <w:pPr>
              <w:spacing w:after="0" w:line="196" w:lineRule="exact"/>
              <w:rPr>
                <w:sz w:val="20"/>
                <w:szCs w:val="20"/>
                <w:color w:val="auto"/>
              </w:rPr>
            </w:pPr>
            <w:r>
              <w:rPr>
                <w:rFonts w:ascii="Arial" w:cs="Arial" w:eastAsia="Arial" w:hAnsi="Arial"/>
                <w:sz w:val="18"/>
                <w:szCs w:val="18"/>
                <w:color w:val="auto"/>
              </w:rPr>
              <w:t>Total inventory, net</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5,357</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7,198</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August 2019, the Company received FDA approval of WAKIX</w:t>
      </w:r>
      <w:r>
        <w:rPr>
          <w:rFonts w:ascii="Arial" w:cs="Arial" w:eastAsia="Arial" w:hAnsi="Arial"/>
          <w:sz w:val="12"/>
          <w:szCs w:val="12"/>
          <w:color w:val="auto"/>
        </w:rPr>
        <w:t>®</w:t>
      </w:r>
      <w:r>
        <w:rPr>
          <w:rFonts w:ascii="Arial" w:cs="Arial" w:eastAsia="Arial" w:hAnsi="Arial"/>
          <w:sz w:val="18"/>
          <w:szCs w:val="18"/>
          <w:color w:val="auto"/>
        </w:rPr>
        <w:t xml:space="preserve"> (pitolisant) for the treatment of excessive daytime sleepiness (“EDS”) in adult patients with narcolepsy. This event triggered a milestone payment of $75,000 under the provisions of the 2017 LCA (defined below) which the Company capitalized as an intangible asset. The Company determined a useful life of 10 years for the intangible asset, and, as of December 31, 2025, the remaining useful life was 3.8 years.</w:t>
      </w:r>
    </w:p>
    <w:p>
      <w:pPr>
        <w:spacing w:after="0" w:line="17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October 2020, the Company received FDA approval for the New Drug Application (“NDA”) for WAKIX</w:t>
      </w:r>
      <w:r>
        <w:rPr>
          <w:rFonts w:ascii="Arial" w:cs="Arial" w:eastAsia="Arial" w:hAnsi="Arial"/>
          <w:sz w:val="13"/>
          <w:szCs w:val="13"/>
          <w:color w:val="auto"/>
        </w:rPr>
        <w:t>®</w:t>
      </w:r>
      <w:r>
        <w:rPr>
          <w:rFonts w:ascii="Arial" w:cs="Arial" w:eastAsia="Arial" w:hAnsi="Arial"/>
          <w:sz w:val="18"/>
          <w:szCs w:val="18"/>
          <w:color w:val="auto"/>
        </w:rPr>
        <w:t xml:space="preserve"> for the treatment of cataplexy in adult patients with narcolepsy. This event triggered a milestone payment of $100,000 under the provisions of the 2017 LCA which the Company capitalized as an intangible asset and paid in January of 2021. The Company determined a useful life of 9 years for the intangible asset, and, as of December 31, 2025, the remaining useful life was 3.8 years.</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In February 2022, the Company attained $500,000 in life-to-date aggregate net sales of WAKIX in the United States. This event triggered a final $40,000 payment under the provisions of the 2017 LCA which the Company capitalized as an intangible asset and paid in March of 2022. The Company determined a useful life of 7.6 years for the intangible asset, and, as of December 31, 2025, the remaining useful life was 3.8 years.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Amortization expense was $23,845 for each of the years ended December 31, 2025, 2024 and 2023, respectively, and is recorded in general and administrative expenses in the consolidated statements of operations and comprehensive income (loss).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60" w:type="dxa"/>
            <w:vAlign w:val="bottom"/>
            <w:gridSpan w:val="2"/>
          </w:tcPr>
          <w:p>
            <w:pPr>
              <w:ind w:left="660"/>
              <w:spacing w:after="0"/>
              <w:rPr>
                <w:sz w:val="20"/>
                <w:szCs w:val="20"/>
                <w:color w:val="auto"/>
              </w:rPr>
            </w:pPr>
            <w:r>
              <w:rPr>
                <w:rFonts w:ascii="Arial" w:cs="Arial" w:eastAsia="Arial" w:hAnsi="Arial"/>
                <w:sz w:val="18"/>
                <w:szCs w:val="18"/>
                <w:color w:val="auto"/>
              </w:rPr>
              <w:t>Future annual amortization expense for the unamortized intangible assets is as follows:</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56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200" w:type="dxa"/>
            <w:vAlign w:val="bottom"/>
          </w:tcPr>
          <w:p>
            <w:pPr>
              <w:spacing w:after="0"/>
              <w:rPr>
                <w:sz w:val="24"/>
                <w:szCs w:val="24"/>
                <w:color w:val="auto"/>
              </w:rPr>
            </w:pPr>
          </w:p>
        </w:tc>
        <w:tc>
          <w:tcPr>
            <w:tcW w:w="1280" w:type="dxa"/>
            <w:vAlign w:val="bottom"/>
            <w:gridSpan w:val="4"/>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c>
          <w:tcPr>
            <w:tcW w:w="0" w:type="dxa"/>
            <w:vAlign w:val="bottom"/>
          </w:tcPr>
          <w:p>
            <w:pPr>
              <w:spacing w:after="0"/>
              <w:rPr>
                <w:sz w:val="1"/>
                <w:szCs w:val="1"/>
                <w:color w:val="auto"/>
              </w:rPr>
            </w:pPr>
          </w:p>
        </w:tc>
      </w:tr>
      <w:tr>
        <w:trPr>
          <w:trHeight w:val="203"/>
        </w:trPr>
        <w:tc>
          <w:tcPr>
            <w:tcW w:w="7560" w:type="dxa"/>
            <w:vAlign w:val="bottom"/>
          </w:tcPr>
          <w:p>
            <w:pPr>
              <w:ind w:left="120"/>
              <w:spacing w:after="0" w:line="202" w:lineRule="exact"/>
              <w:rPr>
                <w:sz w:val="20"/>
                <w:szCs w:val="20"/>
                <w:color w:val="auto"/>
              </w:rPr>
            </w:pPr>
            <w:r>
              <w:rPr>
                <w:rFonts w:ascii="Arial" w:cs="Arial" w:eastAsia="Arial" w:hAnsi="Arial"/>
                <w:sz w:val="18"/>
                <w:szCs w:val="18"/>
                <w:color w:val="auto"/>
              </w:rPr>
              <w:t>2027</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2028</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c>
          <w:tcPr>
            <w:tcW w:w="0" w:type="dxa"/>
            <w:vAlign w:val="bottom"/>
          </w:tcPr>
          <w:p>
            <w:pPr>
              <w:spacing w:after="0"/>
              <w:rPr>
                <w:sz w:val="1"/>
                <w:szCs w:val="1"/>
                <w:color w:val="auto"/>
              </w:rPr>
            </w:pPr>
          </w:p>
        </w:tc>
      </w:tr>
      <w:tr>
        <w:trPr>
          <w:trHeight w:val="203"/>
        </w:trPr>
        <w:tc>
          <w:tcPr>
            <w:tcW w:w="7560" w:type="dxa"/>
            <w:vAlign w:val="bottom"/>
          </w:tcPr>
          <w:p>
            <w:pPr>
              <w:ind w:left="120"/>
              <w:spacing w:after="0" w:line="202" w:lineRule="exact"/>
              <w:rPr>
                <w:sz w:val="20"/>
                <w:szCs w:val="20"/>
                <w:color w:val="auto"/>
              </w:rPr>
            </w:pPr>
            <w:r>
              <w:rPr>
                <w:rFonts w:ascii="Arial" w:cs="Arial" w:eastAsia="Arial" w:hAnsi="Arial"/>
                <w:sz w:val="18"/>
                <w:szCs w:val="18"/>
                <w:color w:val="auto"/>
              </w:rPr>
              <w:t>2029</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17,883</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2030</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6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89,418</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660"/>
              <w:spacing w:after="0"/>
              <w:rPr>
                <w:sz w:val="20"/>
                <w:szCs w:val="20"/>
                <w:color w:val="auto"/>
              </w:rPr>
            </w:pPr>
            <w:r>
              <w:rPr>
                <w:rFonts w:ascii="Arial" w:cs="Arial" w:eastAsia="Arial" w:hAnsi="Arial"/>
                <w:sz w:val="18"/>
                <w:szCs w:val="18"/>
                <w:color w:val="auto"/>
              </w:rPr>
              <w:t>The gross carrying amount and net book value of the intangible asset is as follows:</w:t>
            </w: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7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7560" w:type="dxa"/>
            <w:vAlign w:val="bottom"/>
          </w:tcPr>
          <w:p>
            <w:pPr>
              <w:ind w:left="742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7560" w:type="dxa"/>
            <w:vAlign w:val="bottom"/>
          </w:tcPr>
          <w:p>
            <w:pPr>
              <w:ind w:left="7420"/>
              <w:spacing w:after="0" w:line="147"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
              <w:spacing w:after="0" w:line="147"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1260" w:type="dxa"/>
            <w:vAlign w:val="bottom"/>
            <w:gridSpan w:val="3"/>
          </w:tcPr>
          <w:p>
            <w:pPr>
              <w:jc w:val="right"/>
              <w:spacing w:after="0" w:line="147"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5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7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Carrying Amount</w:t>
            </w:r>
          </w:p>
        </w:tc>
        <w:tc>
          <w:tcPr>
            <w:tcW w:w="2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220" w:type="dxa"/>
            <w:vAlign w:val="bottom"/>
            <w:gridSpan w:val="2"/>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0" w:type="dxa"/>
            <w:vAlign w:val="bottom"/>
          </w:tcPr>
          <w:p>
            <w:pPr>
              <w:spacing w:after="0"/>
              <w:rPr>
                <w:sz w:val="1"/>
                <w:szCs w:val="1"/>
                <w:color w:val="auto"/>
              </w:rPr>
            </w:pPr>
          </w:p>
        </w:tc>
      </w:tr>
      <w:tr>
        <w:trPr>
          <w:trHeight w:val="203"/>
        </w:trPr>
        <w:tc>
          <w:tcPr>
            <w:tcW w:w="75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Accumulated Amortization</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(125,582)</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(101,737)</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Book Value</w:t>
            </w:r>
          </w:p>
        </w:tc>
        <w:tc>
          <w:tcPr>
            <w:tcW w:w="200" w:type="dxa"/>
            <w:vAlign w:val="bottom"/>
            <w:tcBorders>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89,418</w:t>
            </w:r>
          </w:p>
        </w:tc>
        <w:tc>
          <w:tcPr>
            <w:tcW w:w="2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113,263</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60" w:right="4140" w:hanging="647"/>
        <w:spacing w:after="0" w:line="485" w:lineRule="auto"/>
        <w:rPr>
          <w:sz w:val="20"/>
          <w:szCs w:val="20"/>
          <w:color w:val="auto"/>
        </w:rPr>
      </w:pPr>
      <w:r>
        <w:rPr>
          <w:rFonts w:ascii="Arial" w:cs="Arial" w:eastAsia="Arial" w:hAnsi="Arial"/>
          <w:sz w:val="18"/>
          <w:szCs w:val="18"/>
          <w:b w:val="1"/>
          <w:bCs w:val="1"/>
          <w:color w:val="auto"/>
        </w:rPr>
        <w:t>9. LICENSE AGREEMENTS AND ASSET PURCHASE AGREEMENTS Bioprojet Agreements</w:t>
      </w:r>
    </w:p>
    <w:p>
      <w:pPr>
        <w:jc w:val="both"/>
        <w:ind w:firstLine="648"/>
        <w:spacing w:after="0" w:line="237" w:lineRule="auto"/>
        <w:rPr>
          <w:sz w:val="20"/>
          <w:szCs w:val="20"/>
          <w:color w:val="auto"/>
        </w:rPr>
      </w:pPr>
      <w:r>
        <w:rPr>
          <w:rFonts w:ascii="Arial" w:cs="Arial" w:eastAsia="Arial" w:hAnsi="Arial"/>
          <w:sz w:val="18"/>
          <w:szCs w:val="18"/>
          <w:color w:val="auto"/>
        </w:rPr>
        <w:t>In July 2017, Harmony entered into a License Agreement (the “2017 LCA”) with Bioprojet Société Civile de Recherche (“Bioprojet”) whereby Harmony acquired the exclusive right to commercialize the pharmaceutical compound pitolisant for the treatment, and/or prevention, of narcolepsy, obstructive sleep apnea, idiopathic hypersomnia, and Parkinson’s disease as well as any other indications unanimously agreed by the parties in the United States and its territories. A milestone payment of $50,000 was due upon acceptance by the FDA of pitolisant’s NDA, which was achieved in February 2019 and was expensed within research and development for the year ended December 31, 2019. A milestone payment of $77,000, which included a $ 2,000 fee that is described below, was due upon FDA approval of WAKIX (pitolisant) for treatment of EDS in adult patients with narcolepsy, which was achieved in August 2019. The $2,000 payment and $75,000 milestone payment were paid in August and November 2019, respectively. In addition, a milestone payment of $102,000, which included a $2,000 fee was due upon the FDA approval of the NDA for WAKIX for the treatment of cataplexy in adult patients with narcolepsy. The $2,000 payment was paid in October 2020, and a $100,000 milestone payment was paid in January 2021. A final $ 40,000 milestone payment was paid to Bioprojet in March 2022 upon WAKIX attaining $500,000 in aggregate net sales in the United States. The 2017 LCA also requires a fixed trademark royalty and a tiered royalty based on net sales, which is payable to Bioprojet on a quarterly basis. The Company incurred $188,482, $146,978 and $111,685 for the years ended December 31, 2025, 2024 and 2023, respectively, for sales-based, trademark and tiered royalties recognized as cost of product sold. As of December 31, 2025, and 2024, the Company had accrued $65,819 and $51,746, respectively, for sales-based, trademark and tiered royalties.</w:t>
      </w:r>
    </w:p>
    <w:p>
      <w:pPr>
        <w:spacing w:after="0" w:line="18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July 2022, Harmony entered into the 2022 LCA with Bioprojet whereby Harmony obtained exclusive rights to manufacture, use and commercialize one or more new products based on pitolisant in the United States and Latin America, with the potential to add additional indications and formulations upon agreement of both parties. Harmony paid an initial, non-refundable $30,000 licensing fee in October 2022 and additional payments of up to $155,000 are potentially due under the 2022 LCA upon the achievement of certain future development and sales-based milestones. In addition, there are other payments due upon achievement of development milestones for new indications and formulations as agreed upon by both parties. The 2022 LCA also requires a fixed trademark royalty and a tiered royalty based on net sales upon commercialization, which will be payable to Bioprojet on a quarterly basis.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212529"/>
        </w:rPr>
        <w:t xml:space="preserve">In April 2024, the Company announced that it entered into the Sublicense agreement with Bioprojet for an orexin-2 receptor agonist (OX2R), BP1.15205, to be evaluated for the treatment of narcolepsy and other potential indications (the “Sublicense”). Under the Sublicense, the Company obtained the exclusive right to develop, manufacture and commercialize BP1.15205 in the United States and Latin American territories (the “Licensed Territories”), which are rights that Bioprojet originally licensed from Teijin Pharma, the innovator of BP1.15205. BP1.15205 is currently in pre-clinical development with a Clinical Trial Application currently anticipated in mid-2025. Under the Sublicense, the Company paid Bioprojet an upfront license fee of $25,500, which the Company recognized as an IPR&amp;D charge recorded in research and development within the consolidated statements of operations and comprehensive income for the year ended December 31, 2024. In </w:t>
      </w:r>
      <w:r>
        <w:rPr>
          <w:rFonts w:ascii="Arial" w:cs="Arial" w:eastAsia="Arial" w:hAnsi="Arial"/>
          <w:sz w:val="18"/>
          <w:szCs w:val="18"/>
          <w:color w:val="000000"/>
        </w:rPr>
        <w:t>November</w:t>
      </w:r>
      <w:r>
        <w:rPr>
          <w:rFonts w:ascii="Arial" w:cs="Arial" w:eastAsia="Arial" w:hAnsi="Arial"/>
          <w:sz w:val="18"/>
          <w:szCs w:val="18"/>
          <w:color w:val="212529"/>
        </w:rPr>
        <w:t xml:space="preserve"> </w:t>
      </w:r>
      <w:r>
        <w:rPr>
          <w:rFonts w:ascii="Arial" w:cs="Arial" w:eastAsia="Arial" w:hAnsi="Arial"/>
          <w:sz w:val="18"/>
          <w:szCs w:val="18"/>
          <w:color w:val="000000"/>
        </w:rPr>
        <w:t xml:space="preserve">2025, the Company achieved a clinical milestone for BP1.15205 that triggered a $4,250 payment to Bioprojet under the Sublicense, which was paid in December 2025. </w:t>
      </w:r>
      <w:r>
        <w:rPr>
          <w:rFonts w:ascii="Arial" w:cs="Arial" w:eastAsia="Arial" w:hAnsi="Arial"/>
          <w:sz w:val="18"/>
          <w:szCs w:val="18"/>
          <w:color w:val="212529"/>
        </w:rPr>
        <w:t>The Company will also be obligated to pay up to $123,250 upon</w:t>
      </w:r>
      <w:r>
        <w:rPr>
          <w:rFonts w:ascii="Arial" w:cs="Arial" w:eastAsia="Arial" w:hAnsi="Arial"/>
          <w:sz w:val="18"/>
          <w:szCs w:val="18"/>
          <w:color w:val="000000"/>
        </w:rPr>
        <w:t xml:space="preserve"> </w:t>
      </w:r>
      <w:r>
        <w:rPr>
          <w:rFonts w:ascii="Arial" w:cs="Arial" w:eastAsia="Arial" w:hAnsi="Arial"/>
          <w:sz w:val="18"/>
          <w:szCs w:val="18"/>
          <w:color w:val="212529"/>
        </w:rPr>
        <w:t>achievement of development and regulatory milestones and up to $240,000 upon achievement of sales-based milestones, as well as royalty rates in the mid-teens on any sales of product using the Licensed Compound in the Licensed Territories.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ConSynance Agreement</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In August 2021, the Company entered into an asset purchase agreement with ConSynance Therapeutics, Inc. (the “APA”) to acquire HBS-102 (formerly referred to as “CSTI-100”), a potential first-in-class molecule with a novel mechanism of action. Under the terms of the APA, the Company acquired full development and commercialization rights globally, with the exception of Greater China, for $3,500. </w:t>
      </w:r>
      <w:r>
        <w:rPr>
          <w:rFonts w:ascii="Arial" w:cs="Arial" w:eastAsia="Arial" w:hAnsi="Arial"/>
          <w:sz w:val="18"/>
          <w:szCs w:val="18"/>
          <w:color w:val="212529"/>
        </w:rPr>
        <w:t>The Company accounted for the transaction as an asset acquisition as substantially</w:t>
      </w:r>
      <w:r>
        <w:rPr>
          <w:rFonts w:ascii="Arial" w:cs="Arial" w:eastAsia="Arial" w:hAnsi="Arial"/>
          <w:sz w:val="18"/>
          <w:szCs w:val="18"/>
          <w:color w:val="auto"/>
        </w:rPr>
        <w:t xml:space="preserve"> </w:t>
      </w:r>
      <w:r>
        <w:rPr>
          <w:rFonts w:ascii="Arial" w:cs="Arial" w:eastAsia="Arial" w:hAnsi="Arial"/>
          <w:sz w:val="18"/>
          <w:szCs w:val="18"/>
          <w:color w:val="212529"/>
        </w:rPr>
        <w:t>all of the fair value of the assets acquired was concentrated in a single identified asset. In March 2023, the Company achieved a preclinical milestone, which triggered a $750 payment under the provisions of the APA, which the Company recognized as an IPR&amp;D charge recorded in research and development within the consolidated statement of operations and comprehensive income for the year ended December 31, 2023. In September 2024, the Company achieved a milestone for preclinical proof-of-concept, which triggered a $1,000 payment under the provisions of the APA, which the Company recognized as an IPR&amp;D charge recorded in research and development within the consolidated statement of operations and comprehensive income for the year ended December 31, 2024. There are additional payments due under the APA upon the achievement of certain milestones including $19,000 for development milestones, $44,000 for regulatory milestones and $110,000 for sales milestones</w:t>
      </w:r>
      <w:r>
        <w:rPr>
          <w:rFonts w:ascii="Arial" w:cs="Arial" w:eastAsia="Arial" w:hAnsi="Arial"/>
          <w:sz w:val="18"/>
          <w:szCs w:val="18"/>
          <w:color w:val="000000"/>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CiRC Agreement</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 xml:space="preserve">In June 2025, the Company entered into a research collaboration, option and license agreement (the “CiRC Agreement”) with a related party, CiRC Biosciences, Inc. (“CiRC”). Under this agreement, the Company and CiRC will collaborate on the research and development of two discovery-stage candidates (together the “Candidates”) using cell replacement therapy for treatment of refractory epilepsies and treatment-resistant narcolepsy. In connection with the CiRC Agreement, the Company paid CiRC an upfront fee of $15,000, which was recognized as an IPR&amp;D charge recorded in research and development within the condensed consolidated statements of operations and comprehensive income for the year ended December 31, 2025. The Company will also be obligated to pay $2,000 to CiRC upon the achievement of certain research milestones for each of the Candidates. In addition, the Company has an option to obtain an exclusive license for each of the Candidates that would grant the Company global rights to develop, manufacture and commercialize each Candidate. Upon exercise of each option, the Company would be obligated to pay an option exercise fee of $8,000, or $16,000 in the aggregate if the options related to both Candidates were to be exercised, and the Company would be obligated upon achievement to pay future development, regulatory and sales-based milestones, as well as royalties on sales of any product derived from the Candidates. Refer to Note 20, </w:t>
      </w:r>
      <w:r>
        <w:rPr>
          <w:rFonts w:ascii="Arial" w:cs="Arial" w:eastAsia="Arial" w:hAnsi="Arial"/>
          <w:sz w:val="18"/>
          <w:szCs w:val="18"/>
          <w:i w:val="1"/>
          <w:iCs w:val="1"/>
          <w:color w:val="auto"/>
        </w:rPr>
        <w:t>Related-Party Transactions</w:t>
      </w:r>
      <w:r>
        <w:rPr>
          <w:rFonts w:ascii="Arial" w:cs="Arial" w:eastAsia="Arial" w:hAnsi="Arial"/>
          <w:sz w:val="18"/>
          <w:szCs w:val="18"/>
          <w:color w:val="auto"/>
        </w:rPr>
        <w:t>, for further discussion of related party considerations for the CiRC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included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00" w:type="dxa"/>
            <w:vAlign w:val="bottom"/>
          </w:tcPr>
          <w:p>
            <w:pPr>
              <w:ind w:left="736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4"/>
                <w:szCs w:val="14"/>
                <w:b w:val="1"/>
                <w:bCs w:val="1"/>
                <w:color w:val="auto"/>
                <w:w w:val="97"/>
              </w:rPr>
              <w:t>As of</w:t>
            </w:r>
          </w:p>
        </w:tc>
        <w:tc>
          <w:tcPr>
            <w:tcW w:w="860" w:type="dxa"/>
            <w:vAlign w:val="bottom"/>
            <w:tcBorders>
              <w:bottom w:val="single" w:sz="8" w:color="auto"/>
            </w:tcBorders>
          </w:tcPr>
          <w:p>
            <w:pPr>
              <w:spacing w:after="0"/>
              <w:rPr>
                <w:sz w:val="14"/>
                <w:szCs w:val="14"/>
                <w:color w:val="auto"/>
              </w:rPr>
            </w:pPr>
          </w:p>
        </w:tc>
      </w:tr>
      <w:tr>
        <w:trPr>
          <w:trHeight w:val="146"/>
        </w:trPr>
        <w:tc>
          <w:tcPr>
            <w:tcW w:w="7500" w:type="dxa"/>
            <w:vAlign w:val="bottom"/>
          </w:tcPr>
          <w:p>
            <w:pPr>
              <w:ind w:left="7360"/>
              <w:spacing w:after="0" w:line="147"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1320" w:type="dxa"/>
            <w:vAlign w:val="bottom"/>
            <w:gridSpan w:val="4"/>
          </w:tcPr>
          <w:p>
            <w:pPr>
              <w:jc w:val="right"/>
              <w:ind w:right="12"/>
              <w:spacing w:after="0" w:line="147"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December 31,</w:t>
            </w:r>
          </w:p>
        </w:tc>
      </w:tr>
      <w:tr>
        <w:trPr>
          <w:trHeight w:val="171"/>
        </w:trPr>
        <w:tc>
          <w:tcPr>
            <w:tcW w:w="75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2024</w:t>
            </w:r>
          </w:p>
        </w:tc>
      </w:tr>
      <w:tr>
        <w:trPr>
          <w:trHeight w:val="196"/>
        </w:trPr>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Royalties due to Bioprojet</w:t>
            </w: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65,819</w:t>
            </w: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51,746</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Rebates and other sales deductions</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76,304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50,542</w:t>
            </w: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2,834</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3,153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2,166</w:t>
            </w: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12,193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9,014</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Accrued legal and professional fees</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29,999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3,047</w:t>
            </w: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expenses</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1,420</w:t>
            </w: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1,291</w:t>
            </w:r>
          </w:p>
        </w:tc>
      </w:tr>
      <w:tr>
        <w:trPr>
          <w:trHeight w:val="196"/>
        </w:trPr>
        <w:tc>
          <w:tcPr>
            <w:tcW w:w="7500" w:type="dxa"/>
            <w:vAlign w:val="bottom"/>
          </w:tcPr>
          <w:p>
            <w:pPr>
              <w:spacing w:after="0"/>
              <w:rPr>
                <w:sz w:val="17"/>
                <w:szCs w:val="17"/>
                <w:color w:val="auto"/>
              </w:rPr>
            </w:pPr>
          </w:p>
        </w:tc>
        <w:tc>
          <w:tcPr>
            <w:tcW w:w="240" w:type="dxa"/>
            <w:vAlign w:val="bottom"/>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191,039</w:t>
            </w:r>
          </w:p>
        </w:tc>
        <w:tc>
          <w:tcPr>
            <w:tcW w:w="8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120,640</w:t>
            </w:r>
          </w:p>
        </w:tc>
      </w:tr>
      <w:tr>
        <w:trPr>
          <w:trHeight w:val="20"/>
        </w:trPr>
        <w:tc>
          <w:tcPr>
            <w:tcW w:w="7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Credit Agreements</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Term Loan A Credit Agreement</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July 26, 2023, the Company entered into a Credit Agreement (the “TLA Credit Agreement”) with JPMorgan Chase Bank, N.A., as “Administrative Agent”, and certain lenders. The TLA Credit Agreement provides for a five-year senior secured term loan (the “TLA Term Loan”) in an aggregate principal amount of $185,000.</w:t>
      </w: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On September 21, 2023, the Company entered into the First Incremental Amendment (the “First Incremental Amendment”) with the Administrative Agent and Bank of America, N.A., as incremental lender. The First Incremental Amendment provides for an incremental senior secured term loan (the “Incremental Term Loan”) in an aggregate principal amount of $15,000. The First Incremental Amendment amends the TLA Credit Agreement and provides that the Incremental Term Loan will have identical terms as the TLA Term Loan.</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repayment schedule for both the TLA Term Loan and the Incremental Term Loan (together, the “Term Loans”) consists of quarterly $3,750 principal payments, which commence on December 31, 2023, increasing to quarterly $5,000 principal payments beginning on December 31, 2025, with a $115,000 payment due on the maturity date of July 26, 2028. The Term Loans bear interest at a per annum rate equal to, at the Company’s option, (i) a base rate plus a specified margin ranging from 2.50% to 3.00%, based on the Company’s senior secured net leverage ratio (as defined in the TLA Credit Agreement) or (ii) Term SOFR plus a credit spread adjustment of 0.10% plus a specified margin ranging from 3.50% to 4.00%, based on the Company’s senior secured net leverage ratio.</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net cash received related to the Term Loans as a result of the transactions, less debt issuance costs of $2,997, was $197,003. The debt issuance costs related to the Term Loans will be amortized as additional interest expense over the loan term of the TLA Credit Agreement. The fair value of the Term Loans as of December 31, 2025, was $163,393.</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Blackstone Credit Agreement</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August 2021, the Company entered into the Blackstone Credit Agreement that provides for (i) a senior secured term loan facility in an aggregate original principal amount of $200,000 (the “Initial Term Loan”) and (ii) a senior secured delayed draw term loan facility in an aggregate principal amount up to $100,000 (the “DDTL” and, together with the Initial Term Loan, the “Loans”). The DDTL was initially available to draw down through August 9, 2022. In August 2022, the Company entered into an agreement to extend the expiration date of the DDTL to August 9, 2023.</w:t>
      </w:r>
    </w:p>
    <w:p>
      <w:pPr>
        <w:spacing w:after="0" w:line="176" w:lineRule="exact"/>
        <w:rPr>
          <w:sz w:val="20"/>
          <w:szCs w:val="20"/>
          <w:color w:val="auto"/>
        </w:rPr>
      </w:pPr>
    </w:p>
    <w:p>
      <w:pPr>
        <w:jc w:val="both"/>
        <w:ind w:firstLine="698"/>
        <w:spacing w:after="0" w:line="253" w:lineRule="auto"/>
        <w:rPr>
          <w:sz w:val="20"/>
          <w:szCs w:val="20"/>
          <w:color w:val="auto"/>
        </w:rPr>
      </w:pPr>
      <w:r>
        <w:rPr>
          <w:rFonts w:ascii="Arial" w:cs="Arial" w:eastAsia="Arial" w:hAnsi="Arial"/>
          <w:sz w:val="18"/>
          <w:szCs w:val="18"/>
          <w:color w:val="auto"/>
        </w:rPr>
        <w:t>Net cash received from the Initial Term Loan was $191,849, net of debt issuance costs of $8,151. In addition, the Company paid $ 1,000 in debt issuance costs relating to the DDTL, which was initially recorded in other current assets within the consolidated balance sheet for the year ended December 31, 2021.</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98"/>
        <w:spacing w:after="0"/>
        <w:rPr>
          <w:sz w:val="20"/>
          <w:szCs w:val="20"/>
          <w:color w:val="auto"/>
        </w:rPr>
      </w:pPr>
      <w:r>
        <w:rPr>
          <w:rFonts w:ascii="Arial" w:cs="Arial" w:eastAsia="Arial" w:hAnsi="Arial"/>
          <w:sz w:val="18"/>
          <w:szCs w:val="18"/>
          <w:color w:val="auto"/>
        </w:rPr>
        <w:t>In connection with the TLA Credit Agreement, the Company extinguished the Blackstone Credit Agreement, which required a payoff amount of $207,308 consisting of principal repayment, interest, exit fees, Ticking Fee and a prepayment premium. The Company recognized a loss on extinguishment of debt of $9,766 relating to the Blackstone Credit Agreement within the Company’s consolidated statements of operation and comprehensive income for the year ended December 31, 2023. In addition, the Company recognized $1,972 relating to unamortized debt issuance costs relating to the DDTL and the Ticking Fee, which was recorded in interest expense, net within the consolidated statement of operations and comprehensive income for the year ended December 31, 2023.</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net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2360" w:type="dxa"/>
            <w:vAlign w:val="bottom"/>
            <w:gridSpan w:val="3"/>
          </w:tcPr>
          <w:p>
            <w:pPr>
              <w:jc w:val="right"/>
              <w:ind w:right="13"/>
              <w:spacing w:after="0"/>
              <w:rPr>
                <w:sz w:val="20"/>
                <w:szCs w:val="20"/>
                <w:color w:val="auto"/>
              </w:rPr>
            </w:pPr>
            <w:r>
              <w:rPr>
                <w:rFonts w:ascii="Arial" w:cs="Arial" w:eastAsia="Arial" w:hAnsi="Arial"/>
                <w:sz w:val="14"/>
                <w:szCs w:val="14"/>
                <w:b w:val="1"/>
                <w:bCs w:val="1"/>
                <w:color w:val="auto"/>
              </w:rPr>
              <w:t>​​​ December 31,</w:t>
            </w:r>
          </w:p>
        </w:tc>
        <w:tc>
          <w:tcPr>
            <w:tcW w:w="1320" w:type="dxa"/>
            <w:vAlign w:val="bottom"/>
            <w:gridSpan w:val="3"/>
          </w:tcPr>
          <w:p>
            <w:pPr>
              <w:jc w:val="right"/>
              <w:ind w:right="33"/>
              <w:spacing w:after="0"/>
              <w:rPr>
                <w:sz w:val="20"/>
                <w:szCs w:val="20"/>
                <w:color w:val="auto"/>
              </w:rPr>
            </w:pPr>
            <w:r>
              <w:rPr>
                <w:rFonts w:ascii="Arial" w:cs="Arial" w:eastAsia="Arial" w:hAnsi="Arial"/>
                <w:sz w:val="14"/>
                <w:szCs w:val="14"/>
                <w:b w:val="1"/>
                <w:bCs w:val="1"/>
                <w:color w:val="auto"/>
              </w:rPr>
              <w:t>​​​ December 31,</w:t>
            </w:r>
          </w:p>
        </w:tc>
      </w:tr>
      <w:tr>
        <w:trPr>
          <w:trHeight w:val="171"/>
        </w:trPr>
        <w:tc>
          <w:tcPr>
            <w:tcW w:w="62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2024</w:t>
            </w: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Principal amount</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165,000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181,250</w:t>
            </w:r>
          </w:p>
        </w:tc>
      </w:tr>
      <w:tr>
        <w:trPr>
          <w:trHeight w:val="203"/>
        </w:trPr>
        <w:tc>
          <w:tcPr>
            <w:tcW w:w="62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Unamortized debt discount associated with debt financing costs</w:t>
            </w:r>
          </w:p>
        </w:tc>
        <w:tc>
          <w:tcPr>
            <w:tcW w:w="1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(1,337)</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(1,984)</w:t>
            </w: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debt, net</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163,663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179,266</w:t>
            </w:r>
          </w:p>
        </w:tc>
      </w:tr>
      <w:tr>
        <w:trPr>
          <w:trHeight w:val="203"/>
        </w:trPr>
        <w:tc>
          <w:tcPr>
            <w:tcW w:w="62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current portion</w:t>
            </w:r>
          </w:p>
        </w:tc>
        <w:tc>
          <w:tcPr>
            <w:tcW w:w="1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(20,000)</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(16,250)</w:t>
            </w:r>
          </w:p>
        </w:tc>
      </w:tr>
      <w:tr>
        <w:trPr>
          <w:trHeight w:val="196"/>
        </w:trPr>
        <w:tc>
          <w:tcPr>
            <w:tcW w:w="62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net</w:t>
            </w: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143,663</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163,016</w:t>
            </w:r>
          </w:p>
        </w:tc>
      </w:tr>
      <w:tr>
        <w:trPr>
          <w:trHeight w:val="20"/>
        </w:trPr>
        <w:tc>
          <w:tcPr>
            <w:tcW w:w="6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Future minimum payments relating to long-term debt, net as of December 31, 2025, for the periods indicated below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6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2026</w:t>
            </w: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8260" w:type="dxa"/>
            <w:vAlign w:val="bottom"/>
          </w:tcPr>
          <w:p>
            <w:pPr>
              <w:ind w:left="120"/>
              <w:spacing w:after="0"/>
              <w:rPr>
                <w:sz w:val="20"/>
                <w:szCs w:val="20"/>
                <w:color w:val="auto"/>
              </w:rPr>
            </w:pPr>
            <w:r>
              <w:rPr>
                <w:rFonts w:ascii="Arial" w:cs="Arial" w:eastAsia="Arial" w:hAnsi="Arial"/>
                <w:sz w:val="18"/>
                <w:szCs w:val="18"/>
                <w:color w:val="auto"/>
              </w:rPr>
              <w:t>2027</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2028</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r>
      <w:tr>
        <w:trPr>
          <w:trHeight w:val="216"/>
        </w:trPr>
        <w:tc>
          <w:tcPr>
            <w:tcW w:w="8260" w:type="dxa"/>
            <w:vAlign w:val="bottom"/>
          </w:tcPr>
          <w:p>
            <w:pPr>
              <w:ind w:left="120"/>
              <w:spacing w:after="0"/>
              <w:rPr>
                <w:sz w:val="20"/>
                <w:szCs w:val="20"/>
                <w:color w:val="auto"/>
              </w:rPr>
            </w:pPr>
            <w:r>
              <w:rPr>
                <w:rFonts w:ascii="Arial" w:cs="Arial" w:eastAsia="Arial" w:hAnsi="Arial"/>
                <w:sz w:val="18"/>
                <w:szCs w:val="18"/>
                <w:color w:val="auto"/>
              </w:rPr>
              <w:t>2029</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2030</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82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54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165,000</w:t>
            </w:r>
          </w:p>
        </w:tc>
      </w:tr>
      <w:tr>
        <w:trPr>
          <w:trHeight w:val="20"/>
        </w:trPr>
        <w:tc>
          <w:tcPr>
            <w:tcW w:w="8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Interest expense related to the Company’s long-term debt, net, is included in interest expense in the consolidated statements of operations and comprehensive income (loss) and consists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6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55"/>
        </w:trPr>
        <w:tc>
          <w:tcPr>
            <w:tcW w:w="6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15"/>
              <w:spacing w:after="0" w:line="155" w:lineRule="exact"/>
              <w:rPr>
                <w:sz w:val="20"/>
                <w:szCs w:val="20"/>
                <w:color w:val="auto"/>
              </w:rPr>
            </w:pPr>
            <w:r>
              <w:rPr>
                <w:rFonts w:ascii="Arial" w:cs="Arial" w:eastAsia="Arial" w:hAnsi="Arial"/>
                <w:sz w:val="14"/>
                <w:szCs w:val="14"/>
                <w:b w:val="1"/>
                <w:bCs w:val="1"/>
                <w:color w:val="auto"/>
              </w:rPr>
              <w:t>2025</w:t>
            </w:r>
          </w:p>
        </w:tc>
        <w:tc>
          <w:tcPr>
            <w:tcW w:w="340" w:type="dxa"/>
            <w:vAlign w:val="bottom"/>
            <w:gridSpan w:val="2"/>
          </w:tcPr>
          <w:p>
            <w:pPr>
              <w:jc w:val="right"/>
              <w:ind w:right="56"/>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center"/>
              <w:ind w:right="95"/>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15"/>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Interest on principal balance</w:t>
            </w: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14,002</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16,796</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20,511</w:t>
            </w:r>
          </w:p>
        </w:tc>
      </w:tr>
      <w:tr>
        <w:trPr>
          <w:trHeight w:val="203"/>
        </w:trPr>
        <w:tc>
          <w:tcPr>
            <w:tcW w:w="6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Amortization of deferred financing costs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647</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3,246</w:t>
            </w:r>
          </w:p>
        </w:tc>
      </w:tr>
      <w:tr>
        <w:trPr>
          <w:trHeight w:val="196"/>
        </w:trPr>
        <w:tc>
          <w:tcPr>
            <w:tcW w:w="686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term loan interest expense</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14,649</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17,496</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23,757</w:t>
            </w: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 xml:space="preserve">Beginning in June 2018, the Company was party to an operating lease and subsequent amendments for three office suites of approximately fifteen thousand square feet, seven thousand square feet and thirteen thousand square feet in Plymouth Meeting, PA, which was set to expire in November 2025. In November 2025, the Company </w:t>
      </w:r>
      <w:r>
        <w:rPr>
          <w:rFonts w:ascii="Arial" w:cs="Arial" w:eastAsia="Arial" w:hAnsi="Arial"/>
          <w:sz w:val="18"/>
          <w:szCs w:val="18"/>
          <w:color w:val="212529"/>
        </w:rPr>
        <w:t>entered into a new</w:t>
      </w:r>
      <w:r>
        <w:rPr>
          <w:rFonts w:ascii="Arial" w:cs="Arial" w:eastAsia="Arial" w:hAnsi="Arial"/>
          <w:sz w:val="18"/>
          <w:szCs w:val="18"/>
          <w:color w:val="auto"/>
        </w:rPr>
        <w:t xml:space="preserve"> </w:t>
      </w:r>
      <w:r>
        <w:rPr>
          <w:rFonts w:ascii="Arial" w:cs="Arial" w:eastAsia="Arial" w:hAnsi="Arial"/>
          <w:sz w:val="18"/>
          <w:szCs w:val="18"/>
          <w:color w:val="212529"/>
        </w:rPr>
        <w:t xml:space="preserve">operating lease amendment (the “PM Lease Amendment”) extending the lease through March 31, 2031. </w:t>
      </w:r>
      <w:r>
        <w:rPr>
          <w:rFonts w:ascii="Arial" w:cs="Arial" w:eastAsia="Arial" w:hAnsi="Arial"/>
          <w:sz w:val="18"/>
          <w:szCs w:val="18"/>
          <w:color w:val="000000"/>
        </w:rPr>
        <w:t>The terms of the</w:t>
      </w:r>
      <w:r>
        <w:rPr>
          <w:rFonts w:ascii="Arial" w:cs="Arial" w:eastAsia="Arial" w:hAnsi="Arial"/>
          <w:sz w:val="18"/>
          <w:szCs w:val="18"/>
          <w:color w:val="212529"/>
        </w:rPr>
        <w:t xml:space="preserve"> </w:t>
      </w:r>
      <w:r>
        <w:rPr>
          <w:rFonts w:ascii="Arial" w:cs="Arial" w:eastAsia="Arial" w:hAnsi="Arial"/>
          <w:sz w:val="18"/>
          <w:szCs w:val="18"/>
          <w:color w:val="000000"/>
        </w:rPr>
        <w:t>PM Lease Amendment provide for fixed rental payments on a monthly basis and on a graduated scale. Additionally, the terms of the PM Lease Amendment also provide the Company with an option to extend the lease for two additional five-year periods and an option to early terminate the lease effective on the forty-first month, which were not considered in the determination of the operating lease right-of-use asset (“ROU asset”) or operating lease liability as neither option is reasonably certain to be exercised by the Company.</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Company also leases a fleet of automobiles that are used by its sales representatives and are classified as operating leases.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60" w:firstLine="698"/>
        <w:spacing w:after="0" w:line="242" w:lineRule="auto"/>
        <w:rPr>
          <w:sz w:val="20"/>
          <w:szCs w:val="20"/>
          <w:color w:val="auto"/>
        </w:rPr>
      </w:pPr>
      <w:r>
        <w:rPr>
          <w:rFonts w:ascii="Arial" w:cs="Arial" w:eastAsia="Arial" w:hAnsi="Arial"/>
          <w:sz w:val="18"/>
          <w:szCs w:val="18"/>
          <w:color w:val="auto"/>
        </w:rPr>
        <w:t>As the rate implicit in the lease is not readily determinable, the Company’s operating lease right-of-use assets and operating lease liabilities are recognized based on the present value of the future lease payments using the Company’s incremental borrowing rate, defined as the rate of interest that it would have to borrow on a collateralized basis over a similar term an amount equal to the lease payments in a similar economic environment. As a policy election, leases with an initial term of 12 months or less are not recorded on the balance sheet. The Company’s leases have remaining lease terms of less than 1 year to approximately 5 years, some of which may include the option to extend or terminate the leases.</w:t>
      </w:r>
    </w:p>
    <w:p>
      <w:pPr>
        <w:spacing w:after="0" w:line="179" w:lineRule="exact"/>
        <w:rPr>
          <w:sz w:val="20"/>
          <w:szCs w:val="20"/>
          <w:color w:val="auto"/>
        </w:rPr>
      </w:pPr>
    </w:p>
    <w:p>
      <w:pPr>
        <w:jc w:val="both"/>
        <w:ind w:right="60" w:firstLine="648"/>
        <w:spacing w:after="0" w:line="271" w:lineRule="auto"/>
        <w:rPr>
          <w:sz w:val="20"/>
          <w:szCs w:val="20"/>
          <w:color w:val="auto"/>
        </w:rPr>
      </w:pPr>
      <w:r>
        <w:rPr>
          <w:rFonts w:ascii="Arial" w:cs="Arial" w:eastAsia="Arial" w:hAnsi="Arial"/>
          <w:sz w:val="18"/>
          <w:szCs w:val="18"/>
          <w:color w:val="auto"/>
        </w:rPr>
        <w:t>The Company recorded operating lease costs of $1,971, $2,099 and $1,811 for the years ended December 31, 2025, 2024 and 2023, respectively.</w:t>
      </w:r>
    </w:p>
    <w:p>
      <w:pPr>
        <w:spacing w:after="0" w:line="154" w:lineRule="exact"/>
        <w:rPr>
          <w:sz w:val="20"/>
          <w:szCs w:val="20"/>
          <w:color w:val="auto"/>
        </w:rPr>
      </w:pPr>
    </w:p>
    <w:p>
      <w:pPr>
        <w:jc w:val="both"/>
        <w:ind w:right="60" w:firstLine="648"/>
        <w:spacing w:after="0" w:line="271" w:lineRule="auto"/>
        <w:rPr>
          <w:sz w:val="20"/>
          <w:szCs w:val="20"/>
          <w:color w:val="auto"/>
        </w:rPr>
      </w:pPr>
      <w:r>
        <w:rPr>
          <w:rFonts w:ascii="Arial" w:cs="Arial" w:eastAsia="Arial" w:hAnsi="Arial"/>
          <w:sz w:val="18"/>
          <w:szCs w:val="18"/>
          <w:color w:val="auto"/>
        </w:rPr>
        <w:t>As of December 31, 2025, the weighted-average remaining lease term for operating leases was 4.6 years and the weighted-average discount rate for operating leases was 7.6%.</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operating leases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ind w:left="1740"/>
              <w:spacing w:after="0"/>
              <w:rPr>
                <w:sz w:val="20"/>
                <w:szCs w:val="20"/>
                <w:color w:val="auto"/>
              </w:rPr>
            </w:pPr>
            <w:r>
              <w:rPr>
                <w:rFonts w:ascii="Arial" w:cs="Arial" w:eastAsia="Arial" w:hAnsi="Arial"/>
                <w:sz w:val="14"/>
                <w:szCs w:val="14"/>
                <w:b w:val="1"/>
                <w:bCs w:val="1"/>
                <w:color w:val="auto"/>
              </w:rPr>
              <w:t>Leases</w:t>
            </w:r>
          </w:p>
        </w:tc>
        <w:tc>
          <w:tcPr>
            <w:tcW w:w="2940" w:type="dxa"/>
            <w:vAlign w:val="bottom"/>
          </w:tcPr>
          <w:p>
            <w:pPr>
              <w:ind w:left="1460"/>
              <w:spacing w:after="0"/>
              <w:rPr>
                <w:sz w:val="20"/>
                <w:szCs w:val="20"/>
                <w:color w:val="auto"/>
              </w:rPr>
            </w:pPr>
            <w:r>
              <w:rPr>
                <w:rFonts w:ascii="Arial" w:cs="Arial" w:eastAsia="Arial" w:hAnsi="Arial"/>
                <w:sz w:val="14"/>
                <w:szCs w:val="14"/>
                <w:b w:val="1"/>
                <w:bCs w:val="1"/>
                <w:color w:val="auto"/>
              </w:rPr>
              <w:t>Classification</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December 31, 2025</w:t>
            </w:r>
          </w:p>
        </w:tc>
        <w:tc>
          <w:tcPr>
            <w:tcW w:w="20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9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2940" w:type="dxa"/>
            <w:vAlign w:val="bottom"/>
          </w:tcPr>
          <w:p>
            <w:pPr>
              <w:ind w:left="420"/>
              <w:spacing w:after="0" w:line="202" w:lineRule="exact"/>
              <w:rPr>
                <w:sz w:val="20"/>
                <w:szCs w:val="20"/>
                <w:color w:val="auto"/>
              </w:rPr>
            </w:pPr>
            <w:r>
              <w:rPr>
                <w:rFonts w:ascii="Arial" w:cs="Arial" w:eastAsia="Arial" w:hAnsi="Arial"/>
                <w:sz w:val="18"/>
                <w:szCs w:val="18"/>
                <w:color w:val="auto"/>
              </w:rPr>
              <w:t>Other noncurrent assets</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5,344</w:t>
            </w:r>
          </w:p>
        </w:tc>
        <w:tc>
          <w:tcPr>
            <w:tcW w:w="200" w:type="dxa"/>
            <w:vAlign w:val="bottom"/>
            <w:gridSpan w:val="3"/>
          </w:tcPr>
          <w:p>
            <w:pPr>
              <w:ind w:left="8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2,122</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2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Operating lease liability, current portion</w:t>
            </w:r>
          </w:p>
        </w:tc>
        <w:tc>
          <w:tcPr>
            <w:tcW w:w="2940" w:type="dxa"/>
            <w:vAlign w:val="bottom"/>
          </w:tcPr>
          <w:p>
            <w:pPr>
              <w:ind w:left="420"/>
              <w:spacing w:after="0" w:line="202" w:lineRule="exact"/>
              <w:rPr>
                <w:sz w:val="20"/>
                <w:szCs w:val="20"/>
                <w:color w:val="auto"/>
              </w:rPr>
            </w:pPr>
            <w:r>
              <w:rPr>
                <w:rFonts w:ascii="Arial" w:cs="Arial" w:eastAsia="Arial" w:hAnsi="Arial"/>
                <w:sz w:val="18"/>
                <w:szCs w:val="18"/>
                <w:color w:val="auto"/>
              </w:rPr>
              <w:t>Other current liabilities</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1,073</w:t>
            </w:r>
          </w:p>
        </w:tc>
        <w:tc>
          <w:tcPr>
            <w:tcW w:w="200" w:type="dxa"/>
            <w:vAlign w:val="bottom"/>
            <w:gridSpan w:val="3"/>
          </w:tcPr>
          <w:p>
            <w:pPr>
              <w:ind w:left="8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1,318</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liability, long-term</w:t>
            </w:r>
          </w:p>
        </w:tc>
        <w:tc>
          <w:tcPr>
            <w:tcW w:w="29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Other long-term liabilities</w:t>
            </w:r>
          </w:p>
        </w:tc>
        <w:tc>
          <w:tcPr>
            <w:tcW w:w="5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4,512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r>
      <w:tr>
        <w:trPr>
          <w:trHeight w:val="196"/>
        </w:trPr>
        <w:tc>
          <w:tcPr>
            <w:tcW w:w="3540" w:type="dxa"/>
            <w:vAlign w:val="bottom"/>
          </w:tcPr>
          <w:p>
            <w:pPr>
              <w:ind w:left="260"/>
              <w:spacing w:after="0" w:line="196" w:lineRule="exact"/>
              <w:rPr>
                <w:sz w:val="20"/>
                <w:szCs w:val="20"/>
                <w:color w:val="auto"/>
              </w:rPr>
            </w:pPr>
            <w:r>
              <w:rPr>
                <w:rFonts w:ascii="Arial" w:cs="Arial" w:eastAsia="Arial" w:hAnsi="Arial"/>
                <w:sz w:val="18"/>
                <w:szCs w:val="18"/>
                <w:color w:val="auto"/>
              </w:rPr>
              <w:t>Total operating lease liabilities</w:t>
            </w:r>
          </w:p>
        </w:tc>
        <w:tc>
          <w:tcPr>
            <w:tcW w:w="2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5,585</w:t>
            </w:r>
          </w:p>
        </w:tc>
        <w:tc>
          <w:tcPr>
            <w:tcW w:w="100" w:type="dxa"/>
            <w:vAlign w:val="bottom"/>
            <w:gridSpan w:val="2"/>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2,140</w:t>
            </w:r>
          </w:p>
        </w:tc>
      </w:tr>
      <w:tr>
        <w:trPr>
          <w:trHeight w:val="20"/>
        </w:trPr>
        <w:tc>
          <w:tcPr>
            <w:tcW w:w="35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December 31, 2024</w:t>
            </w: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1,995</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2,156</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2,016</w:t>
            </w:r>
          </w:p>
        </w:tc>
      </w:tr>
      <w:tr>
        <w:trPr>
          <w:trHeight w:val="239"/>
        </w:trPr>
        <w:tc>
          <w:tcPr>
            <w:tcW w:w="5860" w:type="dxa"/>
            <w:vAlign w:val="bottom"/>
            <w:gridSpan w:val="2"/>
          </w:tcPr>
          <w:p>
            <w:pPr>
              <w:jc w:val="right"/>
              <w:spacing w:after="0"/>
              <w:rPr>
                <w:sz w:val="20"/>
                <w:szCs w:val="20"/>
                <w:color w:val="auto"/>
              </w:rPr>
            </w:pPr>
            <w:r>
              <w:rPr>
                <w:rFonts w:ascii="Arial" w:cs="Arial" w:eastAsia="Arial" w:hAnsi="Arial"/>
                <w:sz w:val="18"/>
                <w:szCs w:val="18"/>
                <w:color w:val="auto"/>
                <w:w w:val="99"/>
              </w:rPr>
              <w:t>Right of use assets obtained in exchange for operating lease obligations$</w:t>
            </w:r>
          </w:p>
        </w:tc>
        <w:tc>
          <w:tcPr>
            <w:tcW w:w="1300" w:type="dxa"/>
            <w:vAlign w:val="bottom"/>
          </w:tcPr>
          <w:p>
            <w:pPr>
              <w:jc w:val="right"/>
              <w:spacing w:after="0"/>
              <w:rPr>
                <w:sz w:val="20"/>
                <w:szCs w:val="20"/>
                <w:color w:val="auto"/>
              </w:rPr>
            </w:pPr>
            <w:r>
              <w:rPr>
                <w:rFonts w:ascii="Arial" w:cs="Arial" w:eastAsia="Arial" w:hAnsi="Arial"/>
                <w:sz w:val="18"/>
                <w:szCs w:val="18"/>
                <w:color w:val="auto"/>
              </w:rPr>
              <w:t>4,795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2,163</w:t>
            </w:r>
          </w:p>
        </w:tc>
      </w:tr>
    </w:tbl>
    <w:p>
      <w:pPr>
        <w:spacing w:after="0" w:line="350" w:lineRule="exact"/>
        <w:rPr>
          <w:sz w:val="20"/>
          <w:szCs w:val="20"/>
          <w:color w:val="auto"/>
        </w:rPr>
      </w:pPr>
    </w:p>
    <w:p>
      <w:pPr>
        <w:jc w:val="both"/>
        <w:ind w:right="60" w:firstLine="648"/>
        <w:spacing w:after="0" w:line="271" w:lineRule="auto"/>
        <w:rPr>
          <w:sz w:val="20"/>
          <w:szCs w:val="20"/>
          <w:color w:val="auto"/>
        </w:rPr>
      </w:pPr>
      <w:r>
        <w:rPr>
          <w:rFonts w:ascii="Arial" w:cs="Arial" w:eastAsia="Arial" w:hAnsi="Arial"/>
          <w:sz w:val="18"/>
          <w:szCs w:val="18"/>
          <w:color w:val="auto"/>
        </w:rPr>
        <w:t>Future payments under non-cancelable operating leases with initial terms of one year or more as of December 31, 2025,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0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362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r>
      <w:tr>
        <w:trPr>
          <w:trHeight w:val="203"/>
        </w:trPr>
        <w:tc>
          <w:tcPr>
            <w:tcW w:w="54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2026</w:t>
            </w:r>
          </w:p>
        </w:tc>
        <w:tc>
          <w:tcPr>
            <w:tcW w:w="3620" w:type="dxa"/>
            <w:vAlign w:val="bottom"/>
            <w:gridSpan w:val="2"/>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1,447</w:t>
            </w:r>
          </w:p>
        </w:tc>
      </w:tr>
      <w:tr>
        <w:trPr>
          <w:trHeight w:val="203"/>
        </w:trPr>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2027</w:t>
            </w:r>
          </w:p>
        </w:tc>
        <w:tc>
          <w:tcPr>
            <w:tcW w:w="3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1,307</w:t>
            </w:r>
          </w:p>
        </w:tc>
      </w:tr>
      <w:tr>
        <w:trPr>
          <w:trHeight w:val="203"/>
        </w:trPr>
        <w:tc>
          <w:tcPr>
            <w:tcW w:w="54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2028</w:t>
            </w:r>
          </w:p>
        </w:tc>
        <w:tc>
          <w:tcPr>
            <w:tcW w:w="3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1,229</w:t>
            </w:r>
          </w:p>
        </w:tc>
      </w:tr>
      <w:tr>
        <w:trPr>
          <w:trHeight w:val="203"/>
        </w:trPr>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2029</w:t>
            </w:r>
          </w:p>
        </w:tc>
        <w:tc>
          <w:tcPr>
            <w:tcW w:w="3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1,180</w:t>
            </w:r>
          </w:p>
        </w:tc>
      </w:tr>
      <w:tr>
        <w:trPr>
          <w:trHeight w:val="202"/>
        </w:trPr>
        <w:tc>
          <w:tcPr>
            <w:tcW w:w="54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2030</w:t>
            </w:r>
          </w:p>
        </w:tc>
        <w:tc>
          <w:tcPr>
            <w:tcW w:w="3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1,215</w:t>
            </w:r>
          </w:p>
        </w:tc>
      </w:tr>
      <w:tr>
        <w:trPr>
          <w:trHeight w:val="203"/>
        </w:trPr>
        <w:tc>
          <w:tcPr>
            <w:tcW w:w="54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Thereafter</w:t>
            </w:r>
          </w:p>
        </w:tc>
        <w:tc>
          <w:tcPr>
            <w:tcW w:w="32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311</w:t>
            </w: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payments</w:t>
            </w:r>
          </w:p>
        </w:tc>
        <w:tc>
          <w:tcPr>
            <w:tcW w:w="3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6,689</w:t>
            </w: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3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r>
      <w:tr>
        <w:trPr>
          <w:trHeight w:val="196"/>
        </w:trPr>
        <w:tc>
          <w:tcPr>
            <w:tcW w:w="5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lease liabilities</w:t>
            </w:r>
          </w:p>
        </w:tc>
        <w:tc>
          <w:tcPr>
            <w:tcW w:w="3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5,585</w:t>
            </w:r>
          </w:p>
        </w:tc>
      </w:tr>
      <w:tr>
        <w:trPr>
          <w:trHeight w:val="20"/>
        </w:trPr>
        <w:tc>
          <w:tcPr>
            <w:tcW w:w="54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Legal Proceedings</w:t>
      </w:r>
    </w:p>
    <w:p>
      <w:pPr>
        <w:spacing w:after="0" w:line="212" w:lineRule="exact"/>
        <w:rPr>
          <w:sz w:val="20"/>
          <w:szCs w:val="20"/>
          <w:color w:val="auto"/>
        </w:rPr>
      </w:pPr>
    </w:p>
    <w:p>
      <w:pPr>
        <w:jc w:val="both"/>
        <w:ind w:right="60" w:firstLine="648"/>
        <w:spacing w:after="0" w:line="244" w:lineRule="auto"/>
        <w:rPr>
          <w:sz w:val="20"/>
          <w:szCs w:val="20"/>
          <w:color w:val="auto"/>
        </w:rPr>
      </w:pPr>
      <w:r>
        <w:rPr>
          <w:rFonts w:ascii="Arial" w:cs="Arial" w:eastAsia="Arial" w:hAnsi="Arial"/>
          <w:sz w:val="18"/>
          <w:szCs w:val="18"/>
          <w:color w:val="auto"/>
        </w:rPr>
        <w:t xml:space="preserve">From </w:t>
      </w:r>
      <w:r>
        <w:rPr>
          <w:rFonts w:ascii="Arial" w:cs="Arial" w:eastAsia="Arial" w:hAnsi="Arial"/>
          <w:sz w:val="18"/>
          <w:szCs w:val="18"/>
          <w:color w:val="212529"/>
        </w:rPr>
        <w:t>time to time, the Company is subject to claims and suits arising in the ordinary course of business. The</w:t>
      </w:r>
      <w:r>
        <w:rPr>
          <w:rFonts w:ascii="Arial" w:cs="Arial" w:eastAsia="Arial" w:hAnsi="Arial"/>
          <w:sz w:val="18"/>
          <w:szCs w:val="18"/>
          <w:color w:val="auto"/>
        </w:rPr>
        <w:t xml:space="preserve"> </w:t>
      </w:r>
      <w:r>
        <w:rPr>
          <w:rFonts w:ascii="Arial" w:cs="Arial" w:eastAsia="Arial" w:hAnsi="Arial"/>
          <w:sz w:val="18"/>
          <w:szCs w:val="18"/>
          <w:color w:val="212529"/>
        </w:rPr>
        <w:t>Company accrues such liabilities when they are known, if they are deemed probable and can be reasonably estimated. Accruals may be adjusted from time to time, as appropriate, in light of new information. The amount of loss incurred in relation to matters for which an accrual has been established may be higher or lower than the amounts accrued. Any expenses, fines, fees, penalties, judgments or settlements that might be incurred by the Company in connection with</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80"/>
          </w:cols>
          <w:pgMar w:left="980" w:top="661" w:right="9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12529"/>
        </w:rPr>
        <w:t>proceedings could have a material adverse effect on the Company’s results of operations and financial condition. As of December 31, 2025, there were no material claims or lawsuits outstanding other than the Abbreviated New Drug Application (“ANDA”) litigation discussed below</w:t>
      </w:r>
      <w:r>
        <w:rPr>
          <w:rFonts w:ascii="Arial" w:cs="Arial" w:eastAsia="Arial" w:hAnsi="Arial"/>
          <w:sz w:val="18"/>
          <w:szCs w:val="18"/>
          <w:color w:val="000000"/>
        </w:rPr>
        <w: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ANDA Litigation</w:t>
      </w:r>
    </w:p>
    <w:p>
      <w:pPr>
        <w:spacing w:after="0" w:line="19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212529"/>
        </w:rPr>
        <w:t xml:space="preserve">In September 2023, the Company and its licensor, Bioprojet, received notice from Lupin Limited (“Lupin”)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“Lupin Notice Letter”) that Lupin has submitted ANDA No. 218846 (the “Lupin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U.S. Patent Nos. 8,486,947 (“’947 patent”) and 8,207,197 (“’197 patent”). The ’947 patent and the ‘197 patent are listed with respect to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in the FDA’s Orange Book and will expire in September 2029 and March 2030, respectively. The Lupin Notice Letter asserts that their generic product will not infringe the ’947 patent and the ‘197 patent and/or that the ’947 patent and the ‘197 patent are invalid or unenforceable. In November 2023, we, Bioprojet and Bioprojet’s wholly owned subsidiary, Bioprojet Pharma SAS (“Bioprojet Pharma”), filed a complaint for patent infringement of the ’947 patent and the ‘197 patent against Lupin and certain of their affiliates and agents in the United States District Court for the District of Delaware in response to the filing of their respective ANDAs with the FDA. In December 2024, the Company and Bioprojet received further notice from Lupin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w:t>
      </w:r>
      <w:r>
        <w:rPr>
          <w:rFonts w:ascii="Arial" w:cs="Arial" w:eastAsia="Arial" w:hAnsi="Arial"/>
          <w:sz w:val="18"/>
          <w:szCs w:val="18"/>
          <w:color w:val="212529"/>
        </w:rPr>
        <w:t xml:space="preserve"> </w:t>
      </w:r>
      <w:r>
        <w:rPr>
          <w:rFonts w:ascii="Arial" w:cs="Arial" w:eastAsia="Arial" w:hAnsi="Arial"/>
          <w:sz w:val="18"/>
          <w:szCs w:val="18"/>
          <w:i w:val="1"/>
          <w:iCs w:val="1"/>
          <w:color w:val="212529"/>
        </w:rPr>
        <w:t>seq</w:t>
      </w:r>
      <w:r>
        <w:rPr>
          <w:rFonts w:ascii="Arial" w:cs="Arial" w:eastAsia="Arial" w:hAnsi="Arial"/>
          <w:sz w:val="18"/>
          <w:szCs w:val="18"/>
          <w:color w:val="212529"/>
        </w:rPr>
        <w:t>. (the “Second Lupin Notice Letter”) that Lupin has submitted the Lupin ANDA to the FDA and is seeking regulatory</w:t>
      </w:r>
      <w:r>
        <w:rPr>
          <w:rFonts w:ascii="Arial" w:cs="Arial" w:eastAsia="Arial" w:hAnsi="Arial"/>
          <w:sz w:val="18"/>
          <w:szCs w:val="18"/>
          <w:i w:val="1"/>
          <w:iCs w:val="1"/>
          <w:color w:val="212529"/>
        </w:rPr>
        <w:t xml:space="preserve"> </w:t>
      </w:r>
      <w:r>
        <w:rPr>
          <w:rFonts w:ascii="Arial" w:cs="Arial" w:eastAsia="Arial" w:hAnsi="Arial"/>
          <w:sz w:val="18"/>
          <w:szCs w:val="18"/>
          <w:color w:val="212529"/>
        </w:rPr>
        <w:t>approval to market a generic version of WAKIX</w:t>
      </w:r>
      <w:r>
        <w:rPr>
          <w:rFonts w:ascii="Arial" w:cs="Arial" w:eastAsia="Arial" w:hAnsi="Arial"/>
          <w:sz w:val="20"/>
          <w:szCs w:val="20"/>
          <w:color w:val="212529"/>
          <w:vertAlign w:val="superscript"/>
        </w:rPr>
        <w:t>®</w:t>
      </w:r>
      <w:r>
        <w:rPr>
          <w:rFonts w:ascii="Arial" w:cs="Arial" w:eastAsia="Arial" w:hAnsi="Arial"/>
          <w:sz w:val="18"/>
          <w:szCs w:val="18"/>
          <w:color w:val="212529"/>
        </w:rPr>
        <w:t xml:space="preserve"> before the expiration of the ‘947 patent and the ‘197 patent. The Second Lupin Notice Letter asserts that its generic product will not infringe the ’947 patent and the ‘197 patent and/or that the ’947 patent and the ‘197 patent are invalid or unenforceable. In January 2025, we, Bioprojet and Bioprojet Pharma filed a complaint in the United States District Court for the District of Delaware for patent infringement of the ’947 patent and the ‘197 patent against Lupin. I</w:t>
      </w:r>
      <w:r>
        <w:rPr>
          <w:rFonts w:ascii="Arial" w:cs="Arial" w:eastAsia="Arial" w:hAnsi="Arial"/>
          <w:sz w:val="18"/>
          <w:szCs w:val="18"/>
          <w:color w:val="000000"/>
        </w:rPr>
        <w:t>n June 2025, the Company reached an agreement with Lupin to resolve the dispute over Lupin’s</w:t>
      </w:r>
      <w:r>
        <w:rPr>
          <w:rFonts w:ascii="Arial" w:cs="Arial" w:eastAsia="Arial" w:hAnsi="Arial"/>
          <w:sz w:val="18"/>
          <w:szCs w:val="18"/>
          <w:color w:val="212529"/>
        </w:rPr>
        <w:t xml:space="preserve"> </w:t>
      </w:r>
      <w:r>
        <w:rPr>
          <w:rFonts w:ascii="Arial" w:cs="Arial" w:eastAsia="Arial" w:hAnsi="Arial"/>
          <w:sz w:val="18"/>
          <w:szCs w:val="18"/>
          <w:color w:val="000000"/>
        </w:rPr>
        <w:t>ANDA to market a generic version of WAKIX. Under the terms of the settlement agreement, the litigation between the parties in the United States District Court for the District of Delaware will be dismissed, and Lupin will have a license to sell its generic product beginning July 2030 if WAKIX receives pediatric exclusivity, or earlier under certain circumstances</w:t>
      </w:r>
    </w:p>
    <w:p>
      <w:pPr>
        <w:spacing w:after="0" w:line="23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212529"/>
        </w:rPr>
        <w:t xml:space="preserve">In September 2023, the Company and Bioprojet received notice from Novugen Pharma Sdn. Bhd. (“Novugen”)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“Novugen Notice Letter”) that Novugen had submitted ANDA No. 218834 (the “Novugen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the ’947 patent and ’197 patent. The Novugen Notice Letter asserts that their generic product will not infringe the ’947 patent and the ‘197 patent and/or that the ’947 patent and the ‘197 patent are invalid or unenforceable. In November 2023, we, Bioprojet and Bioprojet’s wholly owned subsidiary, Bioprojet Pharma SAS (“Bioprojet Pharma”), filed a complaint for patent infringement of the ’947 patent and the ‘197 patent against Novugen and certain of their affiliates and agents in the United States District Court for the District of Delaware in response to the filing of their respective ANDAs with the FDA. In October 2024, the Company reached an agreement with Novugen Pharma to resolve the dispute over Novugen’s ANDA for a generic pitolisant hydrochloride product. Under the terms of the settlement agreement, the litigation between the parties in the United States District Court for the District of Delaware was ended on November 4, 2024, and Novugen will have a license to sell its generic product beginning July 2030 if WAKIX receives pediatric exclusivity, or earlier under certain circumstances.</w:t>
      </w:r>
    </w:p>
    <w:p>
      <w:pPr>
        <w:spacing w:after="0" w:line="20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212529"/>
        </w:rPr>
        <w:t xml:space="preserve">In October 2023, the Company and Bioprojet received notice from Novitium Pharma LLC (“Novitium”),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“Novitium Notice Letter”), that Novitium has submitted ANDA No. 218495 (the “Novitium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U.S. Patent No. 8,354,430 (the “’430 patent”), which is also listed with respect to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in the FDA’s Orange Book and will expire in February 2026. The Novitium Notice Letter asserts that its generic product will not infringe the ‘430 patent, ’947 patent and the ‘197 patent and/or that the ‘430 patent, ’947 patent and the ‘197 patent are invalid or unenforceable. In November 2023, the Company, Bioprojet and Bioprojet Pharma filed a complaint for patent infringement of the ’947 patent and the ‘197 patent against Novitium and certain of their affiliates and agents and for patent infringement of the ’430 patent against Novitium and certain of their affiliates and agents in the United States District Court for the District of Delaware in response to their filing of their respective ANDAs with the FDA. </w:t>
      </w:r>
      <w:r>
        <w:rPr>
          <w:rFonts w:ascii="Arial" w:cs="Arial" w:eastAsia="Arial" w:hAnsi="Arial"/>
          <w:sz w:val="18"/>
          <w:szCs w:val="18"/>
          <w:color w:val="000000"/>
        </w:rPr>
        <w:t>In January 2026, the Company</w:t>
      </w:r>
      <w:r>
        <w:rPr>
          <w:rFonts w:ascii="Arial" w:cs="Arial" w:eastAsia="Arial" w:hAnsi="Arial"/>
          <w:sz w:val="18"/>
          <w:szCs w:val="18"/>
          <w:color w:val="212529"/>
        </w:rPr>
        <w:t xml:space="preserve"> </w:t>
      </w:r>
      <w:r>
        <w:rPr>
          <w:rFonts w:ascii="Arial" w:cs="Arial" w:eastAsia="Arial" w:hAnsi="Arial"/>
          <w:sz w:val="18"/>
          <w:szCs w:val="18"/>
          <w:color w:val="000000"/>
        </w:rPr>
        <w:t>reached an agreement with Novitium to resolve the dispute over Novitium’s ANDA to market a generic version of WAKIX. Under the terms of the settlement agreement, the litigation between the parties in the United States District Court for the District of Delaware will be dismissed, and Novitium will have a license to sell its generic product beginning July 2030 if WAKIX receives pediatric exclusivity, or earlier under certain circumstances.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212529"/>
        </w:rPr>
        <w:t xml:space="preserve">In October 2023, the Company and Bioprojet received notice from Zenara Pharma Pvt. Ltd. (“Zenara”),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“Zenara Notice Letter”), that Zenara has submitted ANDA No. 218796 (the “Zenara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the ’430 patent, ’947 patent and the ’197 patent. The Zenara Notice Letter asserts that its generic product will not infringe the ‘430 patent, ’947 patent and the ‘197 patent and/or that the ‘430 patent, ’947 patent and the ‘197 patent are invalid or unenforceable. In November 2023, the Company, Bioprojet and Bioprojet Pharma filed a complaint for patent infringement of the ’947 patent and the ‘197 patent against Zenara and certain of their affiliates and agents and for patent infringement of the ’430 patent against Zenara and certain of their affiliates and agents in the United States District Court for the District of Delaware in response to their filing of their respective ANDAs with the FDA. </w:t>
      </w:r>
      <w:r>
        <w:rPr>
          <w:rFonts w:ascii="Arial" w:cs="Arial" w:eastAsia="Arial" w:hAnsi="Arial"/>
          <w:sz w:val="18"/>
          <w:szCs w:val="18"/>
          <w:color w:val="000000"/>
        </w:rPr>
        <w:t>In January 2026, the Company</w:t>
      </w:r>
      <w:r>
        <w:rPr>
          <w:rFonts w:ascii="Arial" w:cs="Arial" w:eastAsia="Arial" w:hAnsi="Arial"/>
          <w:sz w:val="18"/>
          <w:szCs w:val="18"/>
          <w:color w:val="212529"/>
        </w:rPr>
        <w:t xml:space="preserve"> </w:t>
      </w:r>
      <w:r>
        <w:rPr>
          <w:rFonts w:ascii="Arial" w:cs="Arial" w:eastAsia="Arial" w:hAnsi="Arial"/>
          <w:sz w:val="18"/>
          <w:szCs w:val="18"/>
          <w:color w:val="000000"/>
        </w:rPr>
        <w:t>reached an agreement with Hikma (to whom Zenara transferred its ANDA) to resolve the dispute over Hikma’s ANDA to market a generic version of WAKIX. Under the terms of the settlement agreement, the litigation between the parties in the United States District Court for the District of Delaware will be dismissed, and Hikma will have a license to sell its generic product beginning March 2030 if WAKIX receives pediatric exclusivity, or earlier under certain circumstances.</w:t>
      </w:r>
    </w:p>
    <w:p>
      <w:pPr>
        <w:spacing w:after="0" w:line="16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212529"/>
        </w:rPr>
        <w:t xml:space="preserve">In October 2023, the Company and Bioprojet received notice from AET Pharma US, Inc. (“AET”),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“AET Notice Letter”), that AET has submitted ANDA No. 218892 (the “AET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the ’947 patent and the ’197 patent. AET’s Notice Letter asserts that AET’s generic product will not infringe the ’947 patent and the ‘197 patent and/or that ’947 patent and the ‘197 patent are invalid or unenforceable. In November 2023, the Company, Bioprojet and Bioprojet Pharma filed a complaint for patent infringement of the ’947 patent and the ‘197 patent against AET and certain of their affiliates and agents in the United States District Court for the District of Delaware in response to their filing of their respective ANDAs with the FDA. In August 2024, the Company and Bioprojet received further notice from AET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(the “Second AET Notice Letter”) that AET has submitted the AET ANDA to the FDA and is seeking regulatory approval to market a generic version of WAKIX</w:t>
      </w:r>
      <w:r>
        <w:rPr>
          <w:rFonts w:ascii="Arial" w:cs="Arial" w:eastAsia="Arial" w:hAnsi="Arial"/>
          <w:sz w:val="20"/>
          <w:szCs w:val="20"/>
          <w:color w:val="212529"/>
          <w:vertAlign w:val="superscript"/>
        </w:rPr>
        <w:t>®</w:t>
      </w:r>
      <w:r>
        <w:rPr>
          <w:rFonts w:ascii="Arial" w:cs="Arial" w:eastAsia="Arial" w:hAnsi="Arial"/>
          <w:sz w:val="18"/>
          <w:szCs w:val="18"/>
          <w:color w:val="212529"/>
        </w:rPr>
        <w:t xml:space="preserve"> before the expiration of the ‘947 patent and the ‘197 patent. The Second AET Notice Letter asserts that its generic product will not infringe the ’947 patent and the ‘197 patent and/or that the ’947 patent and the ‘197 patent are invalid or unenforceable. In August 2024, we, Bioprojet and Bioprojet Pharma filed a complaint in the United States District Court for the District of Delaware for patent infringement of the ’947 patent and the ‘197 patent against AET.</w:t>
      </w:r>
    </w:p>
    <w:p>
      <w:pPr>
        <w:spacing w:after="0" w:line="17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212529"/>
        </w:rPr>
        <w:t xml:space="preserve">In October 2023, the Company and Bioprojet received notice from Annora Pharma Private Limited (“Annora”), pursuant to 21 U.S.C. § 355(j)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and 21 C.F.R. § 314.95 </w:t>
      </w:r>
      <w:r>
        <w:rPr>
          <w:rFonts w:ascii="Arial" w:cs="Arial" w:eastAsia="Arial" w:hAnsi="Arial"/>
          <w:sz w:val="18"/>
          <w:szCs w:val="18"/>
          <w:i w:val="1"/>
          <w:iCs w:val="1"/>
          <w:color w:val="212529"/>
        </w:rPr>
        <w:t>et seq.</w:t>
      </w:r>
      <w:r>
        <w:rPr>
          <w:rFonts w:ascii="Arial" w:cs="Arial" w:eastAsia="Arial" w:hAnsi="Arial"/>
          <w:sz w:val="18"/>
          <w:szCs w:val="18"/>
          <w:color w:val="212529"/>
        </w:rPr>
        <w:t xml:space="preserve"> (the “Annora Notice Letter”), that Annora has submitted ANDA No. 218832 (the “Annora ANDA”) to the FDA and is seeking regulatory approval to market a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before the expiration of the ’430 patent, the ’947 patent and the ’197 patent. The Annora Notice Letter asserts that its generic product will not infringe the ‘430 patent, ’947 patent and the ‘197 patent and/or that the ‘430 patent, ’947 patent and the ‘197 patent are invalid or unenforceable. In November 2023, the Company, Bioprojet and Bioprojet Pharma filed a complaint for patent infringement of the ’947 patent and the ‘197 patent against Annora and certain of their affiliates and agents and for patent infringement of the ’430 patent against Annora and certain of their affiliates and agents in the United States District Court for the District of Delaware in response to their filing of their respective ANDAs with the FDA. </w:t>
      </w:r>
      <w:r>
        <w:rPr>
          <w:rFonts w:ascii="Arial" w:cs="Arial" w:eastAsia="Arial" w:hAnsi="Arial"/>
          <w:sz w:val="18"/>
          <w:szCs w:val="18"/>
          <w:color w:val="000000"/>
        </w:rPr>
        <w:t>In March</w:t>
      </w:r>
      <w:r>
        <w:rPr>
          <w:rFonts w:ascii="Arial" w:cs="Arial" w:eastAsia="Arial" w:hAnsi="Arial"/>
          <w:sz w:val="18"/>
          <w:szCs w:val="18"/>
          <w:color w:val="212529"/>
        </w:rPr>
        <w:t xml:space="preserve"> </w:t>
      </w:r>
      <w:r>
        <w:rPr>
          <w:rFonts w:ascii="Arial" w:cs="Arial" w:eastAsia="Arial" w:hAnsi="Arial"/>
          <w:sz w:val="18"/>
          <w:szCs w:val="18"/>
          <w:color w:val="000000"/>
        </w:rPr>
        <w:t xml:space="preserve">2025, the Company reached an agreement with Annora to resolve the dispute over Annora’s ANDA for a generic pitolisant hydrochloride product. Under the terms of the settlement agreement, the litigation between the parties in the United States District Court for the District of Delaware was ended on March 31, 2025, and Annora will have a license to sell its generic product beginning July 2030 if WAKIX receives pediatric exclusivity, or earlier under certain </w:t>
      </w:r>
      <w:r>
        <w:rPr>
          <w:rFonts w:ascii="Arial" w:cs="Arial" w:eastAsia="Arial" w:hAnsi="Arial"/>
          <w:sz w:val="18"/>
          <w:szCs w:val="18"/>
          <w:color w:val="212529"/>
        </w:rPr>
        <w:t>circumstances.</w:t>
      </w:r>
    </w:p>
    <w:p>
      <w:pPr>
        <w:spacing w:after="0" w:line="5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212529"/>
        </w:rPr>
        <w:t>In October 2023, MSN Pharmaceuticals Inc. (“MSN Pharma”) sent correspondence to the Company and Bioprojet stating that MSN Pharma has submitted ANDA No. 218873 (the “MSN ANDA”) to the FDA and is seeking regulatory approval to market a generic version of WAKIX</w:t>
      </w:r>
      <w:r>
        <w:rPr>
          <w:rFonts w:ascii="Arial" w:cs="Arial" w:eastAsia="Arial" w:hAnsi="Arial"/>
          <w:sz w:val="26"/>
          <w:szCs w:val="26"/>
          <w:color w:val="212529"/>
          <w:vertAlign w:val="superscript"/>
        </w:rPr>
        <w:t>®</w:t>
      </w:r>
      <w:r>
        <w:rPr>
          <w:rFonts w:ascii="Arial" w:cs="Arial" w:eastAsia="Arial" w:hAnsi="Arial"/>
          <w:sz w:val="18"/>
          <w:szCs w:val="18"/>
          <w:color w:val="212529"/>
        </w:rPr>
        <w:t>. In December 2023, MSN Laboratories Private Limited (“MSN”) filed a declaratory judgment action in the United States District Court for the Eastern District of Virginia against Bioprojet claiming that the ‘430 patent, the ’947 patent and the ‘197 patent will not be infringed by MSN’s generic version of WAKIX</w:t>
      </w:r>
      <w:r>
        <w:rPr>
          <w:rFonts w:ascii="Arial" w:cs="Arial" w:eastAsia="Arial" w:hAnsi="Arial"/>
          <w:sz w:val="10"/>
          <w:szCs w:val="10"/>
          <w:color w:val="212529"/>
          <w:vertAlign w:val="superscript"/>
        </w:rPr>
        <w:t>®</w:t>
      </w:r>
      <w:r>
        <w:rPr>
          <w:rFonts w:ascii="Arial" w:cs="Arial" w:eastAsia="Arial" w:hAnsi="Arial"/>
          <w:sz w:val="18"/>
          <w:szCs w:val="18"/>
          <w:color w:val="212529"/>
        </w:rPr>
        <w:t xml:space="preserve"> and that the ‘947 patent is invalid. In December 2023, we, Bioprojet and Bioprojet Pharma filed a complaint in the United States District Court for the District of Delaware for patent infringement of the ‘430 patent, the ’947 patent and the ‘197 patent against MSN and MSN Pharma. In January 2024, the declaratory judgment action was transferred from the United States District Court for the Eastern District of Virginia to the United States District Court for the District of Delaware. </w:t>
      </w:r>
      <w:r>
        <w:rPr>
          <w:rFonts w:ascii="Arial" w:cs="Arial" w:eastAsia="Arial" w:hAnsi="Arial"/>
          <w:sz w:val="18"/>
          <w:szCs w:val="18"/>
          <w:color w:val="000000"/>
        </w:rPr>
        <w:t>In January</w:t>
      </w:r>
      <w:r>
        <w:rPr>
          <w:rFonts w:ascii="Arial" w:cs="Arial" w:eastAsia="Arial" w:hAnsi="Arial"/>
          <w:sz w:val="18"/>
          <w:szCs w:val="18"/>
          <w:color w:val="212529"/>
        </w:rPr>
        <w:t xml:space="preserve"> </w:t>
      </w:r>
      <w:r>
        <w:rPr>
          <w:rFonts w:ascii="Arial" w:cs="Arial" w:eastAsia="Arial" w:hAnsi="Arial"/>
          <w:sz w:val="18"/>
          <w:szCs w:val="18"/>
          <w:color w:val="000000"/>
        </w:rPr>
        <w:t>2026, the Company reached an agreement with MSN to resolve the dispute over MSN’s ANDA to market a generic version of WAKIX. Under the terms of the settlement agreement, the litigation between the parties in the United States District Court for the District of Delaware will be dismissed. The remaining terms of the settlement agreement remain confidential.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212529"/>
        </w:rPr>
        <w:t>In April 2024, the United States District Court for the District of Delaware issued a scheduling order consolidating the cases described above for all purposes up to and including trial (the “Scheduling Order”). The Scheduling Order set March 27, 2025, as the date for the hearing on claim construction and scheduled a bench trial that began on February 17, 2026, and concluded on February 19, 2026. A post-trial briefing schedule and closing arguments are to be scheduled at a later date.</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212529"/>
        </w:rPr>
        <w:t>Settlement amounts associated with ANDA litigation have been recognized in general and administrative expenses on the Company’s consolidated statements of operation and comprehensive income for the year ended December 31, 2025. Unpaid settlements as of December 31, 2025, have been recognized in accrued expenses on the Company’s consolidated balance sheets as of December 31, 2025.</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resolution of any ANDA litigation matters against the Company could have a significant negative effect on the Company’s results of operations.</w:t>
      </w:r>
    </w:p>
    <w:p>
      <w:pPr>
        <w:spacing w:after="0" w:line="167" w:lineRule="exact"/>
        <w:rPr>
          <w:sz w:val="20"/>
          <w:szCs w:val="20"/>
          <w:color w:val="auto"/>
        </w:rPr>
      </w:pPr>
    </w:p>
    <w:p>
      <w:pPr>
        <w:ind w:left="660" w:right="7340" w:hanging="652"/>
        <w:spacing w:after="0" w:line="513" w:lineRule="auto"/>
        <w:tabs>
          <w:tab w:leader="none" w:pos="312"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spacing w:after="0" w:line="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holders of common stock are entitled to one vote for each share held on all matters submitted to a vote of the Company’s stockholders. The holders of common stock do not have any cumulative voting rights. Holders of common stock are entitled to receive ratably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August 2023, the Company’s Board of Directors approved a program providing for the repurchase of shares of common stock in an aggregate amount of up to $125,000, excluding commissions and transaction fees (the “August 2023 Repurchase Program”). During the year ended December 31, 2023, the Company repurchased and retired 1,439,792 shares of common stock at an aggregate cost of $50,000 under the August 2023 Repurchase Program, excluding commissions and transaction fees.</w:t>
      </w:r>
    </w:p>
    <w:p>
      <w:pPr>
        <w:spacing w:after="0" w:line="17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October 2023, the Company’s Board of Directors terminated the August 2023 Repurchase Program and any remaining amount authorized for the repurchase of shares and simultaneously approved a new share repurchase program (the “October 2023 Repurchase Program”) providing for the repurchase of shares of common stock in an aggregate amount of up to $ 200,000, excluding commissions and transaction fees. The October 2023 Repurchase Program may be suspended, terminated, or modified at any time for any reason. During the years ended December 31, 2025, and 2024, the Company repurchased no shares of common stock. During the year ended December 31, 2023, the Company repurchases and retired 1,814,653 shares of common stock at an aggregate cost of $50,000 under the October 2023 Repurchase Program, excluding commissions and transaction fees. As of December 31, 2025, the remaining amount of common stock authorized for repurchase was $150,000.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 INCENTIVE PLAN AND STOCK-BASED COMPENSATION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2020 Stock Incentive Plan</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August 2020, the Company adopted, and its stockholders approved, the 2020 Incentive Award Plan (the “2020 Plan”), in order to facilitate the grant of cash and equity incentives to directors, employees (including the Company’s named executive officers) and consultants of the Company and its subsidiaries. The 2020 Plan provides for the grant of stock options, including incentive stock options (“ISOs”) and non-qualified stock options (“NSOs”), stock appreciation rights (“SARs”), restricted stock, dividend equivalents, restricted stock units (“RSUs”) and other stock or cash-based awards.</w:t>
      </w:r>
    </w:p>
    <w:p>
      <w:pPr>
        <w:spacing w:after="0" w:line="1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Stock options and stock appreciation rights under the 2020 Plan have a 10-year contractual term and vest over the vesting period specified in the applicable award agreement, at achievement of a performance requirement, or upon change of control (as defined in the applicable plan). RSUs vest over the vesting period specified in the applicable award agreement, at achievement of a performance requirement, or upon change of control (as defined in the applicable plan). As of December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color w:val="auto"/>
        </w:rPr>
        <w:t>31, 2025, there were 8,704,203 shares of common stock available for issuance under the 2020 Plan. The number of shares that may be issued under the 2020 Plan will automatically increase on January 1 of each year in an amount equal to the lesser of (i) 4.0% of the shares of the Company’s common stock outstanding on December 31 of the preceding year or (ii) an amount determined by the Company’s board of directors.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2017 Stock Incentive Plan</w:t>
      </w:r>
    </w:p>
    <w:p>
      <w:pPr>
        <w:spacing w:after="0" w:line="212" w:lineRule="exact"/>
        <w:rPr>
          <w:sz w:val="20"/>
          <w:szCs w:val="20"/>
          <w:color w:val="auto"/>
        </w:rPr>
      </w:pPr>
    </w:p>
    <w:p>
      <w:pPr>
        <w:jc w:val="both"/>
        <w:ind w:right="40" w:firstLine="648"/>
        <w:spacing w:after="0" w:line="244" w:lineRule="auto"/>
        <w:rPr>
          <w:sz w:val="20"/>
          <w:szCs w:val="20"/>
          <w:color w:val="auto"/>
        </w:rPr>
      </w:pPr>
      <w:r>
        <w:rPr>
          <w:rFonts w:ascii="Arial" w:cs="Arial" w:eastAsia="Arial" w:hAnsi="Arial"/>
          <w:sz w:val="18"/>
          <w:szCs w:val="18"/>
          <w:color w:val="auto"/>
        </w:rPr>
        <w:t>In August 2017, the Company adopted an equity incentive plan (the “2017 Plan”). Under the 2017 Plan, directors, officers, employees, consultants, and advisors of the Company can be paid incentive compensation measured by the value of the Company’s common shares through grants of stock options, SARs, or restricted stock. Following the adoption of the 2020 Plan, no further grants have been, or will be, made under the 2017 Plan. However, the 2017 Plan will continue to govern the terms and conditions of outstanding awards granted under it.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year ended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gridSpan w:val="2"/>
          </w:tcPr>
          <w:p>
            <w:pPr>
              <w:ind w:left="582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spacing w:after="0"/>
              <w:rPr>
                <w:sz w:val="14"/>
                <w:szCs w:val="14"/>
                <w:color w:val="auto"/>
              </w:rPr>
            </w:pPr>
          </w:p>
        </w:tc>
        <w:tc>
          <w:tcPr>
            <w:tcW w:w="2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Weighted-</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820" w:type="dxa"/>
            <w:vAlign w:val="bottom"/>
          </w:tcPr>
          <w:p>
            <w:pPr>
              <w:jc w:val="right"/>
              <w:ind w:right="38"/>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Remaining</w:t>
            </w:r>
          </w:p>
        </w:tc>
        <w:tc>
          <w:tcPr>
            <w:tcW w:w="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ind w:right="14"/>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Contractual</w:t>
            </w:r>
          </w:p>
        </w:tc>
        <w:tc>
          <w:tcPr>
            <w:tcW w:w="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5960" w:type="dxa"/>
            <w:vAlign w:val="bottom"/>
            <w:gridSpan w:val="2"/>
          </w:tcPr>
          <w:p>
            <w:pPr>
              <w:ind w:left="582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114"/>
              <w:spacing w:after="0"/>
              <w:rPr>
                <w:sz w:val="20"/>
                <w:szCs w:val="20"/>
                <w:color w:val="auto"/>
              </w:rPr>
            </w:pPr>
            <w:r>
              <w:rPr>
                <w:rFonts w:ascii="Arial" w:cs="Arial" w:eastAsia="Arial" w:hAnsi="Arial"/>
                <w:sz w:val="14"/>
                <w:szCs w:val="14"/>
                <w:b w:val="1"/>
                <w:bCs w:val="1"/>
                <w:color w:val="auto"/>
              </w:rPr>
              <w:t>Awards</w:t>
            </w:r>
          </w:p>
        </w:tc>
        <w:tc>
          <w:tcPr>
            <w:tcW w:w="28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Price</w:t>
            </w:r>
          </w:p>
        </w:tc>
        <w:tc>
          <w:tcPr>
            <w:tcW w:w="980" w:type="dxa"/>
            <w:vAlign w:val="bottom"/>
            <w:gridSpan w:val="2"/>
          </w:tcPr>
          <w:p>
            <w:pPr>
              <w:jc w:val="right"/>
              <w:ind w:right="158"/>
              <w:spacing w:after="0"/>
              <w:rPr>
                <w:sz w:val="20"/>
                <w:szCs w:val="20"/>
                <w:color w:val="auto"/>
              </w:rPr>
            </w:pPr>
            <w:r>
              <w:rPr>
                <w:rFonts w:ascii="Arial" w:cs="Arial" w:eastAsia="Arial" w:hAnsi="Arial"/>
                <w:sz w:val="14"/>
                <w:szCs w:val="14"/>
                <w:b w:val="1"/>
                <w:bCs w:val="1"/>
                <w:color w:val="auto"/>
              </w:rPr>
              <w:t>​​​   Term</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2024</w:t>
            </w:r>
          </w:p>
        </w:tc>
        <w:tc>
          <w:tcPr>
            <w:tcW w:w="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7,157,235</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32.48</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w:t>
            </w: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line="202" w:lineRule="exact"/>
              <w:rPr>
                <w:sz w:val="20"/>
                <w:szCs w:val="20"/>
                <w:color w:val="auto"/>
              </w:rPr>
            </w:pPr>
            <w:r>
              <w:rPr>
                <w:rFonts w:ascii="Arial" w:cs="Arial" w:eastAsia="Arial" w:hAnsi="Arial"/>
                <w:sz w:val="18"/>
                <w:szCs w:val="18"/>
                <w:color w:val="auto"/>
              </w:rPr>
              <w:t>Awards issued</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9"/>
              </w:rPr>
              <w:t>1,427,931</w:t>
            </w:r>
          </w:p>
        </w:tc>
        <w:tc>
          <w:tcPr>
            <w:tcW w:w="28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36.13</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Awards exercised</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(439,606)</w:t>
            </w:r>
          </w:p>
        </w:tc>
        <w:tc>
          <w:tcPr>
            <w:tcW w:w="2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22.01</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line="202" w:lineRule="exact"/>
              <w:rPr>
                <w:sz w:val="20"/>
                <w:szCs w:val="20"/>
                <w:color w:val="auto"/>
              </w:rPr>
            </w:pPr>
            <w:r>
              <w:rPr>
                <w:rFonts w:ascii="Arial" w:cs="Arial" w:eastAsia="Arial" w:hAnsi="Arial"/>
                <w:sz w:val="18"/>
                <w:szCs w:val="18"/>
                <w:color w:val="auto"/>
              </w:rPr>
              <w:t>Awards forfeited</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(283,635)</w:t>
            </w:r>
          </w:p>
        </w:tc>
        <w:tc>
          <w:tcPr>
            <w:tcW w:w="28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36.95</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2025</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7,861,925</w:t>
            </w:r>
          </w:p>
        </w:tc>
        <w:tc>
          <w:tcPr>
            <w:tcW w:w="280" w:type="dxa"/>
            <w:vAlign w:val="bottom"/>
            <w:tcBorders>
              <w:top w:val="single" w:sz="8" w:color="CCEEFF"/>
              <w:bottom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33.56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w:t>
            </w:r>
          </w:p>
        </w:tc>
        <w:tc>
          <w:tcPr>
            <w:tcW w:w="2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51,952</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tcBorders>
              <w:bottom w:val="single" w:sz="8" w:color="CCEEFF"/>
            </w:tcBorders>
          </w:tcPr>
          <w:p>
            <w:pPr>
              <w:spacing w:after="0" w:line="183" w:lineRule="exact"/>
              <w:rPr>
                <w:sz w:val="20"/>
                <w:szCs w:val="20"/>
                <w:color w:val="auto"/>
              </w:rPr>
            </w:pPr>
            <w:r>
              <w:rPr>
                <w:rFonts w:ascii="Arial" w:cs="Arial" w:eastAsia="Arial" w:hAnsi="Arial"/>
                <w:sz w:val="18"/>
                <w:szCs w:val="18"/>
                <w:color w:val="auto"/>
              </w:rPr>
              <w:t>Awards exercisable—December 31, 2025</w:t>
            </w:r>
          </w:p>
        </w:tc>
        <w:tc>
          <w:tcPr>
            <w:tcW w:w="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9"/>
              </w:rPr>
              <w:t>5,624,889</w:t>
            </w:r>
          </w:p>
        </w:tc>
        <w:tc>
          <w:tcPr>
            <w:tcW w:w="280" w:type="dxa"/>
            <w:vAlign w:val="bottom"/>
            <w:tcBorders>
              <w:bottom w:val="single" w:sz="8" w:color="CCEEFF"/>
            </w:tcBorders>
            <w:gridSpan w:val="2"/>
          </w:tcPr>
          <w:p>
            <w:pPr>
              <w:ind w:left="160"/>
              <w:spacing w:after="0" w:line="183"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32.86</w:t>
            </w:r>
          </w:p>
        </w:tc>
        <w:tc>
          <w:tcPr>
            <w:tcW w:w="160" w:type="dxa"/>
            <w:vAlign w:val="bottom"/>
            <w:tcBorders>
              <w:bottom w:val="single" w:sz="8" w:color="CCEEFF"/>
            </w:tcBorders>
            <w:vMerge w:val="continue"/>
          </w:tcPr>
          <w:p>
            <w:pPr>
              <w:spacing w:after="0"/>
              <w:rPr>
                <w:sz w:val="19"/>
                <w:szCs w:val="19"/>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5.4</w:t>
            </w:r>
          </w:p>
        </w:tc>
        <w:tc>
          <w:tcPr>
            <w:tcW w:w="26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44,826</w:t>
            </w:r>
          </w:p>
        </w:tc>
        <w:tc>
          <w:tcPr>
            <w:tcW w:w="0" w:type="dxa"/>
            <w:vAlign w:val="bottom"/>
          </w:tcPr>
          <w:p>
            <w:pPr>
              <w:spacing w:after="0"/>
              <w:rPr>
                <w:sz w:val="1"/>
                <w:szCs w:val="1"/>
                <w:color w:val="auto"/>
              </w:rPr>
            </w:pPr>
          </w:p>
        </w:tc>
      </w:tr>
      <w:tr>
        <w:trPr>
          <w:trHeight w:val="183"/>
        </w:trPr>
        <w:tc>
          <w:tcPr>
            <w:tcW w:w="590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Awards unvested—December 31, 2025</w:t>
            </w:r>
          </w:p>
        </w:tc>
        <w:tc>
          <w:tcPr>
            <w:tcW w:w="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99"/>
              </w:rPr>
              <w:t>2,237,036</w:t>
            </w:r>
          </w:p>
        </w:tc>
        <w:tc>
          <w:tcPr>
            <w:tcW w:w="280" w:type="dxa"/>
            <w:vAlign w:val="bottom"/>
            <w:tcBorders>
              <w:bottom w:val="single" w:sz="8" w:color="CCEEFF"/>
            </w:tcBorders>
            <w:gridSpan w:val="2"/>
            <w:shd w:val="clear" w:color="auto" w:fill="CCEEFF"/>
          </w:tcPr>
          <w:p>
            <w:pPr>
              <w:ind w:left="160"/>
              <w:spacing w:after="0" w:line="183"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35.34</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8.6</w:t>
            </w:r>
          </w:p>
        </w:tc>
        <w:tc>
          <w:tcPr>
            <w:tcW w:w="26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7,126</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18"/>
          <w:szCs w:val="18"/>
          <w:color w:val="auto"/>
        </w:rPr>
        <w:t>The weighted-average grant-date fair values of stock options granted during the years ended December 31, 2025, and 2024, were $24.08 and $20.68, respectively. The total intrinsic value of stock options exercised for the years ended December 31, 2025, and 2024, were $6,439 and $4,328, respectively.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Appreciation Rights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SARs activity for the year ended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gridSpan w:val="2"/>
          </w:tcPr>
          <w:p>
            <w:pPr>
              <w:ind w:left="590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1020" w:type="dxa"/>
            <w:vAlign w:val="bottom"/>
            <w:gridSpan w:val="3"/>
          </w:tcPr>
          <w:p>
            <w:pPr>
              <w:jc w:val="right"/>
              <w:ind w:right="3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Weighted-</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9"/>
              </w:rPr>
              <w:t>Number of</w:t>
            </w:r>
          </w:p>
        </w:tc>
        <w:tc>
          <w:tcPr>
            <w:tcW w:w="1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6040" w:type="dxa"/>
            <w:vAlign w:val="bottom"/>
            <w:gridSpan w:val="2"/>
          </w:tcPr>
          <w:p>
            <w:pPr>
              <w:ind w:left="590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Awards</w:t>
            </w:r>
          </w:p>
        </w:tc>
        <w:tc>
          <w:tcPr>
            <w:tcW w:w="24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center"/>
              <w:ind w:right="33"/>
              <w:spacing w:after="0"/>
              <w:rPr>
                <w:sz w:val="20"/>
                <w:szCs w:val="20"/>
                <w:color w:val="auto"/>
              </w:rPr>
            </w:pPr>
            <w:r>
              <w:rPr>
                <w:rFonts w:ascii="Arial" w:cs="Arial" w:eastAsia="Arial" w:hAnsi="Arial"/>
                <w:sz w:val="14"/>
                <w:szCs w:val="14"/>
                <w:b w:val="1"/>
                <w:bCs w:val="1"/>
                <w:color w:val="auto"/>
              </w:rPr>
              <w:t>Price</w:t>
            </w: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   Term</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2024</w:t>
            </w:r>
          </w:p>
        </w:tc>
        <w:tc>
          <w:tcPr>
            <w:tcW w:w="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gridSpan w:val="2"/>
          </w:tcPr>
          <w:p>
            <w:pPr>
              <w:spacing w:after="0" w:line="202" w:lineRule="exact"/>
              <w:rPr>
                <w:sz w:val="20"/>
                <w:szCs w:val="20"/>
                <w:color w:val="auto"/>
              </w:rPr>
            </w:pPr>
            <w:r>
              <w:rPr>
                <w:rFonts w:ascii="Arial" w:cs="Arial" w:eastAsia="Arial" w:hAnsi="Arial"/>
                <w:sz w:val="18"/>
                <w:szCs w:val="18"/>
                <w:color w:val="auto"/>
              </w:rPr>
              <w:t>Awards issued</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Awards exercised</w:t>
            </w: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(9,737)</w:t>
            </w:r>
          </w:p>
        </w:tc>
        <w:tc>
          <w:tcPr>
            <w:tcW w:w="24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11.66</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40" w:type="dxa"/>
            <w:vAlign w:val="bottom"/>
            <w:gridSpan w:val="2"/>
          </w:tcPr>
          <w:p>
            <w:pPr>
              <w:spacing w:after="0" w:line="202" w:lineRule="exact"/>
              <w:rPr>
                <w:sz w:val="20"/>
                <w:szCs w:val="20"/>
                <w:color w:val="auto"/>
              </w:rPr>
            </w:pPr>
            <w:r>
              <w:rPr>
                <w:rFonts w:ascii="Arial" w:cs="Arial" w:eastAsia="Arial" w:hAnsi="Arial"/>
                <w:sz w:val="18"/>
                <w:szCs w:val="18"/>
                <w:color w:val="auto"/>
              </w:rPr>
              <w:t>Awards forfeited</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2025</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33,471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80" w:type="dxa"/>
            <w:vAlign w:val="bottom"/>
          </w:tcPr>
          <w:p>
            <w:pPr>
              <w:spacing w:after="0" w:line="183" w:lineRule="exact"/>
              <w:rPr>
                <w:sz w:val="20"/>
                <w:szCs w:val="20"/>
                <w:color w:val="auto"/>
              </w:rPr>
            </w:pPr>
            <w:r>
              <w:rPr>
                <w:rFonts w:ascii="Arial" w:cs="Arial" w:eastAsia="Arial" w:hAnsi="Arial"/>
                <w:sz w:val="18"/>
                <w:szCs w:val="18"/>
                <w:color w:val="auto"/>
              </w:rPr>
              <w:t>Awards exercisable—December 31, 2025</w:t>
            </w:r>
          </w:p>
        </w:tc>
        <w:tc>
          <w:tcPr>
            <w:tcW w:w="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33,471</w:t>
            </w:r>
          </w:p>
        </w:tc>
        <w:tc>
          <w:tcPr>
            <w:tcW w:w="40" w:type="dxa"/>
            <w:vAlign w:val="bottom"/>
          </w:tcPr>
          <w:p>
            <w:pPr>
              <w:spacing w:after="0"/>
              <w:rPr>
                <w:sz w:val="15"/>
                <w:szCs w:val="15"/>
                <w:color w:val="auto"/>
              </w:rPr>
            </w:pPr>
          </w:p>
        </w:tc>
        <w:tc>
          <w:tcPr>
            <w:tcW w:w="240" w:type="dxa"/>
            <w:vAlign w:val="bottom"/>
            <w:gridSpan w:val="2"/>
          </w:tcPr>
          <w:p>
            <w:pPr>
              <w:ind w:left="120"/>
              <w:spacing w:after="0" w:line="183"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8.72</w:t>
            </w:r>
          </w:p>
        </w:tc>
        <w:tc>
          <w:tcPr>
            <w:tcW w:w="160" w:type="dxa"/>
            <w:vAlign w:val="bottom"/>
            <w:vMerge w:val="continue"/>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3.2</w:t>
            </w:r>
          </w:p>
        </w:tc>
        <w:tc>
          <w:tcPr>
            <w:tcW w:w="60" w:type="dxa"/>
            <w:vAlign w:val="bottom"/>
          </w:tcPr>
          <w:p>
            <w:pPr>
              <w:spacing w:after="0"/>
              <w:rPr>
                <w:sz w:val="15"/>
                <w:szCs w:val="15"/>
                <w:color w:val="auto"/>
              </w:rPr>
            </w:pPr>
          </w:p>
        </w:tc>
        <w:tc>
          <w:tcPr>
            <w:tcW w:w="22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692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4820"/>
              <w:spacing w:after="0"/>
              <w:rPr>
                <w:sz w:val="20"/>
                <w:szCs w:val="20"/>
                <w:color w:val="auto"/>
              </w:rPr>
            </w:pPr>
            <w:r>
              <w:rPr>
                <w:rFonts w:ascii="Arial" w:cs="Arial" w:eastAsia="Arial" w:hAnsi="Arial"/>
                <w:sz w:val="18"/>
                <w:szCs w:val="18"/>
                <w:color w:val="auto"/>
              </w:rPr>
              <w:t>116</w:t>
            </w: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59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5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661" w:right="9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RSU activity for the year ended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gridSpan w:val="2"/>
          </w:tcPr>
          <w:p>
            <w:pPr>
              <w:ind w:left="750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spacing w:after="0"/>
              <w:rPr>
                <w:sz w:val="17"/>
                <w:szCs w:val="17"/>
                <w:color w:val="auto"/>
              </w:rPr>
            </w:pPr>
          </w:p>
        </w:tc>
        <w:tc>
          <w:tcPr>
            <w:tcW w:w="320" w:type="dxa"/>
            <w:vAlign w:val="bottom"/>
            <w:gridSpan w:val="2"/>
          </w:tcPr>
          <w:p>
            <w:pPr>
              <w:jc w:val="right"/>
              <w:ind w:right="19"/>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28"/>
        </w:trPr>
        <w:tc>
          <w:tcPr>
            <w:tcW w:w="7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55"/>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7740" w:type="dxa"/>
            <w:vAlign w:val="bottom"/>
            <w:gridSpan w:val="2"/>
          </w:tcPr>
          <w:p>
            <w:pPr>
              <w:ind w:left="750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255"/>
              <w:spacing w:after="0"/>
              <w:rPr>
                <w:sz w:val="20"/>
                <w:szCs w:val="20"/>
                <w:color w:val="auto"/>
              </w:rPr>
            </w:pPr>
            <w:r>
              <w:rPr>
                <w:rFonts w:ascii="Arial" w:cs="Arial" w:eastAsia="Arial" w:hAnsi="Arial"/>
                <w:sz w:val="14"/>
                <w:szCs w:val="14"/>
                <w:b w:val="1"/>
                <w:bCs w:val="1"/>
                <w:color w:val="auto"/>
              </w:rPr>
              <w:t>Awards</w:t>
            </w:r>
          </w:p>
        </w:tc>
        <w:tc>
          <w:tcPr>
            <w:tcW w:w="32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ind w:right="3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7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2024</w:t>
            </w: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638,900</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03"/>
        </w:trPr>
        <w:tc>
          <w:tcPr>
            <w:tcW w:w="7740" w:type="dxa"/>
            <w:vAlign w:val="bottom"/>
            <w:gridSpan w:val="2"/>
          </w:tcPr>
          <w:p>
            <w:pPr>
              <w:spacing w:after="0" w:line="202" w:lineRule="exact"/>
              <w:rPr>
                <w:sz w:val="20"/>
                <w:szCs w:val="20"/>
                <w:color w:val="auto"/>
              </w:rPr>
            </w:pPr>
            <w:r>
              <w:rPr>
                <w:rFonts w:ascii="Arial" w:cs="Arial" w:eastAsia="Arial" w:hAnsi="Arial"/>
                <w:sz w:val="18"/>
                <w:szCs w:val="18"/>
                <w:color w:val="auto"/>
              </w:rPr>
              <w:t>Awards issued</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458,650</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03"/>
        </w:trPr>
        <w:tc>
          <w:tcPr>
            <w:tcW w:w="7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Awards vested</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(215,795)</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03"/>
        </w:trPr>
        <w:tc>
          <w:tcPr>
            <w:tcW w:w="7740" w:type="dxa"/>
            <w:vAlign w:val="bottom"/>
            <w:gridSpan w:val="2"/>
          </w:tcPr>
          <w:p>
            <w:pPr>
              <w:spacing w:after="0" w:line="202" w:lineRule="exact"/>
              <w:rPr>
                <w:sz w:val="20"/>
                <w:szCs w:val="20"/>
                <w:color w:val="auto"/>
              </w:rPr>
            </w:pPr>
            <w:r>
              <w:rPr>
                <w:rFonts w:ascii="Arial" w:cs="Arial" w:eastAsia="Arial" w:hAnsi="Arial"/>
                <w:sz w:val="18"/>
                <w:szCs w:val="18"/>
                <w:color w:val="auto"/>
              </w:rPr>
              <w:t>Awards forfeited</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(85,257)</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196"/>
        </w:trPr>
        <w:tc>
          <w:tcPr>
            <w:tcW w:w="76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2025</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796,498</w:t>
            </w:r>
          </w:p>
        </w:tc>
        <w:tc>
          <w:tcPr>
            <w:tcW w:w="32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Value of Stock Options and SARs</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 values options and SARs using the Black-Scholes option-pricing model. The Company lacks sufficient historical company-specific volatility information. Therefore, the Company estimates expected stock volatility based on historical volatility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For SARs, the expected term is based upon the weighting of certain future events. The risk-free interest rate is determined by reference to the U.S. Treasury yield curve in effect at the time of grant of the award for the time periods approximately equal to the expected term of the award. An expected dividend yield of 0% is based on the fact that the Company has never paid cash dividends and does not expect to do so in the foreseeable future.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assumptions used to value the awards are summarized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55"/>
        </w:trPr>
        <w:tc>
          <w:tcPr>
            <w:tcW w:w="4060" w:type="dxa"/>
            <w:vAlign w:val="bottom"/>
          </w:tcPr>
          <w:p>
            <w:pPr>
              <w:spacing w:after="0"/>
              <w:rPr>
                <w:sz w:val="13"/>
                <w:szCs w:val="13"/>
                <w:color w:val="auto"/>
              </w:rPr>
            </w:pPr>
          </w:p>
        </w:tc>
        <w:tc>
          <w:tcPr>
            <w:tcW w:w="1900" w:type="dxa"/>
            <w:vAlign w:val="bottom"/>
            <w:gridSpan w:val="2"/>
          </w:tcPr>
          <w:p>
            <w:pPr>
              <w:ind w:left="1680"/>
              <w:spacing w:after="0" w:line="155"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3"/>
                <w:szCs w:val="13"/>
                <w:color w:val="auto"/>
              </w:rPr>
            </w:pPr>
          </w:p>
        </w:tc>
        <w:tc>
          <w:tcPr>
            <w:tcW w:w="280" w:type="dxa"/>
            <w:vAlign w:val="bottom"/>
          </w:tcPr>
          <w:p>
            <w:pPr>
              <w:jc w:val="right"/>
              <w:ind w:right="2"/>
              <w:spacing w:after="0" w:line="155"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2024</w:t>
            </w:r>
          </w:p>
        </w:tc>
        <w:tc>
          <w:tcPr>
            <w:tcW w:w="9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96"/>
        </w:trPr>
        <w:tc>
          <w:tcPr>
            <w:tcW w:w="4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Dividend yield</w:t>
            </w:r>
          </w:p>
        </w:tc>
        <w:tc>
          <w:tcPr>
            <w:tcW w:w="1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80" w:type="dxa"/>
            <w:vAlign w:val="bottom"/>
            <w:tcBorders>
              <w:top w:val="single" w:sz="8" w:color="CCEEFF"/>
            </w:tcBorders>
            <w:shd w:val="clear" w:color="auto" w:fill="CCEEFF"/>
          </w:tcPr>
          <w:p>
            <w:pPr>
              <w:jc w:val="right"/>
              <w:ind w:right="42"/>
              <w:spacing w:after="0" w:line="196" w:lineRule="exact"/>
              <w:rPr>
                <w:sz w:val="20"/>
                <w:szCs w:val="20"/>
                <w:color w:val="auto"/>
              </w:rPr>
            </w:pPr>
            <w:r>
              <w:rPr>
                <w:rFonts w:ascii="Arial" w:cs="Arial" w:eastAsia="Arial" w:hAnsi="Arial"/>
                <w:sz w:val="18"/>
                <w:szCs w:val="18"/>
                <w:color w:val="auto"/>
                <w:w w:val="87"/>
              </w:rPr>
              <w:t>%</w:t>
            </w:r>
          </w:p>
        </w:tc>
        <w:tc>
          <w:tcPr>
            <w:tcW w:w="11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0.00</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3180" w:type="dxa"/>
            <w:vAlign w:val="bottom"/>
            <w:gridSpan w:val="5"/>
          </w:tcPr>
          <w:p>
            <w:pPr>
              <w:jc w:val="right"/>
              <w:ind w:right="42"/>
              <w:spacing w:after="0" w:line="202" w:lineRule="exact"/>
              <w:rPr>
                <w:sz w:val="20"/>
                <w:szCs w:val="20"/>
                <w:color w:val="auto"/>
              </w:rPr>
            </w:pPr>
            <w:r>
              <w:rPr>
                <w:rFonts w:ascii="Arial" w:cs="Arial" w:eastAsia="Arial" w:hAnsi="Arial"/>
                <w:sz w:val="18"/>
                <w:szCs w:val="18"/>
                <w:color w:val="auto"/>
              </w:rPr>
              <w:t>69.03 - 71.43 %</w:t>
            </w:r>
          </w:p>
        </w:tc>
        <w:tc>
          <w:tcPr>
            <w:tcW w:w="2600" w:type="dxa"/>
            <w:vAlign w:val="bottom"/>
            <w:gridSpan w:val="6"/>
          </w:tcPr>
          <w:p>
            <w:pPr>
              <w:jc w:val="right"/>
              <w:spacing w:after="0" w:line="202" w:lineRule="exact"/>
              <w:rPr>
                <w:sz w:val="20"/>
                <w:szCs w:val="20"/>
                <w:color w:val="auto"/>
              </w:rPr>
            </w:pPr>
            <w:r>
              <w:rPr>
                <w:rFonts w:ascii="Arial" w:cs="Arial" w:eastAsia="Arial" w:hAnsi="Arial"/>
                <w:sz w:val="18"/>
                <w:szCs w:val="18"/>
                <w:color w:val="auto"/>
                <w:w w:val="99"/>
              </w:rPr>
              <w:t>69.84 - 72.98 % 74.87 - 80.78 %</w:t>
            </w: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3.72 - 4.44</w:t>
            </w:r>
          </w:p>
        </w:tc>
        <w:tc>
          <w:tcPr>
            <w:tcW w:w="320" w:type="dxa"/>
            <w:vAlign w:val="bottom"/>
            <w:gridSpan w:val="2"/>
            <w:shd w:val="clear" w:color="auto" w:fill="CCEEFF"/>
          </w:tcPr>
          <w:p>
            <w:pPr>
              <w:jc w:val="right"/>
              <w:ind w:right="4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3.51 - 4.65</w:t>
            </w: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3.42 -</w:t>
            </w:r>
          </w:p>
        </w:tc>
        <w:tc>
          <w:tcPr>
            <w:tcW w:w="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9"/>
              </w:rPr>
              <w:t>4.62 %</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Lack of marketability discount</w:t>
            </w: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tcPr>
          <w:p>
            <w:pPr>
              <w:jc w:val="right"/>
              <w:ind w:right="42"/>
              <w:spacing w:after="0" w:line="202" w:lineRule="exact"/>
              <w:rPr>
                <w:sz w:val="20"/>
                <w:szCs w:val="20"/>
                <w:color w:val="auto"/>
              </w:rPr>
            </w:pPr>
            <w:r>
              <w:rPr>
                <w:rFonts w:ascii="Arial" w:cs="Arial" w:eastAsia="Arial" w:hAnsi="Arial"/>
                <w:sz w:val="18"/>
                <w:szCs w:val="18"/>
                <w:color w:val="auto"/>
              </w:rPr>
              <w:t>0.00 %</w:t>
            </w:r>
          </w:p>
        </w:tc>
        <w:tc>
          <w:tcPr>
            <w:tcW w:w="12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0.00 %</w:t>
            </w:r>
          </w:p>
        </w:tc>
        <w:tc>
          <w:tcPr>
            <w:tcW w:w="740" w:type="dxa"/>
            <w:vAlign w:val="bottom"/>
          </w:tcPr>
          <w:p>
            <w:pPr>
              <w:spacing w:after="0"/>
              <w:rPr>
                <w:sz w:val="17"/>
                <w:szCs w:val="17"/>
                <w:color w:val="auto"/>
              </w:rPr>
            </w:pPr>
          </w:p>
        </w:tc>
        <w:tc>
          <w:tcPr>
            <w:tcW w:w="580" w:type="dxa"/>
            <w:vAlign w:val="bottom"/>
            <w:gridSpan w:val="2"/>
          </w:tcPr>
          <w:p>
            <w:pPr>
              <w:spacing w:after="0" w:line="202" w:lineRule="exact"/>
              <w:rPr>
                <w:sz w:val="20"/>
                <w:szCs w:val="20"/>
                <w:color w:val="auto"/>
              </w:rPr>
            </w:pPr>
            <w:r>
              <w:rPr>
                <w:rFonts w:ascii="Arial" w:cs="Arial" w:eastAsia="Arial" w:hAnsi="Arial"/>
                <w:sz w:val="18"/>
                <w:szCs w:val="18"/>
                <w:color w:val="auto"/>
                <w:w w:val="99"/>
              </w:rPr>
              <w:t>0.00 %</w:t>
            </w:r>
          </w:p>
        </w:tc>
      </w:tr>
      <w:tr>
        <w:trPr>
          <w:trHeight w:val="203"/>
        </w:trPr>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(years)</w:t>
            </w: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1.4 - 6.1</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1.8 - 6.1</w:t>
            </w: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2.3 -</w:t>
            </w:r>
          </w:p>
        </w:tc>
        <w:tc>
          <w:tcPr>
            <w:tcW w:w="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Value of RSUs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RSUs is equal to the value of the Company’s common stock on the grant date.</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weighted average per share fair value of awards issued under the 2017 Plan and the 2020 Plan was $37.61, $30.62 and $31.78 in 2025, 2024 and 2023, respectively.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Stock-based compensation expense was $44,960, $42,701 and $31,206 for the years ended December 31, 2025, 2024 and 2023, respectively, and is recorded in the consolidated statements of operations and comprehensive income (loss) in the following line items: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80" w:type="dxa"/>
            <w:vAlign w:val="bottom"/>
          </w:tcPr>
          <w:p>
            <w:pPr>
              <w:spacing w:after="0"/>
              <w:rPr>
                <w:sz w:val="13"/>
                <w:szCs w:val="13"/>
                <w:color w:val="auto"/>
              </w:rPr>
            </w:pPr>
          </w:p>
        </w:tc>
        <w:tc>
          <w:tcPr>
            <w:tcW w:w="3200" w:type="dxa"/>
            <w:vAlign w:val="bottom"/>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96"/>
              <w:spacing w:after="0" w:line="155" w:lineRule="exact"/>
              <w:rPr>
                <w:sz w:val="20"/>
                <w:szCs w:val="20"/>
                <w:color w:val="auto"/>
              </w:rPr>
            </w:pPr>
            <w:r>
              <w:rPr>
                <w:rFonts w:ascii="Arial" w:cs="Arial" w:eastAsia="Arial" w:hAnsi="Arial"/>
                <w:sz w:val="14"/>
                <w:szCs w:val="14"/>
                <w:b w:val="1"/>
                <w:bCs w:val="1"/>
                <w:color w:val="auto"/>
              </w:rPr>
              <w:t>2025</w:t>
            </w:r>
          </w:p>
        </w:tc>
        <w:tc>
          <w:tcPr>
            <w:tcW w:w="340" w:type="dxa"/>
            <w:vAlign w:val="bottom"/>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94"/>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3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8,958</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6,682</w:t>
            </w: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Sales and marketing expense</w:t>
            </w:r>
          </w:p>
        </w:tc>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7,376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7,435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5,148</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30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28,626</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28,584</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22,096</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44,960</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42,701</w:t>
            </w:r>
          </w:p>
        </w:tc>
        <w:tc>
          <w:tcPr>
            <w:tcW w:w="18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31,206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000" w:type="dxa"/>
            <w:vAlign w:val="bottom"/>
            <w:vMerge w:val="restart"/>
          </w:tcPr>
          <w:p>
            <w:pPr>
              <w:jc w:val="right"/>
              <w:ind w:right="1699"/>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38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8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Stock-based compensation expense, net related to options and RSUs issued under the 2017 Plan and 2020 Plan and the employee stock purchase plan is included in stockholder’s equity, and a liability for SARs is included in other non-current liabilities, in the Company’s consolidated balance sheet. As of December 31, 2025, the total unrecognized stock-based compensation expense was $43,697 and $20,446 for stock options and RSUs, respectively. These amounts will be recognized in the Company’s consolidated statement of operations over a weighted average period of 2.4 years and 2.6 years for stock options and RSU’s, respectively.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2021 Employee Stock Purchase Plan (“ESPP”) was adopted by the Company’s Board of Directors in April 2021. The ESPP permits eligible employees to purchase shares of the Company’s common stock at a 15% discount from the lesser of the fair market value per share of the Company’s common stock on the first day of the offering period or the fair market value of the Company’s common stock on the purchase date. Funds are collected from employees through after-tax payroll deductions. The total number of shares reserved for issuance under the ESPP was initially 629,805, which will automatically increase on January 1 of each year in an amount equal to the lesser of (i) 1.0% of the shares of the Company’s common stock outstanding on December 31 of the preceding year or (ii) an amount determined by the Company’s board of directors. It is intended that the ESPP meet the requirements for an “employee stock purchase plan” under Section 423 of the Internal Revenue Code. For the years ended December 31, 2025, 2024 and 2023, there were 25,856, 23,121 and 21,313 shares issued under the ESPP, respectively. The discount on the ESPP was $281, $298 and $393 for the years ended December 31, 2025, 2024 and 2023, respectively, and is recorded within stock-based compensation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Company has one reportable segment: rare neurological diseases. The rare neurological diseases segment consists of the Company’s commercial product, WAKIX, and its potential product candidates, that focus on patients living with rare neurological diseases who have unmet needs. The Company currently derives all of its revenue from sales of WAKIX, which is used in the treatment of EDS and cataplexy in adult patients with narcolepsy and the treatment of EDS in pediatric patients six years and older with narcolepsy and manages its business activities on a consolidated basis.</w:t>
      </w:r>
    </w:p>
    <w:p>
      <w:pPr>
        <w:spacing w:after="0" w:line="17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 xml:space="preserve">The accounting policies of the rare neurological diseases segment are consistent with those described in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and the measure of segment assets is reported on the consolidated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sheets as total assets. The Company’s CODM is the chief executive officer. The CODM assesses performance of the rare neurological diseases segment using net income as reported in the consolidated statements of operations and comprehensive income. Net income is assessed by the CODM to make decisions on how to allocate resources, such as reinvesting profits into the rare neurological diseases segment or pursuing potential investing activities.</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following table summarizes segment revenue and significant segment expenses for the years ended December 31, 2025, 2024 and 2023:</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40" w:type="dxa"/>
            <w:vAlign w:val="bottom"/>
            <w:tcBorders>
              <w:bottom w:val="single" w:sz="8" w:color="auto"/>
            </w:tcBorders>
            <w:gridSpan w:val="5"/>
          </w:tcPr>
          <w:p>
            <w:pPr>
              <w:jc w:val="right"/>
              <w:ind w:right="531"/>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4720" w:type="dxa"/>
            <w:vAlign w:val="bottom"/>
            <w:tcBorders>
              <w:bottom w:val="single" w:sz="8" w:color="CCEEFF"/>
            </w:tcBorders>
          </w:tcPr>
          <w:p>
            <w:pPr>
              <w:spacing w:after="0"/>
              <w:rPr>
                <w:sz w:val="13"/>
                <w:szCs w:val="13"/>
                <w:color w:val="auto"/>
              </w:rPr>
            </w:pPr>
          </w:p>
        </w:tc>
        <w:tc>
          <w:tcPr>
            <w:tcW w:w="22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product revenue</w:t>
            </w:r>
          </w:p>
        </w:tc>
        <w:tc>
          <w:tcPr>
            <w:tcW w:w="2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w w:val="97"/>
              </w:rPr>
              <w:t>$ 868,453</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714,734</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582,022</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Less:</w:t>
            </w:r>
          </w:p>
        </w:tc>
        <w:tc>
          <w:tcPr>
            <w:tcW w:w="2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product sold (a)</w:t>
            </w:r>
          </w:p>
        </w:tc>
        <w:tc>
          <w:tcPr>
            <w:tcW w:w="3180" w:type="dxa"/>
            <w:vAlign w:val="bottom"/>
            <w:gridSpan w:val="2"/>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198,315</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156,788</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121,232</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Research and development (b)</w:t>
            </w:r>
          </w:p>
        </w:tc>
        <w:tc>
          <w:tcPr>
            <w:tcW w:w="318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144,923</w:t>
            </w:r>
          </w:p>
        </w:tc>
        <w:tc>
          <w:tcPr>
            <w:tcW w:w="20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95,548</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69,091</w:t>
            </w: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marketing (c)</w:t>
            </w:r>
          </w:p>
        </w:tc>
        <w:tc>
          <w:tcPr>
            <w:tcW w:w="3180" w:type="dxa"/>
            <w:vAlign w:val="bottom"/>
            <w:gridSpan w:val="2"/>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112,136</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103,481</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92,256</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General and administrative (d)</w:t>
            </w:r>
          </w:p>
        </w:tc>
        <w:tc>
          <w:tcPr>
            <w:tcW w:w="318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100,065</w:t>
            </w:r>
          </w:p>
        </w:tc>
        <w:tc>
          <w:tcPr>
            <w:tcW w:w="20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57,683</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48,838</w:t>
            </w: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180" w:type="dxa"/>
            <w:vAlign w:val="bottom"/>
            <w:gridSpan w:val="2"/>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25,335</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24,112</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24,359</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318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44,960</w:t>
            </w:r>
          </w:p>
        </w:tc>
        <w:tc>
          <w:tcPr>
            <w:tcW w:w="20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42,701</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31,206</w:t>
            </w:r>
          </w:p>
        </w:tc>
      </w:tr>
      <w:tr>
        <w:trPr>
          <w:trHeight w:val="202"/>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3180" w:type="dxa"/>
            <w:vAlign w:val="bottom"/>
            <w:gridSpan w:val="2"/>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14,649</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17,496</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23,757</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3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(21,924)</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(18,542)</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(14,730)</w:t>
            </w: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3180" w:type="dxa"/>
            <w:vAlign w:val="bottom"/>
            <w:gridSpan w:val="2"/>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56,377</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46,311</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44,543</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Other segment items (e)</w:t>
            </w:r>
          </w:p>
        </w:tc>
        <w:tc>
          <w:tcPr>
            <w:tcW w:w="318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34,930</w:t>
            </w:r>
          </w:p>
        </w:tc>
        <w:tc>
          <w:tcPr>
            <w:tcW w:w="20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43,663</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12,617</w:t>
            </w:r>
          </w:p>
        </w:tc>
      </w:tr>
      <w:tr>
        <w:trPr>
          <w:trHeight w:val="196"/>
        </w:trPr>
        <w:tc>
          <w:tcPr>
            <w:tcW w:w="47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Consolidated net income</w:t>
            </w:r>
          </w:p>
        </w:tc>
        <w:tc>
          <w:tcPr>
            <w:tcW w:w="226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w w:val="97"/>
              </w:rPr>
              <w:t>$ 158,687</w:t>
            </w: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145,493</w:t>
            </w:r>
          </w:p>
        </w:tc>
        <w:tc>
          <w:tcPr>
            <w:tcW w:w="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128,853</w:t>
            </w:r>
          </w:p>
        </w:tc>
      </w:tr>
      <w:tr>
        <w:trPr>
          <w:trHeight w:val="20"/>
        </w:trPr>
        <w:tc>
          <w:tcPr>
            <w:tcW w:w="4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366395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left="920" w:hanging="264"/>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Cost of product sold excluding depreciation.</w:t>
      </w:r>
    </w:p>
    <w:p>
      <w:pPr>
        <w:spacing w:after="0" w:line="13" w:lineRule="exact"/>
        <w:rPr>
          <w:rFonts w:ascii="Arial" w:cs="Arial" w:eastAsia="Arial" w:hAnsi="Arial"/>
          <w:sz w:val="18"/>
          <w:szCs w:val="18"/>
          <w:color w:val="auto"/>
        </w:rPr>
      </w:pPr>
    </w:p>
    <w:p>
      <w:pPr>
        <w:ind w:left="920" w:hanging="264"/>
        <w:spacing w:after="0" w:line="234" w:lineRule="auto"/>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Research and development excluding stock-based compensation, IPR&amp;D and impairment of long-lived assets.</w:t>
      </w:r>
    </w:p>
    <w:p>
      <w:pPr>
        <w:ind w:left="920" w:hanging="264"/>
        <w:spacing w:after="0" w:line="234" w:lineRule="auto"/>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Sales and marketing excluding stock-based compensation.</w:t>
      </w:r>
    </w:p>
    <w:p>
      <w:pPr>
        <w:ind w:left="920" w:hanging="264"/>
        <w:spacing w:after="0" w:line="234" w:lineRule="auto"/>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and administrative excluding stock-based compensation and amortization.</w:t>
      </w:r>
    </w:p>
    <w:p>
      <w:pPr>
        <w:ind w:right="980" w:firstLine="656"/>
        <w:spacing w:after="0" w:line="250" w:lineRule="auto"/>
        <w:tabs>
          <w:tab w:leader="none" w:pos="9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segment items include other expense (income), net, IPR&amp;D charges and charges related to the extinguishment of debt.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212" w:lineRule="exact"/>
        <w:rPr>
          <w:sz w:val="20"/>
          <w:szCs w:val="20"/>
          <w:color w:val="auto"/>
        </w:rPr>
      </w:pPr>
    </w:p>
    <w:p>
      <w:pPr>
        <w:jc w:val="both"/>
        <w:ind w:right="40" w:firstLine="648"/>
        <w:spacing w:after="0" w:line="244" w:lineRule="auto"/>
        <w:rPr>
          <w:sz w:val="20"/>
          <w:szCs w:val="20"/>
          <w:color w:val="auto"/>
        </w:rPr>
      </w:pPr>
      <w:r>
        <w:rPr>
          <w:rFonts w:ascii="Arial" w:cs="Arial" w:eastAsia="Arial" w:hAnsi="Arial"/>
          <w:sz w:val="18"/>
          <w:szCs w:val="18"/>
          <w:color w:val="auto"/>
        </w:rPr>
        <w:t>Basic earnings per share is calculated by diving net income by the weighted average number of shares of common stock outstanding. For the years ended December 31, 2025, 2024 and 2023, respectively, the Company calculated Diluted net income per common share is computed under the treasury stock method by using the weighted average number of shares of common stock outstanding, plus, for periods with net income attributable to common stockholders, the potential dilutive effects of stock options, stock appreciation rights and restricted stock units.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(loss) per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vMerge w:val="restart"/>
          </w:tcPr>
          <w:p>
            <w:pPr>
              <w:ind w:left="60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gridSpan w:val="9"/>
          </w:tcPr>
          <w:p>
            <w:pPr>
              <w:ind w:lef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62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330"/>
              <w:spacing w:after="0" w:line="155" w:lineRule="exact"/>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260" w:type="dxa"/>
            <w:vAlign w:val="bottom"/>
          </w:tcPr>
          <w:p>
            <w:pPr>
              <w:spacing w:after="0" w:line="196" w:lineRule="exact"/>
              <w:rPr>
                <w:sz w:val="20"/>
                <w:szCs w:val="20"/>
                <w:color w:val="auto"/>
              </w:rPr>
            </w:pPr>
            <w:r>
              <w:rPr>
                <w:rFonts w:ascii="Arial" w:cs="Arial" w:eastAsia="Arial" w:hAnsi="Arial"/>
                <w:sz w:val="18"/>
                <w:szCs w:val="18"/>
                <w:color w:val="auto"/>
              </w:rPr>
              <w:t>Numerator</w:t>
            </w: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ind w:left="4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income</w:t>
            </w:r>
          </w:p>
        </w:tc>
        <w:tc>
          <w:tcPr>
            <w:tcW w:w="28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158,687</w:t>
            </w:r>
          </w:p>
        </w:tc>
        <w:tc>
          <w:tcPr>
            <w:tcW w:w="3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145,493</w:t>
            </w:r>
          </w:p>
        </w:tc>
        <w:tc>
          <w:tcPr>
            <w:tcW w:w="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128,853</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Denominator</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income per share of common stock - basic</w:t>
            </w:r>
          </w:p>
        </w:tc>
        <w:tc>
          <w:tcPr>
            <w:tcW w:w="28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w:t>
            </w:r>
          </w:p>
        </w:tc>
        <w:tc>
          <w:tcPr>
            <w:tcW w:w="3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2.56</w:t>
            </w:r>
          </w:p>
        </w:tc>
        <w:tc>
          <w:tcPr>
            <w:tcW w:w="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120"/>
              <w:spacing w:after="0" w:line="202" w:lineRule="exact"/>
              <w:rPr>
                <w:sz w:val="20"/>
                <w:szCs w:val="20"/>
                <w:color w:val="auto"/>
              </w:rPr>
            </w:pPr>
            <w:r>
              <w:rPr>
                <w:rFonts w:ascii="Arial" w:cs="Arial" w:eastAsia="Arial" w:hAnsi="Arial"/>
                <w:sz w:val="18"/>
                <w:szCs w:val="18"/>
                <w:color w:val="auto"/>
              </w:rPr>
              <w:t>Net income per share of common stock- diluted</w:t>
            </w:r>
          </w:p>
        </w:tc>
        <w:tc>
          <w:tcPr>
            <w:tcW w:w="2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2.71</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2.51</w:t>
            </w:r>
          </w:p>
        </w:tc>
        <w:tc>
          <w:tcPr>
            <w:tcW w:w="18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Weighted average number of shares of common stock - basic</w:t>
            </w:r>
          </w:p>
        </w:tc>
        <w:tc>
          <w:tcPr>
            <w:tcW w:w="12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57,492,277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56,885,455</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59,469,648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260" w:type="dxa"/>
            <w:vAlign w:val="bottom"/>
          </w:tcPr>
          <w:p>
            <w:pPr>
              <w:ind w:left="120"/>
              <w:spacing w:after="0"/>
              <w:rPr>
                <w:sz w:val="20"/>
                <w:szCs w:val="20"/>
                <w:color w:val="auto"/>
              </w:rPr>
            </w:pPr>
            <w:r>
              <w:rPr>
                <w:rFonts w:ascii="Arial" w:cs="Arial" w:eastAsia="Arial" w:hAnsi="Arial"/>
                <w:sz w:val="18"/>
                <w:szCs w:val="18"/>
                <w:color w:val="auto"/>
              </w:rPr>
              <w:t>Weighted average number of shares of common stock - diluted</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58,544,570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57,869,915</w:t>
            </w:r>
          </w:p>
        </w:tc>
        <w:tc>
          <w:tcPr>
            <w:tcW w:w="1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60,372,397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9960" w:type="dxa"/>
            <w:vAlign w:val="bottom"/>
            <w:gridSpan w:val="13"/>
          </w:tcPr>
          <w:p>
            <w:pPr>
              <w:ind w:left="660"/>
              <w:spacing w:after="0"/>
              <w:rPr>
                <w:sz w:val="20"/>
                <w:szCs w:val="20"/>
                <w:color w:val="auto"/>
              </w:rPr>
            </w:pPr>
            <w:r>
              <w:rPr>
                <w:rFonts w:ascii="Arial" w:cs="Arial" w:eastAsia="Arial" w:hAnsi="Arial"/>
                <w:sz w:val="18"/>
                <w:szCs w:val="18"/>
                <w:color w:val="auto"/>
              </w:rPr>
              <w:t>Securities outstanding that were included in the computation above, utilizing the treasury stock method are as</w:t>
            </w:r>
          </w:p>
        </w:tc>
        <w:tc>
          <w:tcPr>
            <w:tcW w:w="0" w:type="dxa"/>
            <w:vAlign w:val="bottom"/>
          </w:tcPr>
          <w:p>
            <w:pPr>
              <w:spacing w:after="0"/>
              <w:rPr>
                <w:sz w:val="1"/>
                <w:szCs w:val="1"/>
                <w:color w:val="auto"/>
              </w:rPr>
            </w:pPr>
          </w:p>
        </w:tc>
      </w:tr>
      <w:tr>
        <w:trPr>
          <w:trHeight w:val="239"/>
        </w:trPr>
        <w:tc>
          <w:tcPr>
            <w:tcW w:w="6260" w:type="dxa"/>
            <w:vAlign w:val="bottom"/>
          </w:tcPr>
          <w:p>
            <w:pPr>
              <w:spacing w:after="0"/>
              <w:rPr>
                <w:sz w:val="20"/>
                <w:szCs w:val="20"/>
                <w:color w:val="auto"/>
              </w:rPr>
            </w:pPr>
            <w:r>
              <w:rPr>
                <w:rFonts w:ascii="Arial" w:cs="Arial" w:eastAsia="Arial" w:hAnsi="Arial"/>
                <w:sz w:val="18"/>
                <w:szCs w:val="18"/>
                <w:color w:val="auto"/>
              </w:rPr>
              <w:t>follows: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2"/>
          </w:tcPr>
          <w:p>
            <w:pPr>
              <w:ind w:left="140"/>
              <w:spacing w:after="0"/>
              <w:rPr>
                <w:sz w:val="20"/>
                <w:szCs w:val="20"/>
                <w:color w:val="auto"/>
              </w:rPr>
            </w:pPr>
            <w:r>
              <w:rPr>
                <w:rFonts w:ascii="Arial" w:cs="Arial" w:eastAsia="Arial" w:hAnsi="Arial"/>
                <w:sz w:val="14"/>
                <w:szCs w:val="14"/>
                <w:b w:val="1"/>
                <w:bCs w:val="1"/>
                <w:color w:val="auto"/>
              </w:rPr>
              <w:t>​​​</w:t>
            </w:r>
          </w:p>
        </w:tc>
        <w:tc>
          <w:tcPr>
            <w:tcW w:w="3300" w:type="dxa"/>
            <w:vAlign w:val="bottom"/>
            <w:gridSpan w:val="9"/>
          </w:tcPr>
          <w:p>
            <w:pPr>
              <w:jc w:val="center"/>
              <w:ind w:right="11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6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190"/>
              <w:spacing w:after="0" w:line="155" w:lineRule="exact"/>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Stock options, SARs, and RSUs to purchase common stock</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1,052,293</w:t>
            </w: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984,460</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902,749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auto"/>
        </w:rPr>
        <w:t>Potential common shares issuable upon conversion of preferred stock and exercise of stock options that were excluded from the computation of diluted weighted-average shares outstanding excluded from the numerator are as follows:</w:t>
      </w:r>
    </w:p>
    <w:p>
      <w:pPr>
        <w:spacing w:after="0" w:line="177"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135"/>
        </w:trPr>
        <w:tc>
          <w:tcPr>
            <w:tcW w:w="6340" w:type="dxa"/>
            <w:vAlign w:val="bottom"/>
            <w:gridSpan w:val="2"/>
          </w:tcPr>
          <w:p>
            <w:pPr>
              <w:ind w:left="6140"/>
              <w:spacing w:after="0" w:line="135"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315"/>
              <w:spacing w:after="0" w:line="135" w:lineRule="exact"/>
              <w:rPr>
                <w:sz w:val="20"/>
                <w:szCs w:val="20"/>
                <w:color w:val="auto"/>
              </w:rPr>
            </w:pPr>
            <w:r>
              <w:rPr>
                <w:rFonts w:ascii="Arial" w:cs="Arial" w:eastAsia="Arial" w:hAnsi="Arial"/>
                <w:sz w:val="14"/>
                <w:szCs w:val="14"/>
                <w:b w:val="1"/>
                <w:bCs w:val="1"/>
                <w:color w:val="auto"/>
              </w:rPr>
              <w:t>2025</w:t>
            </w:r>
          </w:p>
        </w:tc>
        <w:tc>
          <w:tcPr>
            <w:tcW w:w="138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​​​2024</w:t>
            </w:r>
          </w:p>
        </w:tc>
        <w:tc>
          <w:tcPr>
            <w:tcW w:w="1180" w:type="dxa"/>
            <w:vAlign w:val="bottom"/>
          </w:tcPr>
          <w:p>
            <w:pPr>
              <w:jc w:val="right"/>
              <w:ind w:right="339"/>
              <w:spacing w:after="0" w:line="135" w:lineRule="exact"/>
              <w:rPr>
                <w:sz w:val="20"/>
                <w:szCs w:val="20"/>
                <w:color w:val="auto"/>
              </w:rPr>
            </w:pPr>
            <w:r>
              <w:rPr>
                <w:rFonts w:ascii="Arial" w:cs="Arial" w:eastAsia="Arial" w:hAnsi="Arial"/>
                <w:sz w:val="14"/>
                <w:szCs w:val="14"/>
                <w:b w:val="1"/>
                <w:bCs w:val="1"/>
                <w:color w:val="auto"/>
              </w:rPr>
              <w:t>2023</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SARs, and RSUs to purchase common stock</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7,639,601</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6,854,883</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5,786,881</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the provision for income taxes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60" w:type="dxa"/>
            <w:vAlign w:val="bottom"/>
          </w:tcPr>
          <w:p>
            <w:pPr>
              <w:spacing w:after="0"/>
              <w:rPr>
                <w:sz w:val="13"/>
                <w:szCs w:val="13"/>
                <w:color w:val="auto"/>
              </w:rPr>
            </w:pPr>
          </w:p>
        </w:tc>
        <w:tc>
          <w:tcPr>
            <w:tcW w:w="3580" w:type="dxa"/>
            <w:vAlign w:val="bottom"/>
            <w:gridSpan w:val="2"/>
          </w:tcPr>
          <w:p>
            <w:pPr>
              <w:jc w:val="right"/>
              <w:ind w:right="150"/>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335"/>
              <w:spacing w:after="0" w:line="155" w:lineRule="exact"/>
              <w:rPr>
                <w:sz w:val="20"/>
                <w:szCs w:val="20"/>
                <w:color w:val="auto"/>
              </w:rPr>
            </w:pPr>
            <w:r>
              <w:rPr>
                <w:rFonts w:ascii="Arial" w:cs="Arial" w:eastAsia="Arial" w:hAnsi="Arial"/>
                <w:sz w:val="14"/>
                <w:szCs w:val="14"/>
                <w:b w:val="1"/>
                <w:bCs w:val="1"/>
                <w:color w:val="auto"/>
              </w:rPr>
              <w:t>2025</w:t>
            </w:r>
          </w:p>
        </w:tc>
        <w:tc>
          <w:tcPr>
            <w:tcW w:w="420" w:type="dxa"/>
            <w:vAlign w:val="bottom"/>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333"/>
              <w:spacing w:after="0" w:line="155"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2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Federal</w:t>
            </w:r>
          </w:p>
        </w:tc>
        <w:tc>
          <w:tcPr>
            <w:tcW w:w="3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41,749</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29,465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32,136</w:t>
            </w:r>
          </w:p>
        </w:tc>
        <w:tc>
          <w:tcPr>
            <w:tcW w:w="0" w:type="dxa"/>
            <w:vAlign w:val="bottom"/>
          </w:tcPr>
          <w:p>
            <w:pPr>
              <w:spacing w:after="0"/>
              <w:rPr>
                <w:sz w:val="1"/>
                <w:szCs w:val="1"/>
                <w:color w:val="auto"/>
              </w:rPr>
            </w:pPr>
          </w:p>
        </w:tc>
      </w:tr>
      <w:tr>
        <w:trPr>
          <w:trHeight w:val="203"/>
        </w:trPr>
        <w:tc>
          <w:tcPr>
            <w:tcW w:w="2760" w:type="dxa"/>
            <w:vAlign w:val="bottom"/>
          </w:tcPr>
          <w:p>
            <w:pPr>
              <w:spacing w:after="0" w:line="202" w:lineRule="exact"/>
              <w:rPr>
                <w:sz w:val="20"/>
                <w:szCs w:val="20"/>
                <w:color w:val="auto"/>
              </w:rPr>
            </w:pPr>
            <w:r>
              <w:rPr>
                <w:rFonts w:ascii="Arial" w:cs="Arial" w:eastAsia="Arial" w:hAnsi="Arial"/>
                <w:sz w:val="18"/>
                <w:szCs w:val="18"/>
                <w:color w:val="auto"/>
              </w:rPr>
              <w:t>State</w:t>
            </w:r>
          </w:p>
        </w:tc>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14,628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16,846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12,407</w:t>
            </w: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rPr>
                <w:sz w:val="17"/>
                <w:szCs w:val="17"/>
                <w:color w:val="auto"/>
              </w:rPr>
            </w:pPr>
          </w:p>
        </w:tc>
        <w:tc>
          <w:tcPr>
            <w:tcW w:w="358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56,377</w:t>
            </w:r>
          </w:p>
        </w:tc>
        <w:tc>
          <w:tcPr>
            <w:tcW w:w="42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46,311</w:t>
            </w:r>
          </w:p>
        </w:tc>
        <w:tc>
          <w:tcPr>
            <w:tcW w:w="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44,543</w:t>
            </w:r>
          </w:p>
        </w:tc>
        <w:tc>
          <w:tcPr>
            <w:tcW w:w="0" w:type="dxa"/>
            <w:vAlign w:val="bottom"/>
          </w:tcPr>
          <w:p>
            <w:pPr>
              <w:spacing w:after="0"/>
              <w:rPr>
                <w:sz w:val="1"/>
                <w:szCs w:val="1"/>
                <w:color w:val="auto"/>
              </w:rPr>
            </w:pPr>
          </w:p>
        </w:tc>
      </w:tr>
      <w:tr>
        <w:trPr>
          <w:trHeight w:val="196"/>
        </w:trPr>
        <w:tc>
          <w:tcPr>
            <w:tcW w:w="2760" w:type="dxa"/>
            <w:vAlign w:val="bottom"/>
          </w:tcPr>
          <w:p>
            <w:pPr>
              <w:spacing w:after="0" w:line="196" w:lineRule="exact"/>
              <w:rPr>
                <w:sz w:val="20"/>
                <w:szCs w:val="20"/>
                <w:color w:val="auto"/>
              </w:rPr>
            </w:pPr>
            <w:r>
              <w:rPr>
                <w:rFonts w:ascii="Arial" w:cs="Arial" w:eastAsia="Arial" w:hAnsi="Arial"/>
                <w:sz w:val="18"/>
                <w:szCs w:val="18"/>
                <w:color w:val="auto"/>
              </w:rPr>
              <w:t>Current</w:t>
            </w:r>
          </w:p>
        </w:tc>
        <w:tc>
          <w:tcPr>
            <w:tcW w:w="3320" w:type="dxa"/>
            <w:vAlign w:val="bottom"/>
          </w:tcPr>
          <w:p>
            <w:pPr>
              <w:spacing w:after="0"/>
              <w:rPr>
                <w:sz w:val="17"/>
                <w:szCs w:val="17"/>
                <w:color w:val="auto"/>
              </w:rPr>
            </w:pPr>
          </w:p>
        </w:tc>
        <w:tc>
          <w:tcPr>
            <w:tcW w:w="260" w:type="dxa"/>
            <w:vAlign w:val="bottom"/>
            <w:tcBorders>
              <w:top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15,678</w:t>
            </w:r>
          </w:p>
        </w:tc>
        <w:tc>
          <w:tcPr>
            <w:tcW w:w="160" w:type="dxa"/>
            <w:vAlign w:val="bottom"/>
          </w:tcPr>
          <w:p>
            <w:pPr>
              <w:spacing w:after="0"/>
              <w:rPr>
                <w:sz w:val="17"/>
                <w:szCs w:val="17"/>
                <w:color w:val="auto"/>
              </w:rPr>
            </w:pPr>
          </w:p>
        </w:tc>
        <w:tc>
          <w:tcPr>
            <w:tcW w:w="260" w:type="dxa"/>
            <w:vAlign w:val="bottom"/>
            <w:tcBorders>
              <w:top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74,311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57,962</w:t>
            </w: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3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40,699</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(13,419)</w:t>
            </w:r>
          </w:p>
        </w:tc>
        <w:tc>
          <w:tcPr>
            <w:tcW w:w="0" w:type="dxa"/>
            <w:vAlign w:val="bottom"/>
          </w:tcPr>
          <w:p>
            <w:pPr>
              <w:spacing w:after="0"/>
              <w:rPr>
                <w:sz w:val="1"/>
                <w:szCs w:val="1"/>
                <w:color w:val="auto"/>
              </w:rPr>
            </w:pPr>
          </w:p>
        </w:tc>
      </w:tr>
      <w:tr>
        <w:trPr>
          <w:trHeight w:val="196"/>
        </w:trPr>
        <w:tc>
          <w:tcPr>
            <w:tcW w:w="27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33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56,377</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46,311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44,543</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3320" w:type="dxa"/>
            <w:vAlign w:val="bottom"/>
            <w:vMerge w:val="restart"/>
          </w:tcPr>
          <w:p>
            <w:pPr>
              <w:jc w:val="right"/>
              <w:ind w:right="896"/>
              <w:spacing w:after="0"/>
              <w:rPr>
                <w:sz w:val="20"/>
                <w:szCs w:val="20"/>
                <w:color w:val="auto"/>
              </w:rPr>
            </w:pPr>
            <w:r>
              <w:rPr>
                <w:rFonts w:ascii="Arial" w:cs="Arial" w:eastAsia="Arial" w:hAnsi="Arial"/>
                <w:sz w:val="18"/>
                <w:szCs w:val="18"/>
                <w:color w:val="auto"/>
              </w:rPr>
              <w:t>119</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276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7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661" w:right="9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A reconciliation of the differences between the U.S. statutory federal income tax rate of 21.0% and the Company’s effective income tax rate as of December 31, 2025, after the adoption of ASU 2023-09,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92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rPr>
              <w:t>Year Ended December 31,</w:t>
            </w:r>
          </w:p>
        </w:tc>
      </w:tr>
      <w:tr>
        <w:trPr>
          <w:trHeight w:val="196"/>
        </w:trPr>
        <w:tc>
          <w:tcPr>
            <w:tcW w:w="5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2025</w:t>
            </w:r>
          </w:p>
        </w:tc>
        <w:tc>
          <w:tcPr>
            <w:tcW w:w="1240" w:type="dxa"/>
            <w:vAlign w:val="bottom"/>
            <w:tcBorders>
              <w:bottom w:val="single" w:sz="8" w:color="auto"/>
            </w:tcBorders>
          </w:tcPr>
          <w:p>
            <w:pPr>
              <w:spacing w:after="0"/>
              <w:rPr>
                <w:sz w:val="17"/>
                <w:szCs w:val="17"/>
                <w:color w:val="auto"/>
              </w:rPr>
            </w:pPr>
          </w:p>
        </w:tc>
      </w:tr>
      <w:tr>
        <w:trPr>
          <w:trHeight w:val="196"/>
        </w:trPr>
        <w:tc>
          <w:tcPr>
            <w:tcW w:w="5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80" w:type="dxa"/>
            <w:vAlign w:val="bottom"/>
            <w:gridSpan w:val="2"/>
          </w:tcPr>
          <w:p>
            <w:pPr>
              <w:ind w:left="380"/>
              <w:spacing w:after="0" w:line="196" w:lineRule="exact"/>
              <w:rPr>
                <w:sz w:val="20"/>
                <w:szCs w:val="20"/>
                <w:color w:val="auto"/>
              </w:rPr>
            </w:pPr>
            <w:r>
              <w:rPr>
                <w:rFonts w:ascii="Arial" w:cs="Arial" w:eastAsia="Arial" w:hAnsi="Arial"/>
                <w:sz w:val="18"/>
                <w:szCs w:val="18"/>
                <w:b w:val="1"/>
                <w:bCs w:val="1"/>
                <w:color w:val="auto"/>
              </w:rPr>
              <w:t>Amount</w:t>
            </w:r>
          </w:p>
        </w:tc>
        <w:tc>
          <w:tcPr>
            <w:tcW w:w="1240" w:type="dxa"/>
            <w:vAlign w:val="bottom"/>
          </w:tcPr>
          <w:p>
            <w:pPr>
              <w:jc w:val="right"/>
              <w:ind w:right="210"/>
              <w:spacing w:after="0" w:line="196" w:lineRule="exact"/>
              <w:rPr>
                <w:sz w:val="20"/>
                <w:szCs w:val="20"/>
                <w:color w:val="auto"/>
              </w:rPr>
            </w:pPr>
            <w:r>
              <w:rPr>
                <w:rFonts w:ascii="Arial" w:cs="Arial" w:eastAsia="Arial" w:hAnsi="Arial"/>
                <w:sz w:val="18"/>
                <w:szCs w:val="18"/>
                <w:b w:val="1"/>
                <w:bCs w:val="1"/>
                <w:color w:val="auto"/>
              </w:rPr>
              <w:t>Percent</w:t>
            </w:r>
          </w:p>
        </w:tc>
      </w:tr>
      <w:tr>
        <w:trPr>
          <w:trHeight w:val="196"/>
        </w:trPr>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Federal statutory rate</w:t>
            </w:r>
          </w:p>
        </w:tc>
        <w:tc>
          <w:tcPr>
            <w:tcW w:w="17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45,163</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State income taxes, net of federal tax effect*</w:t>
            </w:r>
          </w:p>
        </w:tc>
        <w:tc>
          <w:tcPr>
            <w:tcW w:w="17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13,601</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240" w:type="dxa"/>
            <w:vAlign w:val="bottom"/>
          </w:tcPr>
          <w:p>
            <w:pPr>
              <w:ind w:left="560"/>
              <w:spacing w:after="0"/>
              <w:rPr>
                <w:sz w:val="20"/>
                <w:szCs w:val="20"/>
                <w:color w:val="auto"/>
              </w:rPr>
            </w:pPr>
            <w:r>
              <w:rPr>
                <w:rFonts w:ascii="Arial" w:cs="Arial" w:eastAsia="Arial" w:hAnsi="Arial"/>
                <w:sz w:val="18"/>
                <w:szCs w:val="18"/>
                <w:color w:val="auto"/>
              </w:rPr>
              <w:t>Orphan drug credit</w:t>
            </w:r>
          </w:p>
        </w:tc>
        <w:tc>
          <w:tcPr>
            <w:tcW w:w="17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(7,999)</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5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Research and development credit</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Nontaxable or nondeductible Items</w:t>
            </w:r>
          </w:p>
        </w:tc>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In-process research and development</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240" w:type="dxa"/>
            <w:vAlign w:val="bottom"/>
          </w:tcPr>
          <w:p>
            <w:pPr>
              <w:ind w:left="560"/>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1,967</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adjustments</w:t>
            </w:r>
          </w:p>
        </w:tc>
        <w:tc>
          <w:tcPr>
            <w:tcW w:w="176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196"/>
        </w:trPr>
        <w:tc>
          <w:tcPr>
            <w:tcW w:w="5240" w:type="dxa"/>
            <w:vAlign w:val="bottom"/>
          </w:tcPr>
          <w:p>
            <w:pPr>
              <w:spacing w:after="0" w:line="196" w:lineRule="exact"/>
              <w:rPr>
                <w:sz w:val="20"/>
                <w:szCs w:val="20"/>
                <w:color w:val="auto"/>
              </w:rPr>
            </w:pPr>
            <w:r>
              <w:rPr>
                <w:rFonts w:ascii="Arial" w:cs="Arial" w:eastAsia="Arial" w:hAnsi="Arial"/>
                <w:sz w:val="18"/>
                <w:szCs w:val="18"/>
                <w:color w:val="auto"/>
              </w:rPr>
              <w:t>Effective tax rate</w:t>
            </w: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56,377</w:t>
            </w:r>
          </w:p>
        </w:tc>
        <w:tc>
          <w:tcPr>
            <w:tcW w:w="240" w:type="dxa"/>
            <w:vAlign w:val="bottom"/>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w:t>
            </w:r>
          </w:p>
        </w:tc>
      </w:tr>
      <w:tr>
        <w:trPr>
          <w:trHeight w:val="20"/>
        </w:trPr>
        <w:tc>
          <w:tcPr>
            <w:tcW w:w="5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State taxes include the impact of the remeasurement of state deferred tax assets. There was no individual state that made up</w:t>
      </w:r>
      <w:r>
        <w:rPr>
          <w:rFonts w:ascii="Arial" w:cs="Arial" w:eastAsia="Arial" w:hAnsi="Arial"/>
          <w:sz w:val="18"/>
          <w:szCs w:val="18"/>
          <w:color w:val="auto"/>
        </w:rPr>
        <w:t xml:space="preserve"> </w:t>
      </w:r>
      <w:r>
        <w:rPr>
          <w:rFonts w:ascii="Arial" w:cs="Arial" w:eastAsia="Arial" w:hAnsi="Arial"/>
          <w:sz w:val="16"/>
          <w:szCs w:val="16"/>
          <w:color w:val="auto"/>
        </w:rPr>
        <w:t>the majority (greater than 50%) of the tax effect in this category.</w:t>
      </w:r>
    </w:p>
    <w:p>
      <w:pPr>
        <w:spacing w:after="0" w:line="15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 reconciliation of the differences between the U.S. statutory federal income tax rate of 21.0% and the Company’s effective income tax rate as of December 31, 2024, and 2023, prior to the adoption of ASU 2023-09,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0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6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jc w:val="right"/>
              <w:ind w:right="157"/>
              <w:spacing w:after="0" w:line="155" w:lineRule="exact"/>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3"/>
                <w:szCs w:val="13"/>
                <w:color w:val="auto"/>
              </w:rPr>
            </w:pPr>
          </w:p>
        </w:tc>
        <w:tc>
          <w:tcPr>
            <w:tcW w:w="24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6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Federal income tax rate</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300" w:type="dxa"/>
            <w:vAlign w:val="bottom"/>
            <w:tcBorders>
              <w:top w:val="single" w:sz="8" w:color="CCEEFF"/>
            </w:tcBorders>
            <w:gridSpan w:val="2"/>
            <w:shd w:val="clear" w:color="auto" w:fill="CCEEFF"/>
          </w:tcPr>
          <w:p>
            <w:pPr>
              <w:jc w:val="right"/>
              <w:ind w:right="68"/>
              <w:spacing w:after="0" w:line="196" w:lineRule="exact"/>
              <w:rPr>
                <w:sz w:val="20"/>
                <w:szCs w:val="20"/>
                <w:color w:val="auto"/>
              </w:rPr>
            </w:pPr>
            <w:r>
              <w:rPr>
                <w:rFonts w:ascii="Arial" w:cs="Arial" w:eastAsia="Arial" w:hAnsi="Arial"/>
                <w:sz w:val="18"/>
                <w:szCs w:val="18"/>
                <w:color w:val="auto"/>
                <w:w w:val="87"/>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300" w:type="dxa"/>
            <w:vAlign w:val="bottom"/>
            <w:tcBorders>
              <w:top w:val="single" w:sz="8" w:color="CCEEFF"/>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1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taxes</w:t>
            </w:r>
          </w:p>
        </w:tc>
        <w:tc>
          <w:tcPr>
            <w:tcW w:w="1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Credits</w:t>
            </w:r>
          </w:p>
        </w:tc>
        <w:tc>
          <w:tcPr>
            <w:tcW w:w="17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(4.7)</w:t>
            </w:r>
          </w:p>
        </w:tc>
        <w:tc>
          <w:tcPr>
            <w:tcW w:w="240" w:type="dxa"/>
            <w:vAlign w:val="bottom"/>
          </w:tcPr>
          <w:p>
            <w:pPr>
              <w:spacing w:after="0"/>
              <w:rPr>
                <w:sz w:val="17"/>
                <w:szCs w:val="17"/>
                <w:color w:val="auto"/>
              </w:rPr>
            </w:pPr>
          </w:p>
        </w:tc>
        <w:tc>
          <w:tcPr>
            <w:tcW w:w="102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Nondeductible IPR&amp;D</w:t>
            </w:r>
          </w:p>
        </w:tc>
        <w:tc>
          <w:tcPr>
            <w:tcW w:w="1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7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2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24.1</w:t>
            </w:r>
          </w:p>
        </w:tc>
        <w:tc>
          <w:tcPr>
            <w:tcW w:w="300" w:type="dxa"/>
            <w:vAlign w:val="bottom"/>
            <w:gridSpan w:val="2"/>
          </w:tcPr>
          <w:p>
            <w:pPr>
              <w:jc w:val="right"/>
              <w:ind w:right="68"/>
              <w:spacing w:after="0" w:line="196" w:lineRule="exact"/>
              <w:rPr>
                <w:sz w:val="20"/>
                <w:szCs w:val="20"/>
                <w:color w:val="auto"/>
              </w:rPr>
            </w:pPr>
            <w:r>
              <w:rPr>
                <w:rFonts w:ascii="Arial" w:cs="Arial" w:eastAsia="Arial" w:hAnsi="Arial"/>
                <w:sz w:val="18"/>
                <w:szCs w:val="18"/>
                <w:color w:val="auto"/>
                <w:w w:val="87"/>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25.7</w:t>
            </w:r>
          </w:p>
        </w:tc>
        <w:tc>
          <w:tcPr>
            <w:tcW w:w="300" w:type="dxa"/>
            <w:vAlign w:val="bottom"/>
          </w:tcPr>
          <w:p>
            <w:pPr>
              <w:jc w:val="right"/>
              <w:ind w:right="5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7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9920" w:type="dxa"/>
            <w:vAlign w:val="bottom"/>
            <w:gridSpan w:val="8"/>
          </w:tcPr>
          <w:p>
            <w:pPr>
              <w:ind w:left="660"/>
              <w:spacing w:after="0"/>
              <w:rPr>
                <w:sz w:val="20"/>
                <w:szCs w:val="20"/>
                <w:color w:val="auto"/>
              </w:rPr>
            </w:pPr>
            <w:r>
              <w:rPr>
                <w:rFonts w:ascii="Arial" w:cs="Arial" w:eastAsia="Arial" w:hAnsi="Arial"/>
                <w:sz w:val="18"/>
                <w:szCs w:val="18"/>
                <w:color w:val="auto"/>
              </w:rPr>
              <w:t>The Company made cash payments for income taxes, net of refunds, during the year ended December 31, 2025, as</w:t>
            </w:r>
          </w:p>
        </w:tc>
        <w:tc>
          <w:tcPr>
            <w:tcW w:w="0" w:type="dxa"/>
            <w:vAlign w:val="bottom"/>
          </w:tcPr>
          <w:p>
            <w:pPr>
              <w:spacing w:after="0"/>
              <w:rPr>
                <w:sz w:val="1"/>
                <w:szCs w:val="1"/>
                <w:color w:val="auto"/>
              </w:rPr>
            </w:pPr>
          </w:p>
        </w:tc>
      </w:tr>
      <w:tr>
        <w:trPr>
          <w:trHeight w:val="239"/>
        </w:trPr>
        <w:tc>
          <w:tcPr>
            <w:tcW w:w="6920" w:type="dxa"/>
            <w:vAlign w:val="bottom"/>
          </w:tcPr>
          <w:p>
            <w:pPr>
              <w:spacing w:after="0"/>
              <w:rPr>
                <w:sz w:val="20"/>
                <w:szCs w:val="20"/>
                <w:color w:val="auto"/>
              </w:rPr>
            </w:pPr>
            <w:r>
              <w:rPr>
                <w:rFonts w:ascii="Arial" w:cs="Arial" w:eastAsia="Arial" w:hAnsi="Arial"/>
                <w:sz w:val="18"/>
                <w:szCs w:val="18"/>
                <w:color w:val="auto"/>
              </w:rPr>
              <w:t>follows: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6920" w:type="dxa"/>
            <w:vAlign w:val="bottom"/>
          </w:tcPr>
          <w:p>
            <w:pPr>
              <w:ind w:left="6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29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69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17"/>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12,254</w:t>
            </w:r>
          </w:p>
        </w:tc>
        <w:tc>
          <w:tcPr>
            <w:tcW w:w="0" w:type="dxa"/>
            <w:vAlign w:val="bottom"/>
          </w:tcPr>
          <w:p>
            <w:pPr>
              <w:spacing w:after="0"/>
              <w:rPr>
                <w:sz w:val="1"/>
                <w:szCs w:val="1"/>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State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Pennsylvania</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4,006</w:t>
            </w:r>
          </w:p>
        </w:tc>
        <w:tc>
          <w:tcPr>
            <w:tcW w:w="0" w:type="dxa"/>
            <w:vAlign w:val="bottom"/>
          </w:tcPr>
          <w:p>
            <w:pPr>
              <w:spacing w:after="0"/>
              <w:rPr>
                <w:sz w:val="1"/>
                <w:szCs w:val="1"/>
                <w:color w:val="auto"/>
              </w:rPr>
            </w:pPr>
          </w:p>
        </w:tc>
      </w:tr>
      <w:tr>
        <w:trPr>
          <w:trHeight w:val="203"/>
        </w:trPr>
        <w:tc>
          <w:tcPr>
            <w:tcW w:w="6920" w:type="dxa"/>
            <w:vAlign w:val="bottom"/>
          </w:tcPr>
          <w:p>
            <w:pPr>
              <w:ind w:left="460"/>
              <w:spacing w:after="0" w:line="202" w:lineRule="exact"/>
              <w:rPr>
                <w:sz w:val="20"/>
                <w:szCs w:val="20"/>
                <w:color w:val="auto"/>
              </w:rPr>
            </w:pPr>
            <w:r>
              <w:rPr>
                <w:rFonts w:ascii="Arial" w:cs="Arial" w:eastAsia="Arial" w:hAnsi="Arial"/>
                <w:sz w:val="18"/>
                <w:szCs w:val="18"/>
                <w:color w:val="auto"/>
              </w:rPr>
              <w:t>Tennessee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State</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617"/>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7,566</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Income tax paid, net of refunds</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17"/>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19,820</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482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6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6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Significant components of the Company’s deferred tax assets and liabilities as of December 31, 2025, and 2024,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56"/>
        </w:trPr>
        <w:tc>
          <w:tcPr>
            <w:tcW w:w="4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8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gridSpan w:val="2"/>
          </w:tcPr>
          <w:p>
            <w:pPr>
              <w:jc w:val="right"/>
              <w:ind w:right="87"/>
              <w:spacing w:after="0" w:line="155" w:lineRule="exact"/>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900" w:type="dxa"/>
            <w:vAlign w:val="bottom"/>
            <w:tcBorders>
              <w:top w:val="single" w:sz="8" w:color="auto"/>
            </w:tcBorders>
          </w:tcPr>
          <w:p>
            <w:pPr>
              <w:spacing w:after="0"/>
              <w:rPr>
                <w:sz w:val="13"/>
                <w:szCs w:val="13"/>
                <w:color w:val="auto"/>
              </w:rPr>
            </w:pPr>
          </w:p>
        </w:tc>
      </w:tr>
      <w:tr>
        <w:trPr>
          <w:trHeight w:val="155"/>
        </w:trPr>
        <w:tc>
          <w:tcPr>
            <w:tcW w:w="4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Assets</w:t>
            </w:r>
          </w:p>
        </w:tc>
        <w:tc>
          <w:tcPr>
            <w:tcW w:w="300" w:type="dxa"/>
            <w:vAlign w:val="bottom"/>
            <w:tcBorders>
              <w:top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Assets</w:t>
            </w:r>
          </w:p>
        </w:tc>
        <w:tc>
          <w:tcPr>
            <w:tcW w:w="300" w:type="dxa"/>
            <w:vAlign w:val="bottom"/>
            <w:tcBorders>
              <w:top w:val="single" w:sz="8" w:color="auto"/>
            </w:tcBorders>
            <w:gridSpan w:val="3"/>
          </w:tcPr>
          <w:p>
            <w:pPr>
              <w:jc w:val="right"/>
              <w:ind w:right="27"/>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Liabilities</w:t>
            </w: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Acquired in-process research and development</w:t>
            </w:r>
          </w:p>
        </w:tc>
        <w:tc>
          <w:tcPr>
            <w:tcW w:w="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36,992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42,312</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Net operating loss carryforward</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49,242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52,458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compensation</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36,459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29,116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Credits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3,499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3,902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obligations, net</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Fixed assets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Inventory</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7,169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Accrued rebates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6,320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5,100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10,794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57,583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5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6,068</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542</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733</w:t>
            </w:r>
          </w:p>
        </w:tc>
      </w:tr>
      <w:tr>
        <w:trPr>
          <w:trHeight w:val="196"/>
        </w:trPr>
        <w:tc>
          <w:tcPr>
            <w:tcW w:w="4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154,139</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583</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197,879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733</w:t>
            </w:r>
          </w:p>
        </w:tc>
      </w:tr>
      <w:tr>
        <w:trPr>
          <w:trHeight w:val="196"/>
        </w:trPr>
        <w:tc>
          <w:tcPr>
            <w:tcW w:w="4500" w:type="dxa"/>
            <w:vAlign w:val="bottom"/>
          </w:tcPr>
          <w:p>
            <w:pPr>
              <w:spacing w:after="0" w:line="196" w:lineRule="exact"/>
              <w:rPr>
                <w:sz w:val="20"/>
                <w:szCs w:val="20"/>
                <w:color w:val="auto"/>
              </w:rPr>
            </w:pPr>
            <w:r>
              <w:rPr>
                <w:rFonts w:ascii="Arial" w:cs="Arial" w:eastAsia="Arial" w:hAnsi="Arial"/>
                <w:sz w:val="18"/>
                <w:szCs w:val="18"/>
                <w:color w:val="auto"/>
              </w:rPr>
              <w:t>Net deferred tax asset</w:t>
            </w:r>
          </w:p>
        </w:tc>
        <w:tc>
          <w:tcPr>
            <w:tcW w:w="82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153,556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197,146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(3,857)</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(6,748)</w:t>
            </w:r>
          </w:p>
        </w:tc>
        <w:tc>
          <w:tcPr>
            <w:tcW w:w="3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5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820" w:type="dxa"/>
            <w:vAlign w:val="bottom"/>
          </w:tcPr>
          <w:p>
            <w:pPr>
              <w:spacing w:after="0"/>
              <w:rPr>
                <w:sz w:val="17"/>
                <w:szCs w:val="17"/>
                <w:color w:val="auto"/>
              </w:rPr>
            </w:pPr>
          </w:p>
        </w:tc>
        <w:tc>
          <w:tcPr>
            <w:tcW w:w="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149,699</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190,398</w:t>
            </w:r>
          </w:p>
        </w:tc>
        <w:tc>
          <w:tcPr>
            <w:tcW w:w="180" w:type="dxa"/>
            <w:vAlign w:val="bottom"/>
            <w:gridSpan w:val="2"/>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4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As of December 31, 2025, and December 31, 2024, our deferred tax assets primarily related to acquired in-process research and development costs, operating loss carryforwards, capitalized research and development costs, inventory, and accrued rebates. On July 4, 2025, the "One Big Beautiful Bill Act" (the "OBBBA") was enacted. The OBBBA contains several changes to corporate taxation, including the allowance of immediate expensing of domestic research and development expenses. As a result, the Company recorded a $48,000 reduction to deferred tax assets related to domestic research and development expenses which is reflected in its consolidated balance sheet as of December 31, 2025. As of December 31, 2024, the Company had a valuation allowance on net operating loss carryforwards of the Company’s subsidiary, Zynerba Pharmaceuticals Pty Ltd., and net operating loss carryforwards and other deferred tax assets of the Company’s subsidiary, Harmony Biosciences Management, Inc. During the year ended December 31, 2025, it was determined that the net operating loss carryforward and other deferred tax assets related to the Company’s subsidiaries were not utilizable, accordingly the Company removed the related deferred tax asset and the corresponding valuation allowance, which reduced the valuation allowance by $2,891.</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As of December 31, 2025, and 2024, the Company has approximately $203,788 and $220,243, respectively, of federal net operating loss ("NOL") carryforward available to offset future federal taxable income. The Company also has approximately $110,579 and $111,079 of state NOL carryforwards as of December 31, 2025, and 2024, respectively, available to offset future state taxable income. The Company’s state NOLs begin to expire in 2037. As of December 31, 2025, and 2024, the Company had federal tax credits of $3,499 and $3,902, respectively.</w:t>
      </w:r>
    </w:p>
    <w:p>
      <w:pPr>
        <w:spacing w:after="0" w:line="1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Utilization of the net operating loss carryforwards and federal tax credits may be subject to a substantial limitation under Section 382 of the Internal Revenue Code due to ownership changes that could occur in the future. These changes may limit the amount of net operating loss and tax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or public groups. The majority of the Company’s carryforwards and federal tax credits were acquired in conjunction with the Zynerba and Epygenix acquisitions and are subject to annual limitations under Section 382 of the Internal Revenue Code.</w:t>
      </w:r>
    </w:p>
    <w:p>
      <w:pPr>
        <w:spacing w:after="0" w:line="16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2022 to present. All open years may be examined to the extent that tax credits or NOLs are used in future periods. The Company’s policy is to record interest and penalties related to income taxes as part of its income tax provision. The Company has not recorded any amounts for unrecognized tax benefits as of December 31, 2025, and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RETIREMENT PLAN</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Company formed a 401(k) defined contribution savings plan (the “401(k) Plan”) in January 2021. The 401(k) Plan is for the benefit of all qualifying employees and permits voluntary contributions by employees limited by the IRS-imposed maximum. Employer contributions were $4,034, $2,457, and $2,128 for the years ended December 31, 2025, 2024 and 2023,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RELATED-PARTY TRANSACTIONS</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Company’s related party, Paragon, is an entity that shares common ownership with the Company. In addition, the Chairman of the Company’s board of directors was the President and owner of the entity. The Company is party to a right of use agreement with the related party whereby it has access to and the right to use certain office space leased by the related party in Chicago, Illinois. Additionally, the Company received consulting services from Paragon during the twelve months ended December 31, 2025. For the years ended December 31, 2025, 2024 and 2023, the Company incurred $474, $290 and $290, respectively, of expenses pursuant to the right of use agreement with this related party, which are included in general and administrative expense in the consolidated statements of operations and comprehensive income (loss). As of December 31, 2025, and 2024, there were no amounts due to or due from related parties included within the consolidated balance sheet.</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In June 2025, the Company entered into the CiRC Agreement with CiRC, an entity controlled by Paragon. The Company paid a $15,000 upfront payment to CiRC pursuant to the CiRC Agreement which was recorded as an IPR&amp;D charge in research and development in the consolidated statements of operations and comprehensive income. As of December 31, 2025, there were no amounts due to or due from CiRC under the CiRC agreement. Refer to Note 9, </w:t>
      </w:r>
      <w:r>
        <w:rPr>
          <w:rFonts w:ascii="Arial" w:cs="Arial" w:eastAsia="Arial" w:hAnsi="Arial"/>
          <w:sz w:val="18"/>
          <w:szCs w:val="18"/>
          <w:i w:val="1"/>
          <w:iCs w:val="1"/>
          <w:color w:val="auto"/>
        </w:rPr>
        <w:t>License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 for further discussion regarding the CiRC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VALUATION AND QUALIFYING ACCOUNTS – ACCOUNTS RECEIVABLE, NET</w:t>
      </w:r>
    </w:p>
    <w:p>
      <w:pPr>
        <w:spacing w:after="0" w:line="21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color w:val="auto"/>
        </w:rPr>
        <w:t>Changes in the valuation allowance for accounts receivable, net during the years ended December 31, 2025, 2024, and 2023,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48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356"/>
              <w:spacing w:after="0" w:line="155" w:lineRule="exact"/>
              <w:rPr>
                <w:sz w:val="20"/>
                <w:szCs w:val="20"/>
                <w:color w:val="auto"/>
              </w:rPr>
            </w:pPr>
            <w:r>
              <w:rPr>
                <w:rFonts w:ascii="Arial" w:cs="Arial" w:eastAsia="Arial" w:hAnsi="Arial"/>
                <w:sz w:val="14"/>
                <w:szCs w:val="14"/>
                <w:b w:val="1"/>
                <w:bCs w:val="1"/>
                <w:color w:val="auto"/>
              </w:rPr>
              <w:t>2025</w:t>
            </w:r>
          </w:p>
        </w:tc>
        <w:tc>
          <w:tcPr>
            <w:tcW w:w="42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2023</w:t>
            </w:r>
          </w:p>
        </w:tc>
      </w:tr>
      <w:tr>
        <w:trPr>
          <w:trHeight w:val="164"/>
        </w:trPr>
        <w:tc>
          <w:tcPr>
            <w:tcW w:w="584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8"/>
                <w:szCs w:val="18"/>
                <w:color w:val="auto"/>
              </w:rPr>
              <w:t>Allowance for distribution fees, discounts and chargebacks at the</w:t>
            </w:r>
          </w:p>
        </w:tc>
        <w:tc>
          <w:tcPr>
            <w:tcW w:w="2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r>
      <w:tr>
        <w:trPr>
          <w:trHeight w:val="221"/>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year</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r>
      <w:tr>
        <w:trPr>
          <w:trHeight w:val="203"/>
        </w:trPr>
        <w:tc>
          <w:tcPr>
            <w:tcW w:w="5840" w:type="dxa"/>
            <w:vAlign w:val="bottom"/>
          </w:tcPr>
          <w:p>
            <w:pPr>
              <w:ind w:left="120"/>
              <w:spacing w:after="0" w:line="202" w:lineRule="exact"/>
              <w:rPr>
                <w:sz w:val="20"/>
                <w:szCs w:val="20"/>
                <w:color w:val="auto"/>
              </w:rPr>
            </w:pPr>
            <w:r>
              <w:rPr>
                <w:rFonts w:ascii="Arial" w:cs="Arial" w:eastAsia="Arial" w:hAnsi="Arial"/>
                <w:sz w:val="18"/>
                <w:szCs w:val="18"/>
                <w:color w:val="auto"/>
              </w:rPr>
              <w:t>Additions due to current period provision</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38,921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28,782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21,821</w:t>
            </w:r>
          </w:p>
        </w:tc>
      </w:tr>
      <w:tr>
        <w:trPr>
          <w:trHeight w:val="184"/>
        </w:trPr>
        <w:tc>
          <w:tcPr>
            <w:tcW w:w="584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Deductions due to payment of distribution fees, discount and</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1"/>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chargebacks</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(37,806)</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(27,422)</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(21,007)</w:t>
            </w:r>
          </w:p>
        </w:tc>
      </w:tr>
      <w:tr>
        <w:trPr>
          <w:trHeight w:val="164"/>
        </w:trPr>
        <w:tc>
          <w:tcPr>
            <w:tcW w:w="5840" w:type="dxa"/>
            <w:vAlign w:val="bottom"/>
          </w:tcPr>
          <w:p>
            <w:pPr>
              <w:spacing w:after="0" w:line="163" w:lineRule="exact"/>
              <w:rPr>
                <w:sz w:val="20"/>
                <w:szCs w:val="20"/>
                <w:color w:val="auto"/>
              </w:rPr>
            </w:pPr>
            <w:r>
              <w:rPr>
                <w:rFonts w:ascii="Arial" w:cs="Arial" w:eastAsia="Arial" w:hAnsi="Arial"/>
                <w:sz w:val="18"/>
                <w:szCs w:val="18"/>
                <w:color w:val="auto"/>
              </w:rPr>
              <w:t>Allowance for distribution fees, discounts and chargebacks at the end of</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21"/>
        </w:trPr>
        <w:tc>
          <w:tcPr>
            <w:tcW w:w="5840" w:type="dxa"/>
            <w:vAlign w:val="bottom"/>
          </w:tcPr>
          <w:p>
            <w:pPr>
              <w:spacing w:after="0"/>
              <w:rPr>
                <w:sz w:val="20"/>
                <w:szCs w:val="20"/>
                <w:color w:val="auto"/>
              </w:rPr>
            </w:pPr>
            <w:r>
              <w:rPr>
                <w:rFonts w:ascii="Arial" w:cs="Arial" w:eastAsia="Arial" w:hAnsi="Arial"/>
                <w:sz w:val="18"/>
                <w:szCs w:val="18"/>
                <w:color w:val="auto"/>
              </w:rPr>
              <w:t>the year</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5,119</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4,004</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2,644</w:t>
            </w:r>
          </w:p>
        </w:tc>
      </w:tr>
      <w:tr>
        <w:trPr>
          <w:trHeight w:val="20"/>
        </w:trPr>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19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On January 11, 2026, the Company entered into a license agreement with a third party, which includes an exclusive license to additional intellectual property that will expand the patent estate of the Company, as well as a co-exclusive license, with which the Company intends to develop a new formulation of pitolisant in broad CNS indications outside of sleep/wake. Under the license agreement, the Company paid an upfront license fee of $ 15,000 and will also be obligated to pay up to $10,000 upon achievement of certain development milestones, as well as low single-digit royalties on net sales of pitolisant based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1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1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management, including our principal executive officer and our principal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that evaluation, our principal executive officer and principal financial officer have concluded that, as of the end of the period covered by this Annual Report on Form 10-K,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Management of the Company is responsible for establishing and maintaining adequate internal control over the Company’s financial reporting, as defined in Rule 13a-15(f)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generally accepted accounting principles in the United States of America. Our independent registered public accounting firm, Deloitte &amp; Touche LLP, has issued an attestation report on our internal control over financial reporting that is included in this Annual Report on Form 10-K.</w:t>
      </w:r>
    </w:p>
    <w:p>
      <w:pPr>
        <w:spacing w:after="0" w:line="17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December 31, 2025, our management assessed the effectiveness of our internal control over financial reporting using the criteria set forth by the Committee of Sponsoring Organizations of the Treadway Commission in Internal Control-Integrated Framework (2013). Based on this assessment, management, under the supervision and with the participation of our principal executive officer and principal financial officer, concluded that, as of December 31, 2025, our internal control over financial reporting was effective. Our independent registered public accounting firm, Deloitte &amp; Touche LLP, has audited the effectiveness of our internal control over financial reporting as of December 31, 2025, as stated in their report which is included in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2025, that have materially affected, or are reasonably likely to materially affect, our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12" w:lineRule="exact"/>
        <w:rPr>
          <w:sz w:val="20"/>
          <w:szCs w:val="20"/>
          <w:color w:val="auto"/>
        </w:rPr>
      </w:pPr>
    </w:p>
    <w:p>
      <w:pPr>
        <w:ind w:left="1000" w:hanging="31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None.</w:t>
      </w:r>
    </w:p>
    <w:p>
      <w:pPr>
        <w:spacing w:after="0" w:line="211" w:lineRule="exact"/>
        <w:rPr>
          <w:rFonts w:ascii="Arial" w:cs="Arial" w:eastAsia="Arial" w:hAnsi="Arial"/>
          <w:sz w:val="18"/>
          <w:szCs w:val="18"/>
          <w:color w:val="auto"/>
        </w:rPr>
      </w:pPr>
    </w:p>
    <w:p>
      <w:pPr>
        <w:jc w:val="both"/>
        <w:ind w:left="1000" w:hanging="317"/>
        <w:spacing w:after="0" w:line="253"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During the quarter ended December 31,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Disclosures Regarding Foreign Jurisdictions that Prevent Inspections.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Harmony Biosciences Holdings,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audited the internal control over financial reporting of Harmony Biosciences Holdings, Inc., and subsidiaries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COSO.</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24, 2026, expressed an unqualified opinion on those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2026</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information required by this item will be set forth in our Proxy Statement for the 2026 Annual Meeting of Stockholders and is incorporated by reference. The Proxy Statement will be filed with the SEC within 120 days of the fiscal year ended December 31, 2025.</w:t>
      </w:r>
    </w:p>
    <w:p>
      <w:pPr>
        <w:spacing w:after="0" w:line="16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is posted on the investor relations page on our website which is located at https://ir.harmonybiosciences.com. We will post any amendments to our code of business conduct and ethics other than technical, administrative or other non-substantive amendments, or waivers of its requirements, on our website or in a Form 8-K filed with the SEC.</w:t>
      </w:r>
    </w:p>
    <w:p>
      <w:pPr>
        <w:spacing w:after="0" w:line="17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We have adopted an Insider Trading Policy that governs the purchase, sale, and/or other dispositions of our securities by directors, officers and employees that is reasonably designed to promote compliance with insider trading laws, rules and regulations, and the listing requirements of NASDAQ. A copy of our Insider Trading Policy is filed as Exhibit 19.1 to this Annual Report on Form 10-K.</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information required by this item will be set forth in our Proxy Statement for the 2026 Annual Meeting of Stockholders and is incorporated herein by reference. The Proxy Statement will be filed with the SEC within 120 days of the fiscal year ended December 31, 2025.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information required by this item will be set forth in our Proxy Statement for the 2026 Annual Meeting of Stockholders and is incorporated herein by reference. The Proxy Statement will be filed with the SEC within 120 days of the fiscal year ended December 31, 2025.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information required by this item will be set forth in our Proxy Statement for the 2026 Annual Meeting of Stockholders and is incorporated herein by reference. The Proxy Statement will be filed with the SEC within 120 days of the fiscal year ended December 31, 2025.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information required by this item will be set forth in our Proxy Statement for the 2026 Annual Meeting of Stockholders and is incorporated herein by reference. The Proxy Statement will be filed with the SEC within 120 days of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“Part II—Item 8. Financial Statements and Supplementary Data.—Index to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financial statement schedules have been omitted as the information is not required under the related instructions or is not applicable or because the information required is already included in the financial statements or the notes those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1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The documents set forth below are filed herewith or incorporated herein by reference to the location indicated.</w:t>
      </w:r>
    </w:p>
    <w:p>
      <w:pPr>
        <w:spacing w:after="0" w:line="212"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tcBorders>
              <w:bottom w:val="single" w:sz="8" w:color="auto"/>
            </w:tcBorders>
            <w:gridSpan w:val="5"/>
          </w:tcPr>
          <w:p>
            <w:pPr>
              <w:jc w:val="center"/>
              <w:ind w:left="653"/>
              <w:spacing w:after="0"/>
              <w:rPr>
                <w:sz w:val="20"/>
                <w:szCs w:val="20"/>
                <w:color w:val="auto"/>
              </w:rPr>
            </w:pPr>
            <w:r>
              <w:rPr>
                <w:rFonts w:ascii="Arial" w:cs="Arial" w:eastAsia="Arial" w:hAnsi="Arial"/>
                <w:sz w:val="14"/>
                <w:szCs w:val="14"/>
                <w:b w:val="1"/>
                <w:bCs w:val="1"/>
                <w:color w:val="auto"/>
              </w:rPr>
              <w:t>Incorporated by Reference</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0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80" w:type="dxa"/>
            <w:vAlign w:val="bottom"/>
            <w:gridSpan w:val="20"/>
          </w:tcPr>
          <w:p>
            <w:pPr>
              <w:ind w:left="880"/>
              <w:spacing w:after="0" w:line="155" w:lineRule="exact"/>
              <w:rPr>
                <w:sz w:val="20"/>
                <w:szCs w:val="20"/>
                <w:color w:val="auto"/>
              </w:rPr>
            </w:pPr>
            <w:r>
              <w:rPr>
                <w:rFonts w:ascii="Arial" w:cs="Arial" w:eastAsia="Arial" w:hAnsi="Arial"/>
                <w:sz w:val="14"/>
                <w:szCs w:val="14"/>
                <w:b w:val="1"/>
                <w:bCs w:val="1"/>
                <w:color w:val="auto"/>
              </w:rPr>
              <w:t>Exhibit Description</w:t>
            </w:r>
          </w:p>
        </w:tc>
        <w:tc>
          <w:tcPr>
            <w:tcW w:w="116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Form</w:t>
            </w:r>
          </w:p>
        </w:tc>
        <w:tc>
          <w:tcPr>
            <w:tcW w:w="1440" w:type="dxa"/>
            <w:vAlign w:val="bottom"/>
            <w:gridSpan w:val="3"/>
          </w:tcPr>
          <w:p>
            <w:pPr>
              <w:jc w:val="center"/>
              <w:ind w:right="420"/>
              <w:spacing w:after="0" w:line="155" w:lineRule="exact"/>
              <w:rPr>
                <w:sz w:val="20"/>
                <w:szCs w:val="20"/>
                <w:color w:val="auto"/>
              </w:rPr>
            </w:pPr>
            <w:r>
              <w:rPr>
                <w:rFonts w:ascii="Arial" w:cs="Arial" w:eastAsia="Arial" w:hAnsi="Arial"/>
                <w:sz w:val="14"/>
                <w:szCs w:val="14"/>
                <w:b w:val="1"/>
                <w:bCs w:val="1"/>
                <w:color w:val="auto"/>
                <w:w w:val="98"/>
              </w:rPr>
              <w:t>Date</w:t>
            </w:r>
          </w:p>
        </w:tc>
        <w:tc>
          <w:tcPr>
            <w:tcW w:w="760" w:type="dxa"/>
            <w:vAlign w:val="bottom"/>
          </w:tcPr>
          <w:p>
            <w:pPr>
              <w:spacing w:after="0" w:line="155" w:lineRule="exact"/>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1.1</w:t>
            </w:r>
          </w:p>
        </w:tc>
        <w:tc>
          <w:tcPr>
            <w:tcW w:w="180" w:type="dxa"/>
            <w:vAlign w:val="bottom"/>
          </w:tcPr>
          <w:p>
            <w:pPr>
              <w:spacing w:after="0"/>
              <w:rPr>
                <w:sz w:val="14"/>
                <w:szCs w:val="14"/>
                <w:color w:val="auto"/>
              </w:rPr>
            </w:pPr>
          </w:p>
        </w:tc>
        <w:tc>
          <w:tcPr>
            <w:tcW w:w="3900" w:type="dxa"/>
            <w:vAlign w:val="bottom"/>
            <w:tcBorders>
              <w:top w:val="single" w:sz="8" w:color="auto"/>
            </w:tcBorders>
            <w:gridSpan w:val="21"/>
          </w:tcPr>
          <w:p>
            <w:pPr>
              <w:spacing w:after="0" w:line="169" w:lineRule="exact"/>
              <w:rPr>
                <w:rFonts w:ascii="Arial" w:cs="Arial" w:eastAsia="Arial" w:hAnsi="Arial"/>
                <w:sz w:val="18"/>
                <w:szCs w:val="18"/>
                <w:color w:val="0000EE"/>
              </w:rPr>
            </w:pPr>
            <w:hyperlink r:id="rId142">
              <w:r>
                <w:rPr>
                  <w:rFonts w:ascii="Arial" w:cs="Arial" w:eastAsia="Arial" w:hAnsi="Arial"/>
                  <w:sz w:val="18"/>
                  <w:szCs w:val="18"/>
                  <w:color w:val="0000EE"/>
                </w:rPr>
                <w:t>Sales Agreement, dates as of February 25,</w:t>
              </w:r>
            </w:hyperlink>
          </w:p>
        </w:tc>
        <w:tc>
          <w:tcPr>
            <w:tcW w:w="180" w:type="dxa"/>
            <w:vAlign w:val="bottom"/>
          </w:tcPr>
          <w:p>
            <w:pPr>
              <w:spacing w:after="0"/>
              <w:rPr>
                <w:sz w:val="14"/>
                <w:szCs w:val="14"/>
                <w:color w:val="auto"/>
              </w:rPr>
            </w:pPr>
          </w:p>
        </w:tc>
        <w:tc>
          <w:tcPr>
            <w:tcW w:w="9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8"/>
              </w:rPr>
              <w:t>S-3ASR</w:t>
            </w:r>
          </w:p>
        </w:tc>
        <w:tc>
          <w:tcPr>
            <w:tcW w:w="200" w:type="dxa"/>
            <w:vAlign w:val="bottom"/>
          </w:tcPr>
          <w:p>
            <w:pPr>
              <w:spacing w:after="0"/>
              <w:rPr>
                <w:sz w:val="14"/>
                <w:szCs w:val="14"/>
                <w:color w:val="auto"/>
              </w:rPr>
            </w:pPr>
          </w:p>
        </w:tc>
        <w:tc>
          <w:tcPr>
            <w:tcW w:w="10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February 25,</w:t>
            </w: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ind w:right="152"/>
              <w:spacing w:after="0" w:line="169" w:lineRule="exact"/>
              <w:rPr>
                <w:sz w:val="20"/>
                <w:szCs w:val="20"/>
                <w:color w:val="auto"/>
              </w:rPr>
            </w:pPr>
            <w:r>
              <w:rPr>
                <w:rFonts w:ascii="Arial" w:cs="Arial" w:eastAsia="Arial" w:hAnsi="Arial"/>
                <w:sz w:val="18"/>
                <w:szCs w:val="18"/>
                <w:color w:val="auto"/>
                <w:w w:val="95"/>
              </w:rPr>
              <w:t>1.2</w:t>
            </w:r>
          </w:p>
        </w:tc>
        <w:tc>
          <w:tcPr>
            <w:tcW w:w="18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4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r:id="rId142">
              <w:r>
                <w:rPr>
                  <w:rFonts w:ascii="Arial" w:cs="Arial" w:eastAsia="Arial" w:hAnsi="Arial"/>
                  <w:sz w:val="18"/>
                  <w:szCs w:val="18"/>
                  <w:color w:val="0000EE"/>
                  <w:w w:val="99"/>
                </w:rPr>
                <w:t>2025, by and among Harmony Biosciences</w:t>
              </w:r>
            </w:hyperlink>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Arial" w:cs="Arial" w:eastAsia="Arial" w:hAnsi="Arial"/>
                <w:sz w:val="18"/>
                <w:szCs w:val="18"/>
                <w:color w:val="auto"/>
              </w:rPr>
              <w:t>2025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80" w:type="dxa"/>
            <w:vAlign w:val="bottom"/>
            <w:gridSpan w:val="22"/>
          </w:tcPr>
          <w:p>
            <w:pPr>
              <w:spacing w:after="0" w:line="182" w:lineRule="exact"/>
              <w:rPr>
                <w:rFonts w:ascii="Arial" w:cs="Arial" w:eastAsia="Arial" w:hAnsi="Arial"/>
                <w:sz w:val="18"/>
                <w:szCs w:val="18"/>
                <w:color w:val="0000EE"/>
              </w:rPr>
            </w:pPr>
            <w:hyperlink r:id="rId142">
              <w:r>
                <w:rPr>
                  <w:rFonts w:ascii="Arial" w:cs="Arial" w:eastAsia="Arial" w:hAnsi="Arial"/>
                  <w:sz w:val="18"/>
                  <w:szCs w:val="18"/>
                  <w:color w:val="0000EE"/>
                </w:rPr>
                <w:t>Holdings, Inc., Leerink Partners LLC and Cantor</w:t>
              </w:r>
            </w:hyperlink>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5"/>
                <w:szCs w:val="15"/>
                <w:color w:val="auto"/>
              </w:rPr>
            </w:pPr>
          </w:p>
        </w:tc>
        <w:tc>
          <w:tcPr>
            <w:tcW w:w="382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42">
              <w:r>
                <w:rPr>
                  <w:rFonts w:ascii="Arial" w:cs="Arial" w:eastAsia="Arial" w:hAnsi="Arial"/>
                  <w:sz w:val="18"/>
                  <w:szCs w:val="18"/>
                  <w:color w:val="0000EE"/>
                </w:rPr>
                <w:t>Fitzgerald and Co.</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7"/>
              </w:rPr>
              <w:t>8-K/A</w:t>
            </w:r>
          </w:p>
        </w:tc>
        <w:tc>
          <w:tcPr>
            <w:tcW w:w="1440" w:type="dxa"/>
            <w:vAlign w:val="bottom"/>
            <w:gridSpan w:val="3"/>
            <w:vMerge w:val="restart"/>
          </w:tcPr>
          <w:p>
            <w:pPr>
              <w:jc w:val="center"/>
              <w:ind w:right="400"/>
              <w:spacing w:after="0"/>
              <w:rPr>
                <w:sz w:val="20"/>
                <w:szCs w:val="20"/>
                <w:color w:val="auto"/>
              </w:rPr>
            </w:pPr>
            <w:r>
              <w:rPr>
                <w:rFonts w:ascii="Arial" w:cs="Arial" w:eastAsia="Arial" w:hAnsi="Arial"/>
                <w:sz w:val="18"/>
                <w:szCs w:val="18"/>
                <w:color w:val="auto"/>
                <w:w w:val="99"/>
              </w:rPr>
              <w:t>September</w:t>
            </w:r>
          </w:p>
        </w:tc>
        <w:tc>
          <w:tcPr>
            <w:tcW w:w="760" w:type="dxa"/>
            <w:vAlign w:val="bottom"/>
            <w:vMerge w:val="restart"/>
          </w:tcPr>
          <w:p>
            <w:pPr>
              <w:jc w:val="center"/>
              <w:ind w:right="152"/>
              <w:spacing w:after="0"/>
              <w:rPr>
                <w:sz w:val="20"/>
                <w:szCs w:val="20"/>
                <w:color w:val="auto"/>
              </w:rPr>
            </w:pPr>
            <w:r>
              <w:rPr>
                <w:rFonts w:ascii="Arial" w:cs="Arial" w:eastAsia="Arial" w:hAnsi="Arial"/>
                <w:sz w:val="18"/>
                <w:szCs w:val="18"/>
                <w:color w:val="auto"/>
                <w:w w:val="95"/>
              </w:rPr>
              <w:t>2.1</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440" w:type="dxa"/>
            <w:vAlign w:val="bottom"/>
            <w:gridSpan w:val="3"/>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080" w:type="dxa"/>
            <w:vAlign w:val="bottom"/>
            <w:gridSpan w:val="22"/>
          </w:tcPr>
          <w:p>
            <w:pPr>
              <w:spacing w:after="0" w:line="182" w:lineRule="exact"/>
              <w:rPr>
                <w:rFonts w:ascii="Arial" w:cs="Arial" w:eastAsia="Arial" w:hAnsi="Arial"/>
                <w:sz w:val="18"/>
                <w:szCs w:val="18"/>
                <w:color w:val="0000EE"/>
              </w:rPr>
            </w:pPr>
            <w:hyperlink r:id="rId143">
              <w:r>
                <w:rPr>
                  <w:rFonts w:ascii="Arial" w:cs="Arial" w:eastAsia="Arial" w:hAnsi="Arial"/>
                  <w:sz w:val="18"/>
                  <w:szCs w:val="18"/>
                  <w:color w:val="0000EE"/>
                </w:rPr>
                <w:t>Agreement and Plan of Merger, dated August</w:t>
              </w:r>
            </w:hyperlink>
          </w:p>
        </w:tc>
        <w:tc>
          <w:tcPr>
            <w:tcW w:w="1160" w:type="dxa"/>
            <w:vAlign w:val="bottom"/>
            <w:gridSpan w:val="2"/>
            <w:vMerge w:val="continue"/>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2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6"/>
              </w:rPr>
            </w:pPr>
            <w:hyperlink r:id="rId143">
              <w:r>
                <w:rPr>
                  <w:rFonts w:ascii="Arial" w:cs="Arial" w:eastAsia="Arial" w:hAnsi="Arial"/>
                  <w:sz w:val="18"/>
                  <w:szCs w:val="18"/>
                  <w:color w:val="0000EE"/>
                  <w:w w:val="96"/>
                </w:rPr>
                <w:t>14, 2023, by and among Harmony Biosciences</w:t>
              </w:r>
            </w:hyperlink>
          </w:p>
        </w:tc>
        <w:tc>
          <w:tcPr>
            <w:tcW w:w="10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Arial" w:cs="Arial" w:eastAsia="Arial" w:hAnsi="Arial"/>
                <w:sz w:val="18"/>
                <w:szCs w:val="18"/>
                <w:color w:val="auto"/>
                <w:w w:val="99"/>
              </w:rPr>
              <w:t>14, 2023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4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r:id="rId143">
              <w:r>
                <w:rPr>
                  <w:rFonts w:ascii="Arial" w:cs="Arial" w:eastAsia="Arial" w:hAnsi="Arial"/>
                  <w:sz w:val="18"/>
                  <w:szCs w:val="18"/>
                  <w:color w:val="0000EE"/>
                  <w:w w:val="97"/>
                </w:rPr>
                <w:t>Holdings, Inc., Xylophone Acquisition Corp. and</w:t>
              </w:r>
            </w:hyperlink>
          </w:p>
        </w:tc>
        <w:tc>
          <w:tcPr>
            <w:tcW w:w="4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vMerge w:val="restart"/>
          </w:tcPr>
          <w:p>
            <w:pPr>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5"/>
                <w:szCs w:val="15"/>
                <w:color w:val="auto"/>
              </w:rPr>
            </w:pPr>
          </w:p>
        </w:tc>
        <w:tc>
          <w:tcPr>
            <w:tcW w:w="3800" w:type="dxa"/>
            <w:vAlign w:val="bottom"/>
            <w:gridSpan w:val="17"/>
          </w:tcPr>
          <w:p>
            <w:pPr>
              <w:spacing w:after="0" w:line="182" w:lineRule="exact"/>
              <w:rPr>
                <w:rFonts w:ascii="Arial" w:cs="Arial" w:eastAsia="Arial" w:hAnsi="Arial"/>
                <w:sz w:val="18"/>
                <w:szCs w:val="18"/>
                <w:color w:val="0000EE"/>
              </w:rPr>
            </w:pPr>
            <w:hyperlink r:id="rId143">
              <w:r>
                <w:rPr>
                  <w:rFonts w:ascii="Arial" w:cs="Arial" w:eastAsia="Arial" w:hAnsi="Arial"/>
                  <w:sz w:val="18"/>
                  <w:szCs w:val="18"/>
                  <w:color w:val="0000EE"/>
                </w:rPr>
                <w:t>Zynerba Pharmaceuticals, Inc.</w:t>
              </w:r>
            </w:hyperlink>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9"/>
              </w:rPr>
              <w:t>8-K</w:t>
            </w:r>
          </w:p>
        </w:tc>
        <w:tc>
          <w:tcPr>
            <w:tcW w:w="1440" w:type="dxa"/>
            <w:vAlign w:val="bottom"/>
            <w:gridSpan w:val="3"/>
            <w:vMerge w:val="restart"/>
          </w:tcPr>
          <w:p>
            <w:pPr>
              <w:jc w:val="center"/>
              <w:ind w:right="420"/>
              <w:spacing w:after="0"/>
              <w:rPr>
                <w:sz w:val="20"/>
                <w:szCs w:val="20"/>
                <w:color w:val="auto"/>
              </w:rPr>
            </w:pPr>
            <w:r>
              <w:rPr>
                <w:rFonts w:ascii="Arial" w:cs="Arial" w:eastAsia="Arial" w:hAnsi="Arial"/>
                <w:sz w:val="18"/>
                <w:szCs w:val="18"/>
                <w:color w:val="auto"/>
                <w:w w:val="99"/>
              </w:rPr>
              <w:t>August 21,</w:t>
            </w:r>
          </w:p>
        </w:tc>
        <w:tc>
          <w:tcPr>
            <w:tcW w:w="760" w:type="dxa"/>
            <w:vAlign w:val="bottom"/>
            <w:vMerge w:val="restart"/>
          </w:tcPr>
          <w:p>
            <w:pPr>
              <w:jc w:val="center"/>
              <w:ind w:right="152"/>
              <w:spacing w:after="0"/>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440" w:type="dxa"/>
            <w:vAlign w:val="bottom"/>
            <w:gridSpan w:val="3"/>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080" w:type="dxa"/>
            <w:vAlign w:val="bottom"/>
            <w:gridSpan w:val="22"/>
          </w:tcPr>
          <w:p>
            <w:pPr>
              <w:spacing w:after="0" w:line="182" w:lineRule="exact"/>
              <w:rPr>
                <w:rFonts w:ascii="Arial" w:cs="Arial" w:eastAsia="Arial" w:hAnsi="Arial"/>
                <w:sz w:val="18"/>
                <w:szCs w:val="18"/>
                <w:color w:val="0000EE"/>
              </w:rPr>
            </w:pPr>
            <w:hyperlink r:id="rId144">
              <w:r>
                <w:rPr>
                  <w:rFonts w:ascii="Arial" w:cs="Arial" w:eastAsia="Arial" w:hAnsi="Arial"/>
                  <w:sz w:val="18"/>
                  <w:szCs w:val="18"/>
                  <w:color w:val="0000EE"/>
                </w:rPr>
                <w:t>Amended and Restated Certificate of</w:t>
              </w:r>
            </w:hyperlink>
          </w:p>
        </w:tc>
        <w:tc>
          <w:tcPr>
            <w:tcW w:w="1160" w:type="dxa"/>
            <w:vAlign w:val="bottom"/>
            <w:gridSpan w:val="2"/>
            <w:vMerge w:val="continue"/>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40" w:type="dxa"/>
            <w:vAlign w:val="bottom"/>
            <w:tcBorders>
              <w:top w:val="single" w:sz="8" w:color="0000EE"/>
            </w:tcBorders>
            <w:gridSpan w:val="8"/>
          </w:tcPr>
          <w:p>
            <w:pPr>
              <w:spacing w:after="0" w:line="182" w:lineRule="exact"/>
              <w:rPr>
                <w:rFonts w:ascii="Arial" w:cs="Arial" w:eastAsia="Arial" w:hAnsi="Arial"/>
                <w:sz w:val="18"/>
                <w:szCs w:val="18"/>
                <w:color w:val="0000EE"/>
                <w:w w:val="96"/>
              </w:rPr>
            </w:pPr>
            <w:hyperlink r:id="rId144">
              <w:r>
                <w:rPr>
                  <w:rFonts w:ascii="Arial" w:cs="Arial" w:eastAsia="Arial" w:hAnsi="Arial"/>
                  <w:sz w:val="18"/>
                  <w:szCs w:val="18"/>
                  <w:color w:val="0000EE"/>
                  <w:w w:val="96"/>
                </w:rPr>
                <w:t>Incorporation of Harmony Biosciences</w:t>
              </w:r>
            </w:hyperlink>
          </w:p>
        </w:tc>
        <w:tc>
          <w:tcPr>
            <w:tcW w:w="40" w:type="dxa"/>
            <w:vAlign w:val="bottom"/>
          </w:tcPr>
          <w:p>
            <w:pPr>
              <w:spacing w:after="0"/>
              <w:rPr>
                <w:sz w:val="15"/>
                <w:szCs w:val="15"/>
                <w:color w:val="auto"/>
              </w:rPr>
            </w:pPr>
          </w:p>
        </w:tc>
        <w:tc>
          <w:tcPr>
            <w:tcW w:w="1100" w:type="dxa"/>
            <w:vAlign w:val="bottom"/>
            <w:gridSpan w:val="13"/>
          </w:tcPr>
          <w:p>
            <w:pPr>
              <w:ind w:left="100"/>
              <w:spacing w:after="0" w:line="182" w:lineRule="exact"/>
              <w:rPr>
                <w:rFonts w:ascii="Arial" w:cs="Arial" w:eastAsia="Arial" w:hAnsi="Arial"/>
                <w:sz w:val="18"/>
                <w:szCs w:val="18"/>
                <w:color w:val="0000EE"/>
              </w:rPr>
            </w:pPr>
            <w:hyperlink r:id="rId144">
              <w:r>
                <w:rPr>
                  <w:rFonts w:ascii="Arial" w:cs="Arial" w:eastAsia="Arial" w:hAnsi="Arial"/>
                  <w:sz w:val="18"/>
                  <w:szCs w:val="18"/>
                  <w:color w:val="0000EE"/>
                </w:rPr>
                <w:t>Holdings,</w:t>
              </w:r>
            </w:hyperlink>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Arial" w:cs="Arial" w:eastAsia="Arial" w:hAnsi="Arial"/>
                <w:sz w:val="18"/>
                <w:szCs w:val="18"/>
                <w:color w:val="auto"/>
              </w:rPr>
              <w:t>2020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4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144">
              <w:r>
                <w:rPr>
                  <w:rFonts w:ascii="Arial" w:cs="Arial" w:eastAsia="Arial" w:hAnsi="Arial"/>
                  <w:sz w:val="18"/>
                  <w:szCs w:val="18"/>
                  <w:color w:val="0000EE"/>
                </w:rPr>
                <w:t>Inc.</w:t>
              </w:r>
            </w:hyperlink>
          </w:p>
        </w:tc>
        <w:tc>
          <w:tcPr>
            <w:tcW w:w="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4080" w:type="dxa"/>
            <w:vAlign w:val="bottom"/>
            <w:gridSpan w:val="22"/>
          </w:tcPr>
          <w:p>
            <w:pPr>
              <w:spacing w:after="0"/>
              <w:rPr>
                <w:rFonts w:ascii="Arial" w:cs="Arial" w:eastAsia="Arial" w:hAnsi="Arial"/>
                <w:sz w:val="18"/>
                <w:szCs w:val="18"/>
                <w:color w:val="0000EE"/>
              </w:rPr>
            </w:pPr>
            <w:hyperlink r:id="rId145">
              <w:r>
                <w:rPr>
                  <w:rFonts w:ascii="Arial" w:cs="Arial" w:eastAsia="Arial" w:hAnsi="Arial"/>
                  <w:sz w:val="18"/>
                  <w:szCs w:val="18"/>
                  <w:color w:val="0000EE"/>
                </w:rPr>
                <w:t>Amended and Restated Bylaws.</w:t>
              </w:r>
            </w:hyperlink>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August 21,</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w w:val="95"/>
              </w:rPr>
              <w:t>3.2</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1140" w:type="dxa"/>
            <w:vAlign w:val="bottom"/>
            <w:gridSpan w:val="2"/>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4080" w:type="dxa"/>
            <w:vAlign w:val="bottom"/>
            <w:gridSpan w:val="22"/>
          </w:tcPr>
          <w:p>
            <w:pPr>
              <w:spacing w:after="0"/>
              <w:rPr>
                <w:rFonts w:ascii="Arial" w:cs="Arial" w:eastAsia="Arial" w:hAnsi="Arial"/>
                <w:sz w:val="18"/>
                <w:szCs w:val="18"/>
                <w:color w:val="0000EE"/>
              </w:rPr>
            </w:pPr>
            <w:hyperlink r:id="rId146">
              <w:r>
                <w:rPr>
                  <w:rFonts w:ascii="Arial" w:cs="Arial" w:eastAsia="Arial" w:hAnsi="Arial"/>
                  <w:sz w:val="18"/>
                  <w:szCs w:val="18"/>
                  <w:color w:val="0000EE"/>
                </w:rPr>
                <w:t>Form of Common Stock Certificate.</w:t>
              </w:r>
            </w:hyperlink>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S-1/A</w:t>
            </w: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rPr>
              <w:t>August 6,</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w w:val="95"/>
              </w:rPr>
              <w:t>4.1</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140" w:type="dxa"/>
            <w:vAlign w:val="bottom"/>
            <w:gridSpan w:val="2"/>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4080" w:type="dxa"/>
            <w:vAlign w:val="bottom"/>
            <w:gridSpan w:val="22"/>
          </w:tcPr>
          <w:p>
            <w:pPr>
              <w:spacing w:after="0"/>
              <w:rPr>
                <w:rFonts w:ascii="Arial" w:cs="Arial" w:eastAsia="Arial" w:hAnsi="Arial"/>
                <w:sz w:val="18"/>
                <w:szCs w:val="18"/>
                <w:color w:val="0000EE"/>
              </w:rPr>
            </w:pPr>
            <w:hyperlink r:id="rId147">
              <w:r>
                <w:rPr>
                  <w:rFonts w:ascii="Arial" w:cs="Arial" w:eastAsia="Arial" w:hAnsi="Arial"/>
                  <w:sz w:val="18"/>
                  <w:szCs w:val="18"/>
                  <w:color w:val="0000EE"/>
                </w:rPr>
                <w:t>Description of Registrant’s Securities.</w:t>
              </w:r>
            </w:hyperlink>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10-K</w:t>
            </w:r>
          </w:p>
        </w:tc>
        <w:tc>
          <w:tcPr>
            <w:tcW w:w="144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March 25,</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w w:val="95"/>
              </w:rPr>
              <w:t>4.3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1140" w:type="dxa"/>
            <w:vAlign w:val="bottom"/>
            <w:gridSpan w:val="2"/>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4080" w:type="dxa"/>
            <w:vAlign w:val="bottom"/>
            <w:gridSpan w:val="22"/>
          </w:tcPr>
          <w:p>
            <w:pPr>
              <w:spacing w:after="0"/>
              <w:rPr>
                <w:rFonts w:ascii="Arial" w:cs="Arial" w:eastAsia="Arial" w:hAnsi="Arial"/>
                <w:sz w:val="18"/>
                <w:szCs w:val="18"/>
                <w:color w:val="0000EE"/>
              </w:rPr>
            </w:pPr>
            <w:hyperlink r:id="rId148">
              <w:r>
                <w:rPr>
                  <w:rFonts w:ascii="Arial" w:cs="Arial" w:eastAsia="Arial" w:hAnsi="Arial"/>
                  <w:sz w:val="18"/>
                  <w:szCs w:val="18"/>
                  <w:color w:val="0000EE"/>
                </w:rPr>
                <w:t>Harmony Biosciences Holdings, Inc. 2020</w:t>
              </w:r>
            </w:hyperlink>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10-K</w:t>
            </w: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February 21,</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20" w:type="dxa"/>
            <w:vAlign w:val="bottom"/>
            <w:tcBorders>
              <w:top w:val="single" w:sz="8" w:color="0000EE"/>
            </w:tcBorders>
            <w:gridSpan w:val="10"/>
          </w:tcPr>
          <w:p>
            <w:pPr>
              <w:spacing w:after="0" w:line="182" w:lineRule="exact"/>
              <w:rPr>
                <w:rFonts w:ascii="Arial" w:cs="Arial" w:eastAsia="Arial" w:hAnsi="Arial"/>
                <w:sz w:val="18"/>
                <w:szCs w:val="18"/>
                <w:color w:val="0000EE"/>
                <w:w w:val="99"/>
              </w:rPr>
            </w:pPr>
            <w:hyperlink r:id="rId148">
              <w:r>
                <w:rPr>
                  <w:rFonts w:ascii="Arial" w:cs="Arial" w:eastAsia="Arial" w:hAnsi="Arial"/>
                  <w:sz w:val="18"/>
                  <w:szCs w:val="18"/>
                  <w:color w:val="0000EE"/>
                  <w:w w:val="99"/>
                </w:rPr>
                <w:t>Incentive Award Plan, as amended by the</w:t>
              </w:r>
            </w:hyperlink>
          </w:p>
        </w:tc>
        <w:tc>
          <w:tcPr>
            <w:tcW w:w="760" w:type="dxa"/>
            <w:vAlign w:val="bottom"/>
            <w:gridSpan w:val="12"/>
          </w:tcPr>
          <w:p>
            <w:pPr>
              <w:ind w:left="40"/>
              <w:spacing w:after="0" w:line="182" w:lineRule="exact"/>
              <w:rPr>
                <w:rFonts w:ascii="Arial" w:cs="Arial" w:eastAsia="Arial" w:hAnsi="Arial"/>
                <w:sz w:val="18"/>
                <w:szCs w:val="18"/>
                <w:color w:val="0000EE"/>
              </w:rPr>
            </w:pPr>
            <w:hyperlink r:id="rId148">
              <w:r>
                <w:rPr>
                  <w:rFonts w:ascii="Arial" w:cs="Arial" w:eastAsia="Arial" w:hAnsi="Arial"/>
                  <w:sz w:val="18"/>
                  <w:szCs w:val="18"/>
                  <w:color w:val="0000EE"/>
                </w:rPr>
                <w:t>First</w:t>
              </w:r>
            </w:hyperlink>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Arial" w:cs="Arial" w:eastAsia="Arial" w:hAnsi="Arial"/>
                <w:sz w:val="18"/>
                <w:szCs w:val="18"/>
                <w:color w:val="auto"/>
              </w:rPr>
              <w:t>2023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2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7"/>
              </w:rPr>
            </w:pPr>
            <w:hyperlink r:id="rId148">
              <w:r>
                <w:rPr>
                  <w:rFonts w:ascii="Arial" w:cs="Arial" w:eastAsia="Arial" w:hAnsi="Arial"/>
                  <w:sz w:val="18"/>
                  <w:szCs w:val="18"/>
                  <w:color w:val="0000EE"/>
                  <w:w w:val="97"/>
                </w:rPr>
                <w:t>Amendment to the Plan, dated March 24, 2022.</w:t>
              </w:r>
            </w:hyperlink>
          </w:p>
        </w:tc>
        <w:tc>
          <w:tcPr>
            <w:tcW w:w="60" w:type="dxa"/>
            <w:vAlign w:val="bottom"/>
            <w:tcBorders>
              <w:bottom w:val="single" w:sz="8" w:color="0000EE"/>
            </w:tcBorders>
            <w:gridSpan w:val="2"/>
          </w:tcPr>
          <w:p>
            <w:pPr>
              <w:spacing w:after="0"/>
              <w:rPr>
                <w:sz w:val="15"/>
                <w:szCs w:val="15"/>
                <w:color w:val="auto"/>
              </w:rPr>
            </w:pPr>
          </w:p>
        </w:tc>
        <w:tc>
          <w:tcPr>
            <w:tcW w:w="100" w:type="dxa"/>
            <w:vAlign w:val="bottom"/>
            <w:gridSpan w:val="4"/>
          </w:tcPr>
          <w:p>
            <w:pPr>
              <w:spacing w:after="0"/>
              <w:rPr>
                <w:sz w:val="15"/>
                <w:szCs w:val="15"/>
                <w:color w:val="auto"/>
              </w:rPr>
            </w:pPr>
          </w:p>
        </w:tc>
        <w:tc>
          <w:tcPr>
            <w:tcW w:w="20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4080" w:type="dxa"/>
            <w:vAlign w:val="bottom"/>
            <w:gridSpan w:val="22"/>
          </w:tcPr>
          <w:p>
            <w:pPr>
              <w:spacing w:after="0"/>
              <w:rPr>
                <w:rFonts w:ascii="Arial" w:cs="Arial" w:eastAsia="Arial" w:hAnsi="Arial"/>
                <w:sz w:val="18"/>
                <w:szCs w:val="18"/>
                <w:color w:val="0000EE"/>
              </w:rPr>
            </w:pPr>
            <w:hyperlink r:id="rId149">
              <w:r>
                <w:rPr>
                  <w:rFonts w:ascii="Arial" w:cs="Arial" w:eastAsia="Arial" w:hAnsi="Arial"/>
                  <w:sz w:val="18"/>
                  <w:szCs w:val="18"/>
                  <w:color w:val="0000EE"/>
                </w:rPr>
                <w:t>Form of Option Agreement under Harmony</w:t>
              </w:r>
            </w:hyperlink>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S-8</w:t>
            </w: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August 21,</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149">
              <w:r>
                <w:rPr>
                  <w:rFonts w:ascii="Arial" w:cs="Arial" w:eastAsia="Arial" w:hAnsi="Arial"/>
                  <w:sz w:val="18"/>
                  <w:szCs w:val="18"/>
                  <w:color w:val="0000EE"/>
                </w:rPr>
                <w:t>Biosciences Holdings, Inc. 2020 Incentive</w:t>
              </w:r>
            </w:hyperlink>
          </w:p>
        </w:tc>
        <w:tc>
          <w:tcPr>
            <w:tcW w:w="660" w:type="dxa"/>
            <w:vAlign w:val="bottom"/>
            <w:gridSpan w:val="11"/>
          </w:tcPr>
          <w:p>
            <w:pPr>
              <w:jc w:val="center"/>
              <w:ind w:right="200"/>
              <w:spacing w:after="0" w:line="182"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Award</w:t>
              </w:r>
            </w:hyperlink>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Arial" w:cs="Arial" w:eastAsia="Arial" w:hAnsi="Arial"/>
                <w:sz w:val="18"/>
                <w:szCs w:val="18"/>
                <w:color w:val="auto"/>
              </w:rPr>
              <w:t>2020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8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49">
              <w:r>
                <w:rPr>
                  <w:rFonts w:ascii="Arial" w:cs="Arial" w:eastAsia="Arial" w:hAnsi="Arial"/>
                  <w:sz w:val="18"/>
                  <w:szCs w:val="18"/>
                  <w:color w:val="0000EE"/>
                </w:rPr>
                <w:t>Plan.</w:t>
              </w:r>
            </w:hyperlink>
          </w:p>
        </w:tc>
        <w:tc>
          <w:tcPr>
            <w:tcW w:w="20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20" w:type="dxa"/>
            <w:vAlign w:val="bottom"/>
            <w:gridSpan w:val="10"/>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4080" w:type="dxa"/>
            <w:vAlign w:val="bottom"/>
            <w:gridSpan w:val="22"/>
          </w:tcPr>
          <w:p>
            <w:pPr>
              <w:spacing w:after="0"/>
              <w:rPr>
                <w:rFonts w:ascii="Arial" w:cs="Arial" w:eastAsia="Arial" w:hAnsi="Arial"/>
                <w:sz w:val="18"/>
                <w:szCs w:val="18"/>
                <w:color w:val="0000EE"/>
              </w:rPr>
            </w:pPr>
            <w:hyperlink r:id="rId150">
              <w:r>
                <w:rPr>
                  <w:rFonts w:ascii="Arial" w:cs="Arial" w:eastAsia="Arial" w:hAnsi="Arial"/>
                  <w:sz w:val="18"/>
                  <w:szCs w:val="18"/>
                  <w:color w:val="0000EE"/>
                </w:rPr>
                <w:t>Form of Restricted Stock Unit Agreement under</w:t>
              </w:r>
            </w:hyperlink>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S-1/A</w:t>
            </w: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August 11,</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8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150">
              <w:r>
                <w:rPr>
                  <w:rFonts w:ascii="Arial" w:cs="Arial" w:eastAsia="Arial" w:hAnsi="Arial"/>
                  <w:sz w:val="18"/>
                  <w:szCs w:val="18"/>
                  <w:color w:val="0000EE"/>
                </w:rPr>
                <w:t>Harmony Biosciences Holdings, Inc. 2020</w:t>
              </w:r>
            </w:hyperlink>
          </w:p>
        </w:tc>
        <w:tc>
          <w:tcPr>
            <w:tcW w:w="300" w:type="dxa"/>
            <w:vAlign w:val="bottom"/>
            <w:gridSpan w:val="6"/>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Arial" w:cs="Arial" w:eastAsia="Arial" w:hAnsi="Arial"/>
                <w:sz w:val="18"/>
                <w:szCs w:val="18"/>
                <w:color w:val="auto"/>
              </w:rPr>
              <w:t>2020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r:id="rId150">
              <w:r>
                <w:rPr>
                  <w:rFonts w:ascii="Arial" w:cs="Arial" w:eastAsia="Arial" w:hAnsi="Arial"/>
                  <w:sz w:val="18"/>
                  <w:szCs w:val="18"/>
                  <w:color w:val="0000EE"/>
                  <w:w w:val="98"/>
                </w:rPr>
                <w:t>Incentive Award Plan.</w:t>
              </w:r>
            </w:hyperlink>
          </w:p>
        </w:tc>
        <w:tc>
          <w:tcPr>
            <w:tcW w:w="1580" w:type="dxa"/>
            <w:vAlign w:val="bottom"/>
            <w:tcBorders>
              <w:top w:val="single" w:sz="8" w:color="0000EE"/>
            </w:tcBorders>
            <w:gridSpan w:val="6"/>
          </w:tcPr>
          <w:p>
            <w:pPr>
              <w:spacing w:after="0"/>
              <w:rPr>
                <w:sz w:val="15"/>
                <w:szCs w:val="15"/>
                <w:color w:val="auto"/>
              </w:rPr>
            </w:pPr>
          </w:p>
        </w:tc>
        <w:tc>
          <w:tcPr>
            <w:tcW w:w="760" w:type="dxa"/>
            <w:vAlign w:val="bottom"/>
            <w:gridSpan w:val="12"/>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40" w:type="dxa"/>
            <w:vAlign w:val="bottom"/>
            <w:gridSpan w:val="2"/>
          </w:tcPr>
          <w:p>
            <w:pP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4080" w:type="dxa"/>
            <w:vAlign w:val="bottom"/>
            <w:gridSpan w:val="22"/>
          </w:tcPr>
          <w:p>
            <w:pPr>
              <w:spacing w:after="0"/>
              <w:rPr>
                <w:rFonts w:ascii="Arial" w:cs="Arial" w:eastAsia="Arial" w:hAnsi="Arial"/>
                <w:sz w:val="18"/>
                <w:szCs w:val="18"/>
                <w:color w:val="0000EE"/>
              </w:rPr>
            </w:pPr>
            <w:hyperlink r:id="rId151">
              <w:r>
                <w:rPr>
                  <w:rFonts w:ascii="Arial" w:cs="Arial" w:eastAsia="Arial" w:hAnsi="Arial"/>
                  <w:sz w:val="18"/>
                  <w:szCs w:val="18"/>
                  <w:color w:val="0000EE"/>
                </w:rPr>
                <w:t>Harmony Biosciences Holdings, Inc. 2020</w:t>
              </w:r>
            </w:hyperlink>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S-1/A</w:t>
            </w: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August 11,</w:t>
            </w:r>
          </w:p>
        </w:tc>
        <w:tc>
          <w:tcPr>
            <w:tcW w:w="760" w:type="dxa"/>
            <w:vAlign w:val="bottom"/>
          </w:tcPr>
          <w:p>
            <w:pPr>
              <w:jc w:val="center"/>
              <w:ind w:right="152"/>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2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151">
              <w:r>
                <w:rPr>
                  <w:rFonts w:ascii="Arial" w:cs="Arial" w:eastAsia="Arial" w:hAnsi="Arial"/>
                  <w:sz w:val="18"/>
                  <w:szCs w:val="18"/>
                  <w:color w:val="0000EE"/>
                </w:rPr>
                <w:t>Employee Stock Purchase Plan.</w:t>
              </w:r>
            </w:hyperlink>
          </w:p>
        </w:tc>
        <w:tc>
          <w:tcPr>
            <w:tcW w:w="760" w:type="dxa"/>
            <w:vAlign w:val="bottom"/>
            <w:gridSpan w:val="12"/>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Arial" w:cs="Arial" w:eastAsia="Arial" w:hAnsi="Arial"/>
                <w:sz w:val="18"/>
                <w:szCs w:val="18"/>
                <w:color w:val="auto"/>
              </w:rPr>
              <w:t>2020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tcBorders>
              <w:top w:val="single" w:sz="8" w:color="0000EE"/>
            </w:tcBorders>
            <w:gridSpan w:val="6"/>
          </w:tcPr>
          <w:p>
            <w:pPr>
              <w:spacing w:after="0"/>
              <w:rPr>
                <w:sz w:val="24"/>
                <w:szCs w:val="24"/>
                <w:color w:val="auto"/>
              </w:rPr>
            </w:pPr>
          </w:p>
        </w:tc>
        <w:tc>
          <w:tcPr>
            <w:tcW w:w="1240" w:type="dxa"/>
            <w:vAlign w:val="bottom"/>
            <w:gridSpan w:val="11"/>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4"/>
        </w:trPr>
        <w:tc>
          <w:tcPr>
            <w:tcW w:w="1280" w:type="dxa"/>
            <w:vAlign w:val="bottom"/>
          </w:tcPr>
          <w:p>
            <w:pPr>
              <w:spacing w:after="0"/>
              <w:rPr>
                <w:sz w:val="20"/>
                <w:szCs w:val="20"/>
                <w:color w:val="auto"/>
              </w:rPr>
            </w:pPr>
            <w:r>
              <w:rPr>
                <w:rFonts w:ascii="Arial" w:cs="Arial" w:eastAsia="Arial" w:hAnsi="Arial"/>
                <w:sz w:val="18"/>
                <w:szCs w:val="18"/>
                <w:color w:val="auto"/>
              </w:rPr>
              <w:t>10.5.1*</w:t>
            </w:r>
          </w:p>
        </w:tc>
        <w:tc>
          <w:tcPr>
            <w:tcW w:w="40" w:type="dxa"/>
            <w:vAlign w:val="bottom"/>
          </w:tcPr>
          <w:p>
            <w:pPr>
              <w:spacing w:after="0"/>
              <w:rPr>
                <w:sz w:val="24"/>
                <w:szCs w:val="24"/>
                <w:color w:val="auto"/>
              </w:rPr>
            </w:pPr>
          </w:p>
        </w:tc>
        <w:tc>
          <w:tcPr>
            <w:tcW w:w="2940" w:type="dxa"/>
            <w:vAlign w:val="bottom"/>
            <w:tcBorders>
              <w:bottom w:val="single" w:sz="8" w:color="0000EE"/>
            </w:tcBorders>
            <w:gridSpan w:val="10"/>
          </w:tcPr>
          <w:p>
            <w:pPr>
              <w:spacing w:after="0"/>
              <w:rPr>
                <w:rFonts w:ascii="Arial" w:cs="Arial" w:eastAsia="Arial" w:hAnsi="Arial"/>
                <w:sz w:val="18"/>
                <w:szCs w:val="18"/>
                <w:color w:val="0000EE"/>
                <w:w w:val="99"/>
              </w:rPr>
            </w:pPr>
            <w:hyperlink r:id="rId152">
              <w:r>
                <w:rPr>
                  <w:rFonts w:ascii="Arial" w:cs="Arial" w:eastAsia="Arial" w:hAnsi="Arial"/>
                  <w:sz w:val="18"/>
                  <w:szCs w:val="18"/>
                  <w:color w:val="0000EE"/>
                  <w:w w:val="99"/>
                </w:rPr>
                <w:t>Amended and Restated Employment</w:t>
              </w:r>
            </w:hyperlink>
          </w:p>
        </w:tc>
        <w:tc>
          <w:tcPr>
            <w:tcW w:w="980" w:type="dxa"/>
            <w:vAlign w:val="bottom"/>
            <w:gridSpan w:val="27"/>
          </w:tcPr>
          <w:p>
            <w:pPr>
              <w:spacing w:after="0"/>
              <w:rPr>
                <w:sz w:val="24"/>
                <w:szCs w:val="24"/>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2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r:id="rId152">
              <w:r>
                <w:rPr>
                  <w:rFonts w:ascii="Arial" w:cs="Arial" w:eastAsia="Arial" w:hAnsi="Arial"/>
                  <w:sz w:val="18"/>
                  <w:szCs w:val="18"/>
                  <w:color w:val="0000EE"/>
                  <w:w w:val="99"/>
                </w:rPr>
                <w:t>Agreement, dated August 11, 2020, by and</w:t>
              </w:r>
            </w:hyperlink>
          </w:p>
        </w:tc>
        <w:tc>
          <w:tcPr>
            <w:tcW w:w="500" w:type="dxa"/>
            <w:vAlign w:val="bottom"/>
            <w:gridSpan w:val="18"/>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gridSpan w:val="37"/>
          </w:tcPr>
          <w:p>
            <w:pPr>
              <w:spacing w:after="0" w:line="182" w:lineRule="exact"/>
              <w:rPr>
                <w:rFonts w:ascii="Arial" w:cs="Arial" w:eastAsia="Arial" w:hAnsi="Arial"/>
                <w:sz w:val="18"/>
                <w:szCs w:val="18"/>
                <w:color w:val="0000EE"/>
              </w:rPr>
            </w:pPr>
            <w:hyperlink r:id="rId152">
              <w:r>
                <w:rPr>
                  <w:rFonts w:ascii="Arial" w:cs="Arial" w:eastAsia="Arial" w:hAnsi="Arial"/>
                  <w:sz w:val="18"/>
                  <w:szCs w:val="18"/>
                  <w:color w:val="0000EE"/>
                </w:rPr>
                <w:t>between Harmony Biosciences, LLC and John</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0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152">
              <w:r>
                <w:rPr>
                  <w:rFonts w:ascii="Arial" w:cs="Arial" w:eastAsia="Arial" w:hAnsi="Arial"/>
                  <w:sz w:val="18"/>
                  <w:szCs w:val="18"/>
                  <w:color w:val="0000EE"/>
                </w:rPr>
                <w:t>C. Jacobs.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10.5.2*</w:t>
            </w:r>
          </w:p>
        </w:tc>
        <w:tc>
          <w:tcPr>
            <w:tcW w:w="40" w:type="dxa"/>
            <w:vAlign w:val="bottom"/>
          </w:tcPr>
          <w:p>
            <w:pPr>
              <w:spacing w:after="0"/>
              <w:rPr>
                <w:sz w:val="24"/>
                <w:szCs w:val="24"/>
                <w:color w:val="auto"/>
              </w:rPr>
            </w:pPr>
          </w:p>
        </w:tc>
        <w:tc>
          <w:tcPr>
            <w:tcW w:w="3920" w:type="dxa"/>
            <w:vAlign w:val="bottom"/>
            <w:gridSpan w:val="37"/>
          </w:tcPr>
          <w:p>
            <w:pPr>
              <w:spacing w:after="0"/>
              <w:rPr>
                <w:rFonts w:ascii="Arial" w:cs="Arial" w:eastAsia="Arial" w:hAnsi="Arial"/>
                <w:sz w:val="18"/>
                <w:szCs w:val="18"/>
                <w:color w:val="0000EE"/>
              </w:rPr>
            </w:pPr>
            <w:hyperlink r:id="rId153">
              <w:r>
                <w:rPr>
                  <w:rFonts w:ascii="Arial" w:cs="Arial" w:eastAsia="Arial" w:hAnsi="Arial"/>
                  <w:sz w:val="18"/>
                  <w:szCs w:val="18"/>
                  <w:color w:val="0000EE"/>
                </w:rPr>
                <w:t>Acknowledgment and Release Agreement,</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53">
              <w:r>
                <w:rPr>
                  <w:rFonts w:ascii="Arial" w:cs="Arial" w:eastAsia="Arial" w:hAnsi="Arial"/>
                  <w:sz w:val="18"/>
                  <w:szCs w:val="18"/>
                  <w:color w:val="0000EE"/>
                </w:rPr>
                <w:t>dated January 20, 2023, by and between</w:t>
              </w:r>
            </w:hyperlink>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6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153">
              <w:r>
                <w:rPr>
                  <w:rFonts w:ascii="Arial" w:cs="Arial" w:eastAsia="Arial" w:hAnsi="Arial"/>
                  <w:sz w:val="18"/>
                  <w:szCs w:val="18"/>
                  <w:color w:val="0000EE"/>
                </w:rPr>
                <w:t>Harmony Biosciences Holdings, Inc. and</w:t>
              </w:r>
            </w:hyperlink>
          </w:p>
        </w:tc>
        <w:tc>
          <w:tcPr>
            <w:tcW w:w="660" w:type="dxa"/>
            <w:vAlign w:val="bottom"/>
            <w:gridSpan w:val="25"/>
          </w:tcPr>
          <w:p>
            <w:pPr>
              <w:ind w:left="20"/>
              <w:spacing w:after="0" w:line="182" w:lineRule="exact"/>
              <w:rPr>
                <w:rFonts w:ascii="Arial" w:cs="Arial" w:eastAsia="Arial" w:hAnsi="Arial"/>
                <w:sz w:val="18"/>
                <w:szCs w:val="18"/>
                <w:color w:val="0000EE"/>
                <w:w w:val="99"/>
              </w:rPr>
            </w:pPr>
            <w:hyperlink r:id="rId153">
              <w:r>
                <w:rPr>
                  <w:rFonts w:ascii="Arial" w:cs="Arial" w:eastAsia="Arial" w:hAnsi="Arial"/>
                  <w:sz w:val="18"/>
                  <w:szCs w:val="18"/>
                  <w:color w:val="0000EE"/>
                  <w:w w:val="99"/>
                </w:rPr>
                <w:t>John C.</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6"/>
              </w:rPr>
            </w:pPr>
            <w:hyperlink r:id="rId153">
              <w:r>
                <w:rPr>
                  <w:rFonts w:ascii="Arial" w:cs="Arial" w:eastAsia="Arial" w:hAnsi="Arial"/>
                  <w:sz w:val="18"/>
                  <w:szCs w:val="18"/>
                  <w:color w:val="0000EE"/>
                  <w:w w:val="96"/>
                </w:rPr>
                <w:t>Jacobs.</w:t>
              </w:r>
            </w:hyperlink>
          </w:p>
        </w:tc>
        <w:tc>
          <w:tcPr>
            <w:tcW w:w="3280" w:type="dxa"/>
            <w:vAlign w:val="bottom"/>
            <w:tcBorders>
              <w:top w:val="single" w:sz="8" w:color="0000EE"/>
            </w:tcBorders>
            <w:gridSpan w:val="34"/>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4"/>
                <w:szCs w:val="24"/>
                <w:color w:val="auto"/>
              </w:rPr>
            </w:pPr>
          </w:p>
        </w:tc>
        <w:tc>
          <w:tcPr>
            <w:tcW w:w="3920" w:type="dxa"/>
            <w:vAlign w:val="bottom"/>
            <w:gridSpan w:val="37"/>
          </w:tcPr>
          <w:p>
            <w:pPr>
              <w:spacing w:after="0"/>
              <w:rPr>
                <w:rFonts w:ascii="Arial" w:cs="Arial" w:eastAsia="Arial" w:hAnsi="Arial"/>
                <w:sz w:val="18"/>
                <w:szCs w:val="18"/>
                <w:color w:val="0000EE"/>
              </w:rPr>
            </w:pPr>
            <w:hyperlink r:id="rId154">
              <w:r>
                <w:rPr>
                  <w:rFonts w:ascii="Arial" w:cs="Arial" w:eastAsia="Arial" w:hAnsi="Arial"/>
                  <w:sz w:val="18"/>
                  <w:szCs w:val="18"/>
                  <w:color w:val="0000EE"/>
                </w:rPr>
                <w:t>Form of Indemnification Agreement between</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40" w:type="dxa"/>
            <w:vAlign w:val="bottom"/>
            <w:tcBorders>
              <w:top w:val="single" w:sz="8" w:color="0000EE"/>
              <w:bottom w:val="single" w:sz="8" w:color="0000EE"/>
            </w:tcBorders>
            <w:gridSpan w:val="21"/>
          </w:tcPr>
          <w:p>
            <w:pPr>
              <w:spacing w:after="0" w:line="182" w:lineRule="exact"/>
              <w:rPr>
                <w:rFonts w:ascii="Arial" w:cs="Arial" w:eastAsia="Arial" w:hAnsi="Arial"/>
                <w:sz w:val="18"/>
                <w:szCs w:val="18"/>
                <w:color w:val="0000EE"/>
                <w:w w:val="97"/>
              </w:rPr>
            </w:pPr>
            <w:hyperlink r:id="rId154">
              <w:r>
                <w:rPr>
                  <w:rFonts w:ascii="Arial" w:cs="Arial" w:eastAsia="Arial" w:hAnsi="Arial"/>
                  <w:sz w:val="18"/>
                  <w:szCs w:val="18"/>
                  <w:color w:val="0000EE"/>
                  <w:w w:val="97"/>
                </w:rPr>
                <w:t>Harmony Biosciences, LLC and each director</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0" w:type="dxa"/>
            <w:vAlign w:val="bottom"/>
            <w:gridSpan w:val="23"/>
          </w:tcPr>
          <w:p>
            <w:pPr>
              <w:spacing w:after="0" w:line="182" w:lineRule="exact"/>
              <w:rPr>
                <w:rFonts w:ascii="Arial" w:cs="Arial" w:eastAsia="Arial" w:hAnsi="Arial"/>
                <w:sz w:val="18"/>
                <w:szCs w:val="18"/>
                <w:color w:val="0000EE"/>
              </w:rPr>
            </w:pPr>
            <w:hyperlink r:id="rId154">
              <w:r>
                <w:rPr>
                  <w:rFonts w:ascii="Arial" w:cs="Arial" w:eastAsia="Arial" w:hAnsi="Arial"/>
                  <w:sz w:val="18"/>
                  <w:szCs w:val="18"/>
                  <w:color w:val="0000EE"/>
                </w:rPr>
                <w:t>and executive officer.</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24"/>
                <w:szCs w:val="24"/>
                <w:color w:val="auto"/>
              </w:rPr>
            </w:pPr>
          </w:p>
        </w:tc>
        <w:tc>
          <w:tcPr>
            <w:tcW w:w="3560" w:type="dxa"/>
            <w:vAlign w:val="bottom"/>
            <w:tcBorders>
              <w:bottom w:val="single" w:sz="8" w:color="0000EE"/>
            </w:tcBorders>
            <w:gridSpan w:val="22"/>
          </w:tcPr>
          <w:p>
            <w:pPr>
              <w:spacing w:after="0"/>
              <w:rPr>
                <w:rFonts w:ascii="Arial" w:cs="Arial" w:eastAsia="Arial" w:hAnsi="Arial"/>
                <w:sz w:val="18"/>
                <w:szCs w:val="18"/>
                <w:color w:val="0000EE"/>
                <w:w w:val="99"/>
              </w:rPr>
            </w:pPr>
            <w:hyperlink r:id="rId155">
              <w:r>
                <w:rPr>
                  <w:rFonts w:ascii="Arial" w:cs="Arial" w:eastAsia="Arial" w:hAnsi="Arial"/>
                  <w:sz w:val="18"/>
                  <w:szCs w:val="18"/>
                  <w:color w:val="0000EE"/>
                  <w:w w:val="99"/>
                </w:rPr>
                <w:t>Harmony Biosciences, LLC Separation Plan.</w:t>
              </w:r>
            </w:hyperlink>
          </w:p>
        </w:tc>
        <w:tc>
          <w:tcPr>
            <w:tcW w:w="360" w:type="dxa"/>
            <w:vAlign w:val="bottom"/>
            <w:gridSpan w:val="15"/>
          </w:tcPr>
          <w:p>
            <w:pPr>
              <w:spacing w:after="0"/>
              <w:rPr>
                <w:sz w:val="24"/>
                <w:szCs w:val="24"/>
                <w:color w:val="auto"/>
              </w:rPr>
            </w:pPr>
          </w:p>
        </w:tc>
      </w:tr>
      <w:tr>
        <w:trPr>
          <w:trHeight w:val="560"/>
        </w:trPr>
        <w:tc>
          <w:tcPr>
            <w:tcW w:w="1280" w:type="dxa"/>
            <w:vAlign w:val="bottom"/>
          </w:tcPr>
          <w:p>
            <w:pPr>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24"/>
                <w:szCs w:val="24"/>
                <w:color w:val="auto"/>
              </w:rPr>
            </w:pPr>
          </w:p>
        </w:tc>
        <w:tc>
          <w:tcPr>
            <w:tcW w:w="3920" w:type="dxa"/>
            <w:vAlign w:val="bottom"/>
            <w:gridSpan w:val="37"/>
          </w:tcPr>
          <w:p>
            <w:pPr>
              <w:spacing w:after="0"/>
              <w:rPr>
                <w:rFonts w:ascii="Arial" w:cs="Arial" w:eastAsia="Arial" w:hAnsi="Arial"/>
                <w:sz w:val="18"/>
                <w:szCs w:val="18"/>
                <w:color w:val="0000EE"/>
              </w:rPr>
            </w:pPr>
            <w:hyperlink r:id="rId156">
              <w:r>
                <w:rPr>
                  <w:rFonts w:ascii="Arial" w:cs="Arial" w:eastAsia="Arial" w:hAnsi="Arial"/>
                  <w:sz w:val="18"/>
                  <w:szCs w:val="18"/>
                  <w:color w:val="0000EE"/>
                </w:rPr>
                <w:t>Harmony Biosciences Holdings, Inc. Amended</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0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9"/>
              </w:rPr>
            </w:pPr>
            <w:hyperlink r:id="rId156">
              <w:r>
                <w:rPr>
                  <w:rFonts w:ascii="Arial" w:cs="Arial" w:eastAsia="Arial" w:hAnsi="Arial"/>
                  <w:sz w:val="18"/>
                  <w:szCs w:val="18"/>
                  <w:color w:val="0000EE"/>
                  <w:w w:val="99"/>
                </w:rPr>
                <w:t>and Restated 2017 Equity Incentive Plan.</w:t>
              </w:r>
            </w:hyperlink>
          </w:p>
        </w:tc>
        <w:tc>
          <w:tcPr>
            <w:tcW w:w="420" w:type="dxa"/>
            <w:vAlign w:val="bottom"/>
            <w:tcBorders>
              <w:top w:val="single" w:sz="8" w:color="0000EE"/>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24"/>
                <w:szCs w:val="24"/>
                <w:color w:val="auto"/>
              </w:rPr>
            </w:pPr>
          </w:p>
        </w:tc>
        <w:tc>
          <w:tcPr>
            <w:tcW w:w="3920" w:type="dxa"/>
            <w:vAlign w:val="bottom"/>
            <w:gridSpan w:val="37"/>
          </w:tcPr>
          <w:p>
            <w:pPr>
              <w:spacing w:after="0"/>
              <w:rPr>
                <w:rFonts w:ascii="Arial" w:cs="Arial" w:eastAsia="Arial" w:hAnsi="Arial"/>
                <w:sz w:val="18"/>
                <w:szCs w:val="18"/>
                <w:color w:val="0000EE"/>
              </w:rPr>
            </w:pPr>
            <w:hyperlink r:id="rId157">
              <w:r>
                <w:rPr>
                  <w:rFonts w:ascii="Arial" w:cs="Arial" w:eastAsia="Arial" w:hAnsi="Arial"/>
                  <w:sz w:val="18"/>
                  <w:szCs w:val="18"/>
                  <w:color w:val="0000EE"/>
                </w:rPr>
                <w:t>Harmony Biosciences Holdings, Inc. Non-</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2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4"/>
              </w:rPr>
            </w:pPr>
            <w:hyperlink r:id="rId157">
              <w:r>
                <w:rPr>
                  <w:rFonts w:ascii="Arial" w:cs="Arial" w:eastAsia="Arial" w:hAnsi="Arial"/>
                  <w:sz w:val="18"/>
                  <w:szCs w:val="18"/>
                  <w:color w:val="0000EE"/>
                  <w:w w:val="94"/>
                </w:rPr>
                <w:t>Employee Director Compensation Program.</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40" w:type="dxa"/>
            <w:vAlign w:val="bottom"/>
            <w:tcBorders>
              <w:bottom w:val="single" w:sz="8" w:color="0000EE"/>
            </w:tcBorders>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10.10.1*</w:t>
            </w:r>
          </w:p>
        </w:tc>
        <w:tc>
          <w:tcPr>
            <w:tcW w:w="40" w:type="dxa"/>
            <w:vAlign w:val="bottom"/>
          </w:tcPr>
          <w:p>
            <w:pPr>
              <w:spacing w:after="0"/>
              <w:rPr>
                <w:sz w:val="24"/>
                <w:szCs w:val="24"/>
                <w:color w:val="auto"/>
              </w:rPr>
            </w:pPr>
          </w:p>
        </w:tc>
        <w:tc>
          <w:tcPr>
            <w:tcW w:w="3920" w:type="dxa"/>
            <w:vAlign w:val="bottom"/>
            <w:gridSpan w:val="37"/>
          </w:tcPr>
          <w:p>
            <w:pPr>
              <w:spacing w:after="0"/>
              <w:rPr>
                <w:rFonts w:ascii="Arial" w:cs="Arial" w:eastAsia="Arial" w:hAnsi="Arial"/>
                <w:sz w:val="18"/>
                <w:szCs w:val="18"/>
                <w:color w:val="0000EE"/>
              </w:rPr>
            </w:pPr>
            <w:hyperlink r:id="rId158">
              <w:r>
                <w:rPr>
                  <w:rFonts w:ascii="Arial" w:cs="Arial" w:eastAsia="Arial" w:hAnsi="Arial"/>
                  <w:sz w:val="18"/>
                  <w:szCs w:val="18"/>
                  <w:color w:val="0000EE"/>
                </w:rPr>
                <w:t>Offer Letter, dated October 10, 2017, by and</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gridSpan w:val="37"/>
          </w:tcPr>
          <w:p>
            <w:pPr>
              <w:spacing w:after="0" w:line="182" w:lineRule="exact"/>
              <w:rPr>
                <w:rFonts w:ascii="Arial" w:cs="Arial" w:eastAsia="Arial" w:hAnsi="Arial"/>
                <w:sz w:val="18"/>
                <w:szCs w:val="18"/>
                <w:color w:val="0000EE"/>
              </w:rPr>
            </w:pPr>
            <w:hyperlink r:id="rId158">
              <w:r>
                <w:rPr>
                  <w:rFonts w:ascii="Arial" w:cs="Arial" w:eastAsia="Arial" w:hAnsi="Arial"/>
                  <w:sz w:val="18"/>
                  <w:szCs w:val="18"/>
                  <w:color w:val="0000EE"/>
                </w:rPr>
                <w:t>between Harmony Biosciences, LLC and Jeffrey</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40" w:type="dxa"/>
            <w:vAlign w:val="bottom"/>
            <w:tcBorders>
              <w:top w:val="single" w:sz="8" w:color="0000EE"/>
            </w:tcBorders>
            <w:gridSpan w:val="34"/>
          </w:tcPr>
          <w:p>
            <w:pPr>
              <w:spacing w:after="0" w:line="182" w:lineRule="exact"/>
              <w:rPr>
                <w:rFonts w:ascii="Arial" w:cs="Arial" w:eastAsia="Arial" w:hAnsi="Arial"/>
                <w:sz w:val="18"/>
                <w:szCs w:val="18"/>
                <w:color w:val="0000EE"/>
              </w:rPr>
            </w:pPr>
            <w:hyperlink r:id="rId158">
              <w:r>
                <w:rPr>
                  <w:rFonts w:ascii="Arial" w:cs="Arial" w:eastAsia="Arial" w:hAnsi="Arial"/>
                  <w:sz w:val="18"/>
                  <w:szCs w:val="18"/>
                  <w:color w:val="0000EE"/>
                </w:rPr>
                <w:t>Dayno.</w:t>
              </w:r>
            </w:hyperlink>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10.10.2*</w:t>
            </w:r>
          </w:p>
        </w:tc>
        <w:tc>
          <w:tcPr>
            <w:tcW w:w="40" w:type="dxa"/>
            <w:vAlign w:val="bottom"/>
          </w:tcPr>
          <w:p>
            <w:pPr>
              <w:spacing w:after="0"/>
              <w:rPr>
                <w:sz w:val="24"/>
                <w:szCs w:val="24"/>
                <w:color w:val="auto"/>
              </w:rPr>
            </w:pPr>
          </w:p>
        </w:tc>
        <w:tc>
          <w:tcPr>
            <w:tcW w:w="3920" w:type="dxa"/>
            <w:vAlign w:val="bottom"/>
            <w:gridSpan w:val="37"/>
          </w:tcPr>
          <w:p>
            <w:pPr>
              <w:spacing w:after="0"/>
              <w:rPr>
                <w:rFonts w:ascii="Arial" w:cs="Arial" w:eastAsia="Arial" w:hAnsi="Arial"/>
                <w:sz w:val="18"/>
                <w:szCs w:val="18"/>
                <w:color w:val="0000EE"/>
              </w:rPr>
            </w:pPr>
            <w:hyperlink r:id="rId159">
              <w:r>
                <w:rPr>
                  <w:rFonts w:ascii="Arial" w:cs="Arial" w:eastAsia="Arial" w:hAnsi="Arial"/>
                  <w:sz w:val="18"/>
                  <w:szCs w:val="18"/>
                  <w:color w:val="0000EE"/>
                </w:rPr>
                <w:t>Promotion Letter Agreement, dated January 23,</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0" w:type="dxa"/>
            <w:vAlign w:val="bottom"/>
            <w:tcBorders>
              <w:top w:val="single" w:sz="8" w:color="0000EE"/>
            </w:tcBorders>
            <w:gridSpan w:val="33"/>
          </w:tcPr>
          <w:p>
            <w:pPr>
              <w:spacing w:after="0" w:line="182" w:lineRule="exact"/>
              <w:rPr>
                <w:rFonts w:ascii="Arial" w:cs="Arial" w:eastAsia="Arial" w:hAnsi="Arial"/>
                <w:sz w:val="18"/>
                <w:szCs w:val="18"/>
                <w:color w:val="0000EE"/>
              </w:rPr>
            </w:pPr>
            <w:hyperlink r:id="rId159">
              <w:r>
                <w:rPr>
                  <w:rFonts w:ascii="Arial" w:cs="Arial" w:eastAsia="Arial" w:hAnsi="Arial"/>
                  <w:sz w:val="18"/>
                  <w:szCs w:val="18"/>
                  <w:color w:val="0000EE"/>
                </w:rPr>
                <w:t>2023, by and between Harmony Biosciences</w:t>
              </w:r>
            </w:hyperlink>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4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w w:val="99"/>
              </w:rPr>
            </w:pPr>
            <w:hyperlink r:id="rId159">
              <w:r>
                <w:rPr>
                  <w:rFonts w:ascii="Arial" w:cs="Arial" w:eastAsia="Arial" w:hAnsi="Arial"/>
                  <w:sz w:val="18"/>
                  <w:szCs w:val="18"/>
                  <w:color w:val="0000EE"/>
                  <w:w w:val="99"/>
                </w:rPr>
                <w:t>Holdings, Inc. and Jeffrey M. Dayno, M.D.</w:t>
              </w:r>
            </w:hyperlink>
          </w:p>
        </w:tc>
        <w:tc>
          <w:tcPr>
            <w:tcW w:w="220" w:type="dxa"/>
            <w:vAlign w:val="bottom"/>
            <w:tcBorders>
              <w:top w:val="single" w:sz="8" w:color="0000EE"/>
            </w:tcBorders>
            <w:gridSpan w:val="7"/>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10.10.3*</w:t>
            </w:r>
          </w:p>
        </w:tc>
        <w:tc>
          <w:tcPr>
            <w:tcW w:w="40" w:type="dxa"/>
            <w:vAlign w:val="bottom"/>
          </w:tcPr>
          <w:p>
            <w:pPr>
              <w:spacing w:after="0"/>
              <w:rPr>
                <w:sz w:val="24"/>
                <w:szCs w:val="24"/>
                <w:color w:val="auto"/>
              </w:rPr>
            </w:pPr>
          </w:p>
        </w:tc>
        <w:tc>
          <w:tcPr>
            <w:tcW w:w="3920" w:type="dxa"/>
            <w:vAlign w:val="bottom"/>
            <w:gridSpan w:val="37"/>
          </w:tcPr>
          <w:p>
            <w:pPr>
              <w:spacing w:after="0"/>
              <w:rPr>
                <w:rFonts w:ascii="Arial" w:cs="Arial" w:eastAsia="Arial" w:hAnsi="Arial"/>
                <w:sz w:val="18"/>
                <w:szCs w:val="18"/>
                <w:color w:val="0000EE"/>
              </w:rPr>
            </w:pPr>
            <w:hyperlink r:id="rId160">
              <w:r>
                <w:rPr>
                  <w:rFonts w:ascii="Arial" w:cs="Arial" w:eastAsia="Arial" w:hAnsi="Arial"/>
                  <w:sz w:val="18"/>
                  <w:szCs w:val="18"/>
                  <w:color w:val="0000EE"/>
                </w:rPr>
                <w:t>Executive Employment Agreement, dated April</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8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r:id="rId160">
              <w:r>
                <w:rPr>
                  <w:rFonts w:ascii="Arial" w:cs="Arial" w:eastAsia="Arial" w:hAnsi="Arial"/>
                  <w:sz w:val="18"/>
                  <w:szCs w:val="18"/>
                  <w:color w:val="0000EE"/>
                </w:rPr>
                <w:t>24, 2023, between Harmony Biosciences, LLC</w:t>
              </w:r>
            </w:hyperlink>
          </w:p>
        </w:tc>
        <w:tc>
          <w:tcPr>
            <w:tcW w:w="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4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160">
              <w:r>
                <w:rPr>
                  <w:rFonts w:ascii="Arial" w:cs="Arial" w:eastAsia="Arial" w:hAnsi="Arial"/>
                  <w:sz w:val="18"/>
                  <w:szCs w:val="18"/>
                  <w:color w:val="0000EE"/>
                </w:rPr>
                <w:t>and Jeffrey M. Dayno, M.D.</w:t>
              </w:r>
            </w:hyperlink>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10.11*</w:t>
            </w:r>
          </w:p>
        </w:tc>
        <w:tc>
          <w:tcPr>
            <w:tcW w:w="40" w:type="dxa"/>
            <w:vAlign w:val="bottom"/>
          </w:tcPr>
          <w:p>
            <w:pPr>
              <w:spacing w:after="0"/>
              <w:rPr>
                <w:sz w:val="24"/>
                <w:szCs w:val="24"/>
                <w:color w:val="auto"/>
              </w:rPr>
            </w:pPr>
          </w:p>
        </w:tc>
        <w:tc>
          <w:tcPr>
            <w:tcW w:w="3920" w:type="dxa"/>
            <w:vAlign w:val="bottom"/>
            <w:gridSpan w:val="37"/>
          </w:tcPr>
          <w:p>
            <w:pPr>
              <w:spacing w:after="0"/>
              <w:rPr>
                <w:rFonts w:ascii="Arial" w:cs="Arial" w:eastAsia="Arial" w:hAnsi="Arial"/>
                <w:sz w:val="18"/>
                <w:szCs w:val="18"/>
                <w:color w:val="0000EE"/>
              </w:rPr>
            </w:pPr>
            <w:hyperlink r:id="rId161">
              <w:r>
                <w:rPr>
                  <w:rFonts w:ascii="Arial" w:cs="Arial" w:eastAsia="Arial" w:hAnsi="Arial"/>
                  <w:sz w:val="18"/>
                  <w:szCs w:val="18"/>
                  <w:color w:val="0000EE"/>
                </w:rPr>
                <w:t>Offer Letter, dated September 8, 2017, by and</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6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161">
              <w:r>
                <w:rPr>
                  <w:rFonts w:ascii="Arial" w:cs="Arial" w:eastAsia="Arial" w:hAnsi="Arial"/>
                  <w:sz w:val="18"/>
                  <w:szCs w:val="18"/>
                  <w:color w:val="0000EE"/>
                </w:rPr>
                <w:t>between Harmony Biosciences, LLC and</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r:id="rId161">
              <w:r>
                <w:rPr>
                  <w:rFonts w:ascii="Arial" w:cs="Arial" w:eastAsia="Arial" w:hAnsi="Arial"/>
                  <w:sz w:val="18"/>
                  <w:szCs w:val="18"/>
                  <w:color w:val="0000EE"/>
                  <w:w w:val="98"/>
                </w:rPr>
                <w:t>Andrew Serafin.</w:t>
              </w:r>
            </w:hyperlink>
          </w:p>
        </w:tc>
        <w:tc>
          <w:tcPr>
            <w:tcW w:w="1960" w:type="dxa"/>
            <w:vAlign w:val="bottom"/>
            <w:tcBorders>
              <w:top w:val="single" w:sz="8" w:color="0000EE"/>
            </w:tcBorders>
            <w:gridSpan w:val="7"/>
          </w:tcPr>
          <w:p>
            <w:pPr>
              <w:spacing w:after="0"/>
              <w:rPr>
                <w:sz w:val="15"/>
                <w:szCs w:val="15"/>
                <w:color w:val="auto"/>
              </w:rPr>
            </w:pPr>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10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10.12+</w:t>
            </w:r>
          </w:p>
        </w:tc>
        <w:tc>
          <w:tcPr>
            <w:tcW w:w="40" w:type="dxa"/>
            <w:vAlign w:val="bottom"/>
          </w:tcPr>
          <w:p>
            <w:pPr>
              <w:spacing w:after="0"/>
              <w:rPr>
                <w:sz w:val="24"/>
                <w:szCs w:val="24"/>
                <w:color w:val="auto"/>
              </w:rPr>
            </w:pPr>
          </w:p>
        </w:tc>
        <w:tc>
          <w:tcPr>
            <w:tcW w:w="3520" w:type="dxa"/>
            <w:vAlign w:val="bottom"/>
            <w:tcBorders>
              <w:bottom w:val="single" w:sz="8" w:color="0000EE"/>
            </w:tcBorders>
            <w:gridSpan w:val="20"/>
          </w:tcPr>
          <w:p>
            <w:pPr>
              <w:spacing w:after="0"/>
              <w:rPr>
                <w:rFonts w:ascii="Arial" w:cs="Arial" w:eastAsia="Arial" w:hAnsi="Arial"/>
                <w:sz w:val="18"/>
                <w:szCs w:val="18"/>
                <w:color w:val="0000EE"/>
                <w:w w:val="99"/>
              </w:rPr>
            </w:pPr>
            <w:hyperlink r:id="rId162">
              <w:r>
                <w:rPr>
                  <w:rFonts w:ascii="Arial" w:cs="Arial" w:eastAsia="Arial" w:hAnsi="Arial"/>
                  <w:sz w:val="18"/>
                  <w:szCs w:val="18"/>
                  <w:color w:val="0000EE"/>
                  <w:w w:val="99"/>
                </w:rPr>
                <w:t>License and Commercialization Agreement,</w:t>
              </w:r>
            </w:hyperlink>
          </w:p>
        </w:tc>
        <w:tc>
          <w:tcPr>
            <w:tcW w:w="400" w:type="dxa"/>
            <w:vAlign w:val="bottom"/>
            <w:gridSpan w:val="17"/>
          </w:tcPr>
          <w:p>
            <w:pPr>
              <w:spacing w:after="0"/>
              <w:rPr>
                <w:sz w:val="24"/>
                <w:szCs w:val="24"/>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gridSpan w:val="37"/>
          </w:tcPr>
          <w:p>
            <w:pPr>
              <w:spacing w:after="0" w:line="182" w:lineRule="exact"/>
              <w:rPr>
                <w:rFonts w:ascii="Arial" w:cs="Arial" w:eastAsia="Arial" w:hAnsi="Arial"/>
                <w:sz w:val="18"/>
                <w:szCs w:val="18"/>
                <w:color w:val="0000EE"/>
              </w:rPr>
            </w:pPr>
            <w:hyperlink r:id="rId162">
              <w:r>
                <w:rPr>
                  <w:rFonts w:ascii="Arial" w:cs="Arial" w:eastAsia="Arial" w:hAnsi="Arial"/>
                  <w:sz w:val="18"/>
                  <w:szCs w:val="18"/>
                  <w:color w:val="0000EE"/>
                </w:rPr>
                <w:t>dated July 28, 2017, by and between Bioprojet</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6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r:id="rId162">
              <w:r>
                <w:rPr>
                  <w:rFonts w:ascii="Arial" w:cs="Arial" w:eastAsia="Arial" w:hAnsi="Arial"/>
                  <w:sz w:val="18"/>
                  <w:szCs w:val="18"/>
                  <w:color w:val="0000EE"/>
                </w:rPr>
                <w:t>Société Civile de Recherche and Harmony</w:t>
              </w:r>
            </w:hyperlink>
          </w:p>
        </w:tc>
        <w:tc>
          <w:tcPr>
            <w:tcW w:w="2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r:id="rId162">
              <w:r>
                <w:rPr>
                  <w:rFonts w:ascii="Arial" w:cs="Arial" w:eastAsia="Arial" w:hAnsi="Arial"/>
                  <w:sz w:val="18"/>
                  <w:szCs w:val="18"/>
                  <w:color w:val="0000EE"/>
                  <w:w w:val="98"/>
                </w:rPr>
                <w:t>Biosciences, LLC.</w:t>
              </w:r>
            </w:hyperlink>
          </w:p>
        </w:tc>
        <w:tc>
          <w:tcPr>
            <w:tcW w:w="1940" w:type="dxa"/>
            <w:vAlign w:val="bottom"/>
            <w:tcBorders>
              <w:top w:val="single" w:sz="8" w:color="0000EE"/>
            </w:tcBorders>
            <w:gridSpan w:val="12"/>
          </w:tcPr>
          <w:p>
            <w:pPr>
              <w:spacing w:after="0"/>
              <w:rPr>
                <w:sz w:val="15"/>
                <w:szCs w:val="15"/>
                <w:color w:val="auto"/>
              </w:rPr>
            </w:pPr>
          </w:p>
        </w:tc>
        <w:tc>
          <w:tcPr>
            <w:tcW w:w="240" w:type="dxa"/>
            <w:vAlign w:val="bottom"/>
            <w:gridSpan w:val="7"/>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6"/>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10.13</w:t>
            </w:r>
          </w:p>
        </w:tc>
        <w:tc>
          <w:tcPr>
            <w:tcW w:w="40" w:type="dxa"/>
            <w:vAlign w:val="bottom"/>
          </w:tcPr>
          <w:p>
            <w:pPr>
              <w:spacing w:after="0"/>
              <w:rPr>
                <w:sz w:val="24"/>
                <w:szCs w:val="24"/>
                <w:color w:val="auto"/>
              </w:rPr>
            </w:pPr>
          </w:p>
        </w:tc>
        <w:tc>
          <w:tcPr>
            <w:tcW w:w="3920" w:type="dxa"/>
            <w:vAlign w:val="bottom"/>
            <w:gridSpan w:val="37"/>
          </w:tcPr>
          <w:p>
            <w:pPr>
              <w:spacing w:after="0"/>
              <w:rPr>
                <w:rFonts w:ascii="Arial" w:cs="Arial" w:eastAsia="Arial" w:hAnsi="Arial"/>
                <w:sz w:val="18"/>
                <w:szCs w:val="18"/>
                <w:color w:val="0000EE"/>
              </w:rPr>
            </w:pPr>
            <w:hyperlink r:id="rId163">
              <w:r>
                <w:rPr>
                  <w:rFonts w:ascii="Arial" w:cs="Arial" w:eastAsia="Arial" w:hAnsi="Arial"/>
                  <w:sz w:val="18"/>
                  <w:szCs w:val="18"/>
                  <w:color w:val="0000EE"/>
                </w:rPr>
                <w:t>Amendment No. 1 to License and</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gridSpan w:val="8"/>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2"/>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gridSpan w:val="37"/>
          </w:tcPr>
          <w:p>
            <w:pPr>
              <w:spacing w:after="0" w:line="182" w:lineRule="exact"/>
              <w:rPr>
                <w:rFonts w:ascii="Arial" w:cs="Arial" w:eastAsia="Arial" w:hAnsi="Arial"/>
                <w:sz w:val="18"/>
                <w:szCs w:val="18"/>
                <w:color w:val="0000EE"/>
              </w:rPr>
            </w:pPr>
            <w:hyperlink r:id="rId163">
              <w:r>
                <w:rPr>
                  <w:rFonts w:ascii="Arial" w:cs="Arial" w:eastAsia="Arial" w:hAnsi="Arial"/>
                  <w:sz w:val="18"/>
                  <w:szCs w:val="18"/>
                  <w:color w:val="0000EE"/>
                </w:rPr>
                <w:t>Commercialization Agreement, dated August 27,</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60" w:type="dxa"/>
            <w:vAlign w:val="bottom"/>
            <w:tcBorders>
              <w:top w:val="single" w:sz="8" w:color="0000EE"/>
            </w:tcBorders>
            <w:gridSpan w:val="35"/>
          </w:tcPr>
          <w:p>
            <w:pPr>
              <w:spacing w:after="0" w:line="182" w:lineRule="exact"/>
              <w:rPr>
                <w:rFonts w:ascii="Arial" w:cs="Arial" w:eastAsia="Arial" w:hAnsi="Arial"/>
                <w:sz w:val="18"/>
                <w:szCs w:val="18"/>
                <w:color w:val="0000EE"/>
              </w:rPr>
            </w:pPr>
            <w:hyperlink r:id="rId163">
              <w:r>
                <w:rPr>
                  <w:rFonts w:ascii="Arial" w:cs="Arial" w:eastAsia="Arial" w:hAnsi="Arial"/>
                  <w:sz w:val="18"/>
                  <w:szCs w:val="18"/>
                  <w:color w:val="0000EE"/>
                </w:rPr>
                <w:t>2018, by and between Bioprojet Société Civile</w:t>
              </w:r>
            </w:hyperlink>
          </w:p>
        </w:tc>
        <w:tc>
          <w:tcPr>
            <w:tcW w:w="60" w:type="dxa"/>
            <w:vAlign w:val="bottom"/>
            <w:gridSpan w:val="2"/>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80" w:type="dxa"/>
            <w:vAlign w:val="bottom"/>
            <w:tcBorders>
              <w:top w:val="single" w:sz="8" w:color="0000EE"/>
              <w:bottom w:val="single" w:sz="8" w:color="0000EE"/>
            </w:tcBorders>
            <w:gridSpan w:val="26"/>
          </w:tcPr>
          <w:p>
            <w:pPr>
              <w:spacing w:after="0" w:line="182" w:lineRule="exact"/>
              <w:rPr>
                <w:rFonts w:ascii="Arial" w:cs="Arial" w:eastAsia="Arial" w:hAnsi="Arial"/>
                <w:sz w:val="18"/>
                <w:szCs w:val="18"/>
                <w:color w:val="0000EE"/>
                <w:w w:val="97"/>
              </w:rPr>
            </w:pPr>
            <w:hyperlink r:id="rId163">
              <w:r>
                <w:rPr>
                  <w:rFonts w:ascii="Arial" w:cs="Arial" w:eastAsia="Arial" w:hAnsi="Arial"/>
                  <w:sz w:val="18"/>
                  <w:szCs w:val="18"/>
                  <w:color w:val="0000EE"/>
                  <w:w w:val="97"/>
                </w:rPr>
                <w:t>de Recherche and Harmony Biosciences, LLC.</w:t>
              </w:r>
            </w:hyperlink>
          </w:p>
        </w:tc>
        <w:tc>
          <w:tcPr>
            <w:tcW w:w="100" w:type="dxa"/>
            <w:vAlign w:val="bottom"/>
            <w:tcBorders>
              <w:bottom w:val="single" w:sz="8" w:color="0000EE"/>
            </w:tcBorders>
            <w:gridSpan w:val="6"/>
          </w:tcPr>
          <w:p>
            <w:pPr>
              <w:spacing w:after="0"/>
              <w:rPr>
                <w:sz w:val="15"/>
                <w:szCs w:val="15"/>
                <w:color w:val="auto"/>
              </w:rPr>
            </w:pPr>
          </w:p>
        </w:tc>
        <w:tc>
          <w:tcPr>
            <w:tcW w:w="140" w:type="dxa"/>
            <w:vAlign w:val="bottom"/>
            <w:gridSpan w:val="5"/>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10.14+</w:t>
            </w:r>
          </w:p>
        </w:tc>
        <w:tc>
          <w:tcPr>
            <w:tcW w:w="40" w:type="dxa"/>
            <w:vAlign w:val="bottom"/>
          </w:tcPr>
          <w:p>
            <w:pPr>
              <w:spacing w:after="0"/>
              <w:rPr>
                <w:sz w:val="24"/>
                <w:szCs w:val="24"/>
                <w:color w:val="auto"/>
              </w:rPr>
            </w:pPr>
          </w:p>
        </w:tc>
        <w:tc>
          <w:tcPr>
            <w:tcW w:w="3920" w:type="dxa"/>
            <w:vAlign w:val="bottom"/>
            <w:gridSpan w:val="37"/>
          </w:tcPr>
          <w:p>
            <w:pPr>
              <w:spacing w:after="0"/>
              <w:rPr>
                <w:rFonts w:ascii="Arial" w:cs="Arial" w:eastAsia="Arial" w:hAnsi="Arial"/>
                <w:sz w:val="18"/>
                <w:szCs w:val="18"/>
                <w:color w:val="0000EE"/>
              </w:rPr>
            </w:pPr>
            <w:hyperlink r:id="rId164">
              <w:r>
                <w:rPr>
                  <w:rFonts w:ascii="Arial" w:cs="Arial" w:eastAsia="Arial" w:hAnsi="Arial"/>
                  <w:sz w:val="18"/>
                  <w:szCs w:val="18"/>
                  <w:color w:val="0000EE"/>
                </w:rPr>
                <w:t>Trademark License Agreement, dated August</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gridSpan w:val="8"/>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7"/>
            <w:shd w:val="clear" w:color="auto" w:fill="0000EE"/>
          </w:tcPr>
          <w:p>
            <w:pPr>
              <w:spacing w:after="0" w:line="20" w:lineRule="exact"/>
              <w:rPr>
                <w:sz w:val="1"/>
                <w:szCs w:val="1"/>
                <w:color w:val="auto"/>
              </w:rPr>
            </w:pPr>
          </w:p>
        </w:tc>
        <w:tc>
          <w:tcPr>
            <w:tcW w:w="260" w:type="dxa"/>
            <w:vAlign w:val="bottom"/>
            <w:gridSpan w:val="8"/>
            <w:shd w:val="clear" w:color="auto" w:fill="0000EE"/>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gridSpan w:val="37"/>
          </w:tcPr>
          <w:p>
            <w:pPr>
              <w:spacing w:after="0" w:line="182" w:lineRule="exact"/>
              <w:rPr>
                <w:rFonts w:ascii="Arial" w:cs="Arial" w:eastAsia="Arial" w:hAnsi="Arial"/>
                <w:sz w:val="18"/>
                <w:szCs w:val="18"/>
                <w:color w:val="0000EE"/>
              </w:rPr>
            </w:pPr>
            <w:hyperlink r:id="rId164">
              <w:r>
                <w:rPr>
                  <w:rFonts w:ascii="Arial" w:cs="Arial" w:eastAsia="Arial" w:hAnsi="Arial"/>
                  <w:sz w:val="18"/>
                  <w:szCs w:val="18"/>
                  <w:color w:val="0000EE"/>
                </w:rPr>
                <w:t>23, 2018, by and among Bioprojet Europe, Ltd.,</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8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r:id="rId164">
              <w:r>
                <w:rPr>
                  <w:rFonts w:ascii="Arial" w:cs="Arial" w:eastAsia="Arial" w:hAnsi="Arial"/>
                  <w:sz w:val="18"/>
                  <w:szCs w:val="18"/>
                  <w:color w:val="0000EE"/>
                </w:rPr>
                <w:t>Bioprojet Société Civile de Recherche and</w:t>
              </w:r>
            </w:hyperlink>
          </w:p>
        </w:tc>
        <w:tc>
          <w:tcPr>
            <w:tcW w:w="140" w:type="dxa"/>
            <w:vAlign w:val="bottom"/>
            <w:gridSpan w:val="5"/>
          </w:tcPr>
          <w:p>
            <w:pPr>
              <w:spacing w:after="0"/>
              <w:rPr>
                <w:sz w:val="15"/>
                <w:szCs w:val="15"/>
                <w:color w:val="auto"/>
              </w:rPr>
            </w:pPr>
          </w:p>
        </w:tc>
      </w:tr>
      <w:tr>
        <w:trPr>
          <w:trHeight w:val="182"/>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164">
              <w:r>
                <w:rPr>
                  <w:rFonts w:ascii="Arial" w:cs="Arial" w:eastAsia="Arial" w:hAnsi="Arial"/>
                  <w:sz w:val="18"/>
                  <w:szCs w:val="18"/>
                  <w:color w:val="0000EE"/>
                  <w:w w:val="99"/>
                </w:rPr>
                <w:t>Harmony Biosciences, LLC.</w:t>
              </w:r>
            </w:hyperlink>
          </w:p>
        </w:tc>
        <w:tc>
          <w:tcPr>
            <w:tcW w:w="1140" w:type="dxa"/>
            <w:vAlign w:val="bottom"/>
            <w:tcBorders>
              <w:top w:val="single" w:sz="8" w:color="0000EE"/>
            </w:tcBorders>
            <w:gridSpan w:val="8"/>
          </w:tcPr>
          <w:p>
            <w:pPr>
              <w:spacing w:after="0"/>
              <w:rPr>
                <w:sz w:val="15"/>
                <w:szCs w:val="15"/>
                <w:color w:val="auto"/>
              </w:rPr>
            </w:pPr>
          </w:p>
        </w:tc>
        <w:tc>
          <w:tcPr>
            <w:tcW w:w="260" w:type="dxa"/>
            <w:vAlign w:val="bottom"/>
            <w:gridSpan w:val="8"/>
          </w:tcPr>
          <w:p>
            <w:pPr>
              <w:spacing w:after="0"/>
              <w:rPr>
                <w:sz w:val="15"/>
                <w:szCs w:val="15"/>
                <w:color w:val="auto"/>
              </w:rPr>
            </w:pPr>
          </w:p>
        </w:tc>
        <w:tc>
          <w:tcPr>
            <w:tcW w:w="300" w:type="dxa"/>
            <w:vAlign w:val="bottom"/>
            <w:gridSpan w:val="13"/>
          </w:tcPr>
          <w:p>
            <w:pPr>
              <w:spacing w:after="0"/>
              <w:rPr>
                <w:sz w:val="15"/>
                <w:szCs w:val="15"/>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24"/>
                <w:szCs w:val="24"/>
                <w:color w:val="auto"/>
              </w:rPr>
            </w:pPr>
          </w:p>
        </w:tc>
        <w:tc>
          <w:tcPr>
            <w:tcW w:w="3920" w:type="dxa"/>
            <w:vAlign w:val="bottom"/>
            <w:gridSpan w:val="37"/>
          </w:tcPr>
          <w:p>
            <w:pPr>
              <w:spacing w:after="0"/>
              <w:rPr>
                <w:rFonts w:ascii="Arial" w:cs="Arial" w:eastAsia="Arial" w:hAnsi="Arial"/>
                <w:sz w:val="18"/>
                <w:szCs w:val="18"/>
                <w:color w:val="0000EE"/>
              </w:rPr>
            </w:pPr>
            <w:hyperlink r:id="rId165">
              <w:r>
                <w:rPr>
                  <w:rFonts w:ascii="Arial" w:cs="Arial" w:eastAsia="Arial" w:hAnsi="Arial"/>
                  <w:sz w:val="18"/>
                  <w:szCs w:val="18"/>
                  <w:color w:val="0000EE"/>
                </w:rPr>
                <w:t>Amendment No.1 to License and</w:t>
              </w:r>
            </w:hyperlink>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6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165">
              <w:r>
                <w:rPr>
                  <w:rFonts w:ascii="Arial" w:cs="Arial" w:eastAsia="Arial" w:hAnsi="Arial"/>
                  <w:sz w:val="18"/>
                  <w:szCs w:val="18"/>
                  <w:color w:val="0000EE"/>
                </w:rPr>
                <w:t>Commercialization Agreement,</w:t>
              </w:r>
            </w:hyperlink>
          </w:p>
        </w:tc>
        <w:tc>
          <w:tcPr>
            <w:tcW w:w="1260" w:type="dxa"/>
            <w:vAlign w:val="bottom"/>
            <w:gridSpan w:val="28"/>
          </w:tcPr>
          <w:p>
            <w:pPr>
              <w:spacing w:after="0" w:line="182" w:lineRule="exact"/>
              <w:rPr>
                <w:rFonts w:ascii="Arial" w:cs="Arial" w:eastAsia="Arial" w:hAnsi="Arial"/>
                <w:sz w:val="18"/>
                <w:szCs w:val="18"/>
                <w:color w:val="0000EE"/>
              </w:rPr>
            </w:pPr>
            <w:hyperlink r:id="rId165">
              <w:r>
                <w:rPr>
                  <w:rFonts w:ascii="Arial" w:cs="Arial" w:eastAsia="Arial" w:hAnsi="Arial"/>
                  <w:sz w:val="18"/>
                  <w:szCs w:val="18"/>
                  <w:color w:val="0000EE"/>
                </w:rPr>
                <w:t>dated July 31,</w:t>
              </w:r>
            </w:hyperlink>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20" w:type="dxa"/>
            <w:vAlign w:val="bottom"/>
            <w:gridSpan w:val="24"/>
            <w:shd w:val="clear" w:color="auto" w:fill="0000EE"/>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9"/>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0" w:type="dxa"/>
            <w:vAlign w:val="bottom"/>
            <w:gridSpan w:val="33"/>
          </w:tcPr>
          <w:p>
            <w:pPr>
              <w:ind w:left="3500"/>
              <w:spacing w:after="0"/>
              <w:rPr>
                <w:sz w:val="20"/>
                <w:szCs w:val="20"/>
                <w:color w:val="auto"/>
              </w:rPr>
            </w:pPr>
            <w:r>
              <w:rPr>
                <w:rFonts w:ascii="Arial" w:cs="Arial" w:eastAsia="Arial" w:hAnsi="Arial"/>
                <w:sz w:val="18"/>
                <w:szCs w:val="18"/>
                <w:color w:val="auto"/>
                <w:w w:val="93"/>
              </w:rPr>
              <w:t>127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332105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89"/>
        </w:trPr>
        <w:tc>
          <w:tcPr>
            <w:tcW w:w="700" w:type="dxa"/>
            <w:vAlign w:val="bottom"/>
          </w:tcPr>
          <w:p>
            <w:pPr>
              <w:spacing w:after="0"/>
              <w:rPr>
                <w:sz w:val="20"/>
                <w:szCs w:val="20"/>
                <w:color w:val="auto"/>
              </w:rPr>
            </w:pPr>
            <w:r>
              <w:rPr>
                <w:rFonts w:ascii="Arial" w:cs="Arial" w:eastAsia="Arial" w:hAnsi="Arial"/>
                <w:sz w:val="16"/>
                <w:szCs w:val="16"/>
                <w:color w:val="auto"/>
              </w:rPr>
              <w:t>S-1/A</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August 11,</w:t>
            </w:r>
          </w:p>
        </w:tc>
        <w:tc>
          <w:tcPr>
            <w:tcW w:w="64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5"/>
        </w:trPr>
        <w:tc>
          <w:tcPr>
            <w:tcW w:w="700" w:type="dxa"/>
            <w:vAlign w:val="bottom"/>
          </w:tcPr>
          <w:p>
            <w:pPr>
              <w:spacing w:after="0"/>
              <w:rPr>
                <w:sz w:val="18"/>
                <w:szCs w:val="18"/>
                <w:color w:val="auto"/>
              </w:rPr>
            </w:pPr>
          </w:p>
        </w:tc>
        <w:tc>
          <w:tcPr>
            <w:tcW w:w="1400" w:type="dxa"/>
            <w:vAlign w:val="bottom"/>
          </w:tcPr>
          <w:p>
            <w:pPr>
              <w:jc w:val="right"/>
              <w:ind w:right="459"/>
              <w:spacing w:after="0"/>
              <w:rPr>
                <w:sz w:val="20"/>
                <w:szCs w:val="20"/>
                <w:color w:val="auto"/>
              </w:rPr>
            </w:pPr>
            <w:r>
              <w:rPr>
                <w:rFonts w:ascii="Arial" w:cs="Arial" w:eastAsia="Arial" w:hAnsi="Arial"/>
                <w:sz w:val="16"/>
                <w:szCs w:val="16"/>
                <w:color w:val="auto"/>
              </w:rPr>
              <w:t>2020</w:t>
            </w:r>
          </w:p>
        </w:tc>
        <w:tc>
          <w:tcPr>
            <w:tcW w:w="640" w:type="dxa"/>
            <w:vAlign w:val="bottom"/>
          </w:tcPr>
          <w:p>
            <w:pPr>
              <w:spacing w:after="0"/>
              <w:rPr>
                <w:sz w:val="18"/>
                <w:szCs w:val="18"/>
                <w:color w:val="auto"/>
              </w:rPr>
            </w:pPr>
          </w:p>
        </w:tc>
      </w:tr>
    </w:tbl>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jc w:val="center"/>
              <w:ind w:right="157"/>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February 21,</w:t>
            </w:r>
          </w:p>
        </w:tc>
        <w:tc>
          <w:tcPr>
            <w:tcW w:w="800" w:type="dxa"/>
            <w:vAlign w:val="bottom"/>
          </w:tcPr>
          <w:p>
            <w:pPr>
              <w:jc w:val="center"/>
              <w:ind w:left="97"/>
              <w:spacing w:after="0"/>
              <w:rPr>
                <w:sz w:val="20"/>
                <w:szCs w:val="20"/>
                <w:color w:val="auto"/>
              </w:rPr>
            </w:pPr>
            <w:r>
              <w:rPr>
                <w:rFonts w:ascii="Arial" w:cs="Arial" w:eastAsia="Arial" w:hAnsi="Arial"/>
                <w:sz w:val="18"/>
                <w:szCs w:val="18"/>
                <w:color w:val="auto"/>
                <w:w w:val="99"/>
              </w:rPr>
              <w:t>10.7.2</w:t>
            </w:r>
          </w:p>
        </w:tc>
      </w:tr>
      <w:tr>
        <w:trPr>
          <w:trHeight w:val="239"/>
        </w:trPr>
        <w:tc>
          <w:tcPr>
            <w:tcW w:w="6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2023</w:t>
            </w:r>
          </w:p>
        </w:tc>
        <w:tc>
          <w:tcPr>
            <w:tcW w:w="800" w:type="dxa"/>
            <w:vAlign w:val="bottom"/>
          </w:tcPr>
          <w:p>
            <w:pPr>
              <w:spacing w:after="0"/>
              <w:rPr>
                <w:sz w:val="20"/>
                <w:szCs w:val="20"/>
                <w:color w:val="auto"/>
              </w:rPr>
            </w:pPr>
          </w:p>
        </w:tc>
      </w:tr>
      <w:tr>
        <w:trPr>
          <w:trHeight w:val="765"/>
        </w:trPr>
        <w:tc>
          <w:tcPr>
            <w:tcW w:w="660" w:type="dxa"/>
            <w:vAlign w:val="bottom"/>
          </w:tcPr>
          <w:p>
            <w:pPr>
              <w:jc w:val="center"/>
              <w:ind w:right="137"/>
              <w:spacing w:after="0"/>
              <w:rPr>
                <w:sz w:val="20"/>
                <w:szCs w:val="20"/>
                <w:color w:val="auto"/>
              </w:rPr>
            </w:pPr>
            <w:r>
              <w:rPr>
                <w:rFonts w:ascii="Arial" w:cs="Arial" w:eastAsia="Arial" w:hAnsi="Arial"/>
                <w:sz w:val="16"/>
                <w:szCs w:val="16"/>
                <w:color w:val="auto"/>
                <w:w w:val="99"/>
              </w:rPr>
              <w:t>S-1/A</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August 11,</w:t>
            </w:r>
          </w:p>
        </w:tc>
        <w:tc>
          <w:tcPr>
            <w:tcW w:w="800" w:type="dxa"/>
            <w:vAlign w:val="bottom"/>
          </w:tcPr>
          <w:p>
            <w:pPr>
              <w:jc w:val="center"/>
              <w:ind w:left="117"/>
              <w:spacing w:after="0"/>
              <w:rPr>
                <w:sz w:val="20"/>
                <w:szCs w:val="20"/>
                <w:color w:val="auto"/>
              </w:rPr>
            </w:pPr>
            <w:r>
              <w:rPr>
                <w:rFonts w:ascii="Arial" w:cs="Arial" w:eastAsia="Arial" w:hAnsi="Arial"/>
                <w:sz w:val="16"/>
                <w:szCs w:val="16"/>
                <w:color w:val="auto"/>
                <w:w w:val="99"/>
              </w:rPr>
              <w:t>10.12</w:t>
            </w:r>
          </w:p>
        </w:tc>
      </w:tr>
      <w:tr>
        <w:trPr>
          <w:trHeight w:val="215"/>
        </w:trPr>
        <w:tc>
          <w:tcPr>
            <w:tcW w:w="6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2020</w:t>
            </w:r>
          </w:p>
        </w:tc>
        <w:tc>
          <w:tcPr>
            <w:tcW w:w="800" w:type="dxa"/>
            <w:vAlign w:val="bottom"/>
          </w:tcPr>
          <w:p>
            <w:pPr>
              <w:spacing w:after="0"/>
              <w:rPr>
                <w:sz w:val="18"/>
                <w:szCs w:val="18"/>
                <w:color w:val="auto"/>
              </w:rPr>
            </w:pPr>
          </w:p>
        </w:tc>
      </w:tr>
      <w:tr>
        <w:trPr>
          <w:trHeight w:val="595"/>
        </w:trPr>
        <w:tc>
          <w:tcPr>
            <w:tcW w:w="660" w:type="dxa"/>
            <w:vAlign w:val="bottom"/>
          </w:tcPr>
          <w:p>
            <w:pPr>
              <w:jc w:val="center"/>
              <w:ind w:right="137"/>
              <w:spacing w:after="0"/>
              <w:rPr>
                <w:sz w:val="20"/>
                <w:szCs w:val="20"/>
                <w:color w:val="auto"/>
              </w:rPr>
            </w:pPr>
            <w:r>
              <w:rPr>
                <w:rFonts w:ascii="Arial" w:cs="Arial" w:eastAsia="Arial" w:hAnsi="Arial"/>
                <w:sz w:val="16"/>
                <w:szCs w:val="16"/>
                <w:color w:val="auto"/>
                <w:w w:val="99"/>
              </w:rPr>
              <w:t>S-1/A</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August 11,</w:t>
            </w:r>
          </w:p>
        </w:tc>
        <w:tc>
          <w:tcPr>
            <w:tcW w:w="800" w:type="dxa"/>
            <w:vAlign w:val="bottom"/>
          </w:tcPr>
          <w:p>
            <w:pPr>
              <w:jc w:val="center"/>
              <w:ind w:left="117"/>
              <w:spacing w:after="0"/>
              <w:rPr>
                <w:sz w:val="20"/>
                <w:szCs w:val="20"/>
                <w:color w:val="auto"/>
              </w:rPr>
            </w:pPr>
            <w:r>
              <w:rPr>
                <w:rFonts w:ascii="Arial" w:cs="Arial" w:eastAsia="Arial" w:hAnsi="Arial"/>
                <w:sz w:val="16"/>
                <w:szCs w:val="16"/>
                <w:color w:val="auto"/>
                <w:w w:val="99"/>
              </w:rPr>
              <w:t>10.13</w:t>
            </w:r>
          </w:p>
        </w:tc>
      </w:tr>
      <w:tr>
        <w:trPr>
          <w:trHeight w:val="215"/>
        </w:trPr>
        <w:tc>
          <w:tcPr>
            <w:tcW w:w="6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2020</w:t>
            </w:r>
          </w:p>
        </w:tc>
        <w:tc>
          <w:tcPr>
            <w:tcW w:w="800" w:type="dxa"/>
            <w:vAlign w:val="bottom"/>
          </w:tcPr>
          <w:p>
            <w:pPr>
              <w:spacing w:after="0"/>
              <w:rPr>
                <w:sz w:val="18"/>
                <w:szCs w:val="18"/>
                <w:color w:val="auto"/>
              </w:rPr>
            </w:pPr>
          </w:p>
        </w:tc>
      </w:tr>
      <w:tr>
        <w:trPr>
          <w:trHeight w:val="366"/>
        </w:trPr>
        <w:tc>
          <w:tcPr>
            <w:tcW w:w="660" w:type="dxa"/>
            <w:vAlign w:val="bottom"/>
          </w:tcPr>
          <w:p>
            <w:pPr>
              <w:jc w:val="center"/>
              <w:ind w:right="137"/>
              <w:spacing w:after="0"/>
              <w:rPr>
                <w:sz w:val="20"/>
                <w:szCs w:val="20"/>
                <w:color w:val="auto"/>
              </w:rPr>
            </w:pPr>
            <w:r>
              <w:rPr>
                <w:rFonts w:ascii="Arial" w:cs="Arial" w:eastAsia="Arial" w:hAnsi="Arial"/>
                <w:sz w:val="16"/>
                <w:szCs w:val="16"/>
                <w:color w:val="auto"/>
                <w:w w:val="99"/>
              </w:rPr>
              <w:t>S-1/A</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August 11,</w:t>
            </w:r>
          </w:p>
        </w:tc>
        <w:tc>
          <w:tcPr>
            <w:tcW w:w="800" w:type="dxa"/>
            <w:vAlign w:val="bottom"/>
          </w:tcPr>
          <w:p>
            <w:pPr>
              <w:jc w:val="center"/>
              <w:ind w:left="117"/>
              <w:spacing w:after="0"/>
              <w:rPr>
                <w:sz w:val="20"/>
                <w:szCs w:val="20"/>
                <w:color w:val="auto"/>
              </w:rPr>
            </w:pPr>
            <w:r>
              <w:rPr>
                <w:rFonts w:ascii="Arial" w:cs="Arial" w:eastAsia="Arial" w:hAnsi="Arial"/>
                <w:sz w:val="16"/>
                <w:szCs w:val="16"/>
                <w:color w:val="auto"/>
              </w:rPr>
              <w:t>10.3</w:t>
            </w:r>
          </w:p>
        </w:tc>
      </w:tr>
      <w:tr>
        <w:trPr>
          <w:trHeight w:val="215"/>
        </w:trPr>
        <w:tc>
          <w:tcPr>
            <w:tcW w:w="6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2020</w:t>
            </w:r>
          </w:p>
        </w:tc>
        <w:tc>
          <w:tcPr>
            <w:tcW w:w="800" w:type="dxa"/>
            <w:vAlign w:val="bottom"/>
          </w:tcPr>
          <w:p>
            <w:pPr>
              <w:spacing w:after="0"/>
              <w:rPr>
                <w:sz w:val="18"/>
                <w:szCs w:val="18"/>
                <w:color w:val="auto"/>
              </w:rPr>
            </w:pPr>
          </w:p>
        </w:tc>
      </w:tr>
      <w:tr>
        <w:trPr>
          <w:trHeight w:val="393"/>
        </w:trPr>
        <w:tc>
          <w:tcPr>
            <w:tcW w:w="660" w:type="dxa"/>
            <w:vAlign w:val="bottom"/>
          </w:tcPr>
          <w:p>
            <w:pPr>
              <w:jc w:val="center"/>
              <w:ind w:right="137"/>
              <w:spacing w:after="0"/>
              <w:rPr>
                <w:sz w:val="20"/>
                <w:szCs w:val="20"/>
                <w:color w:val="auto"/>
              </w:rPr>
            </w:pPr>
            <w:r>
              <w:rPr>
                <w:rFonts w:ascii="Arial" w:cs="Arial" w:eastAsia="Arial" w:hAnsi="Arial"/>
                <w:sz w:val="16"/>
                <w:szCs w:val="16"/>
                <w:color w:val="auto"/>
              </w:rPr>
              <w:t>10-Q</w:t>
            </w:r>
          </w:p>
        </w:tc>
        <w:tc>
          <w:tcPr>
            <w:tcW w:w="1440" w:type="dxa"/>
            <w:vAlign w:val="bottom"/>
          </w:tcPr>
          <w:p>
            <w:pPr>
              <w:jc w:val="center"/>
              <w:spacing w:after="0"/>
              <w:rPr>
                <w:sz w:val="20"/>
                <w:szCs w:val="20"/>
                <w:color w:val="auto"/>
              </w:rPr>
            </w:pPr>
            <w:r>
              <w:rPr>
                <w:rFonts w:ascii="Arial" w:cs="Arial" w:eastAsia="Arial" w:hAnsi="Arial"/>
                <w:sz w:val="16"/>
                <w:szCs w:val="16"/>
                <w:color w:val="auto"/>
              </w:rPr>
              <w:t>November 12,</w:t>
            </w:r>
          </w:p>
        </w:tc>
        <w:tc>
          <w:tcPr>
            <w:tcW w:w="800" w:type="dxa"/>
            <w:vAlign w:val="bottom"/>
          </w:tcPr>
          <w:p>
            <w:pPr>
              <w:jc w:val="center"/>
              <w:ind w:left="117"/>
              <w:spacing w:after="0"/>
              <w:rPr>
                <w:sz w:val="20"/>
                <w:szCs w:val="20"/>
                <w:color w:val="auto"/>
              </w:rPr>
            </w:pPr>
            <w:r>
              <w:rPr>
                <w:rFonts w:ascii="Arial" w:cs="Arial" w:eastAsia="Arial" w:hAnsi="Arial"/>
                <w:sz w:val="16"/>
                <w:szCs w:val="16"/>
                <w:color w:val="auto"/>
              </w:rPr>
              <w:t>10.9</w:t>
            </w:r>
          </w:p>
        </w:tc>
      </w:tr>
      <w:tr>
        <w:trPr>
          <w:trHeight w:val="215"/>
        </w:trPr>
        <w:tc>
          <w:tcPr>
            <w:tcW w:w="6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2020</w:t>
            </w:r>
          </w:p>
        </w:tc>
        <w:tc>
          <w:tcPr>
            <w:tcW w:w="800" w:type="dxa"/>
            <w:vAlign w:val="bottom"/>
          </w:tcPr>
          <w:p>
            <w:pPr>
              <w:spacing w:after="0"/>
              <w:rPr>
                <w:sz w:val="18"/>
                <w:szCs w:val="18"/>
                <w:color w:val="auto"/>
              </w:rPr>
            </w:pPr>
          </w:p>
        </w:tc>
      </w:tr>
      <w:tr>
        <w:trPr>
          <w:trHeight w:val="393"/>
        </w:trPr>
        <w:tc>
          <w:tcPr>
            <w:tcW w:w="660" w:type="dxa"/>
            <w:vAlign w:val="bottom"/>
          </w:tcPr>
          <w:p>
            <w:pPr>
              <w:jc w:val="center"/>
              <w:ind w:right="137"/>
              <w:spacing w:after="0"/>
              <w:rPr>
                <w:sz w:val="20"/>
                <w:szCs w:val="20"/>
                <w:color w:val="auto"/>
              </w:rPr>
            </w:pPr>
            <w:r>
              <w:rPr>
                <w:rFonts w:ascii="Arial" w:cs="Arial" w:eastAsia="Arial" w:hAnsi="Arial"/>
                <w:sz w:val="16"/>
                <w:szCs w:val="16"/>
                <w:color w:val="auto"/>
                <w:w w:val="99"/>
              </w:rPr>
              <w:t>S-1/A</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August 11,</w:t>
            </w:r>
          </w:p>
        </w:tc>
        <w:tc>
          <w:tcPr>
            <w:tcW w:w="800" w:type="dxa"/>
            <w:vAlign w:val="bottom"/>
          </w:tcPr>
          <w:p>
            <w:pPr>
              <w:jc w:val="center"/>
              <w:ind w:left="117"/>
              <w:spacing w:after="0"/>
              <w:rPr>
                <w:sz w:val="20"/>
                <w:szCs w:val="20"/>
                <w:color w:val="auto"/>
              </w:rPr>
            </w:pPr>
            <w:r>
              <w:rPr>
                <w:rFonts w:ascii="Arial" w:cs="Arial" w:eastAsia="Arial" w:hAnsi="Arial"/>
                <w:sz w:val="16"/>
                <w:szCs w:val="16"/>
                <w:color w:val="auto"/>
              </w:rPr>
              <w:t>10.9</w:t>
            </w:r>
          </w:p>
        </w:tc>
      </w:tr>
      <w:tr>
        <w:trPr>
          <w:trHeight w:val="215"/>
        </w:trPr>
        <w:tc>
          <w:tcPr>
            <w:tcW w:w="6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2020</w:t>
            </w:r>
          </w:p>
        </w:tc>
        <w:tc>
          <w:tcPr>
            <w:tcW w:w="800" w:type="dxa"/>
            <w:vAlign w:val="bottom"/>
          </w:tcPr>
          <w:p>
            <w:pPr>
              <w:spacing w:after="0"/>
              <w:rPr>
                <w:sz w:val="18"/>
                <w:szCs w:val="18"/>
                <w:color w:val="auto"/>
              </w:rPr>
            </w:pPr>
          </w:p>
        </w:tc>
      </w:tr>
      <w:tr>
        <w:trPr>
          <w:trHeight w:val="604"/>
        </w:trPr>
        <w:tc>
          <w:tcPr>
            <w:tcW w:w="660" w:type="dxa"/>
            <w:vAlign w:val="bottom"/>
          </w:tcPr>
          <w:p>
            <w:pPr>
              <w:jc w:val="center"/>
              <w:ind w:right="137"/>
              <w:spacing w:after="0"/>
              <w:rPr>
                <w:sz w:val="20"/>
                <w:szCs w:val="20"/>
                <w:color w:val="auto"/>
              </w:rPr>
            </w:pPr>
            <w:r>
              <w:rPr>
                <w:rFonts w:ascii="Arial" w:cs="Arial" w:eastAsia="Arial" w:hAnsi="Arial"/>
                <w:sz w:val="18"/>
                <w:szCs w:val="18"/>
                <w:color w:val="auto"/>
                <w:w w:val="97"/>
              </w:rPr>
              <w:t>8-K/A</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January 23,</w:t>
            </w:r>
          </w:p>
        </w:tc>
        <w:tc>
          <w:tcPr>
            <w:tcW w:w="800" w:type="dxa"/>
            <w:vAlign w:val="bottom"/>
          </w:tcPr>
          <w:p>
            <w:pPr>
              <w:jc w:val="center"/>
              <w:ind w:left="117"/>
              <w:spacing w:after="0"/>
              <w:rPr>
                <w:sz w:val="20"/>
                <w:szCs w:val="20"/>
                <w:color w:val="auto"/>
              </w:rPr>
            </w:pPr>
            <w:r>
              <w:rPr>
                <w:rFonts w:ascii="Arial" w:cs="Arial" w:eastAsia="Arial" w:hAnsi="Arial"/>
                <w:sz w:val="18"/>
                <w:szCs w:val="18"/>
                <w:color w:val="auto"/>
                <w:w w:val="99"/>
              </w:rPr>
              <w:t>10.12.2</w:t>
            </w:r>
          </w:p>
        </w:tc>
      </w:tr>
      <w:tr>
        <w:trPr>
          <w:trHeight w:val="239"/>
        </w:trPr>
        <w:tc>
          <w:tcPr>
            <w:tcW w:w="6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2023</w:t>
            </w:r>
          </w:p>
        </w:tc>
        <w:tc>
          <w:tcPr>
            <w:tcW w:w="800" w:type="dxa"/>
            <w:vAlign w:val="bottom"/>
          </w:tcPr>
          <w:p>
            <w:pPr>
              <w:spacing w:after="0"/>
              <w:rPr>
                <w:sz w:val="20"/>
                <w:szCs w:val="20"/>
                <w:color w:val="auto"/>
              </w:rPr>
            </w:pPr>
          </w:p>
        </w:tc>
      </w:tr>
      <w:tr>
        <w:trPr>
          <w:trHeight w:val="571"/>
        </w:trPr>
        <w:tc>
          <w:tcPr>
            <w:tcW w:w="660" w:type="dxa"/>
            <w:vAlign w:val="bottom"/>
          </w:tcPr>
          <w:p>
            <w:pPr>
              <w:jc w:val="center"/>
              <w:ind w:right="137"/>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April 24,</w:t>
            </w:r>
          </w:p>
        </w:tc>
        <w:tc>
          <w:tcPr>
            <w:tcW w:w="800" w:type="dxa"/>
            <w:vAlign w:val="bottom"/>
          </w:tcPr>
          <w:p>
            <w:pPr>
              <w:jc w:val="center"/>
              <w:ind w:left="117"/>
              <w:spacing w:after="0"/>
              <w:rPr>
                <w:sz w:val="20"/>
                <w:szCs w:val="20"/>
                <w:color w:val="auto"/>
              </w:rPr>
            </w:pPr>
            <w:r>
              <w:rPr>
                <w:rFonts w:ascii="Arial" w:cs="Arial" w:eastAsia="Arial" w:hAnsi="Arial"/>
                <w:sz w:val="18"/>
                <w:szCs w:val="18"/>
                <w:color w:val="auto"/>
              </w:rPr>
              <w:t>10.1</w:t>
            </w:r>
          </w:p>
        </w:tc>
      </w:tr>
      <w:tr>
        <w:trPr>
          <w:trHeight w:val="239"/>
        </w:trPr>
        <w:tc>
          <w:tcPr>
            <w:tcW w:w="6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2023</w:t>
            </w:r>
          </w:p>
        </w:tc>
        <w:tc>
          <w:tcPr>
            <w:tcW w:w="800" w:type="dxa"/>
            <w:vAlign w:val="bottom"/>
          </w:tcPr>
          <w:p>
            <w:pPr>
              <w:spacing w:after="0"/>
              <w:rPr>
                <w:sz w:val="20"/>
                <w:szCs w:val="20"/>
                <w:color w:val="auto"/>
              </w:rPr>
            </w:pPr>
          </w:p>
        </w:tc>
      </w:tr>
      <w:tr>
        <w:trPr>
          <w:trHeight w:val="571"/>
        </w:trPr>
        <w:tc>
          <w:tcPr>
            <w:tcW w:w="660" w:type="dxa"/>
            <w:vAlign w:val="bottom"/>
          </w:tcPr>
          <w:p>
            <w:pPr>
              <w:jc w:val="center"/>
              <w:ind w:right="137"/>
              <w:spacing w:after="0"/>
              <w:rPr>
                <w:sz w:val="20"/>
                <w:szCs w:val="20"/>
                <w:color w:val="auto"/>
              </w:rPr>
            </w:pPr>
            <w:r>
              <w:rPr>
                <w:rFonts w:ascii="Arial" w:cs="Arial" w:eastAsia="Arial" w:hAnsi="Arial"/>
                <w:sz w:val="16"/>
                <w:szCs w:val="16"/>
                <w:color w:val="auto"/>
                <w:w w:val="99"/>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August 11,</w:t>
            </w:r>
          </w:p>
        </w:tc>
        <w:tc>
          <w:tcPr>
            <w:tcW w:w="800" w:type="dxa"/>
            <w:vAlign w:val="bottom"/>
          </w:tcPr>
          <w:p>
            <w:pPr>
              <w:jc w:val="center"/>
              <w:ind w:left="117"/>
              <w:spacing w:after="0"/>
              <w:rPr>
                <w:sz w:val="20"/>
                <w:szCs w:val="20"/>
                <w:color w:val="auto"/>
              </w:rPr>
            </w:pPr>
            <w:r>
              <w:rPr>
                <w:rFonts w:ascii="Arial" w:cs="Arial" w:eastAsia="Arial" w:hAnsi="Arial"/>
                <w:sz w:val="16"/>
                <w:szCs w:val="16"/>
                <w:color w:val="auto"/>
                <w:w w:val="99"/>
              </w:rPr>
              <w:t>10.10</w:t>
            </w:r>
          </w:p>
        </w:tc>
      </w:tr>
      <w:tr>
        <w:trPr>
          <w:trHeight w:val="239"/>
        </w:trPr>
        <w:tc>
          <w:tcPr>
            <w:tcW w:w="6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800" w:type="dxa"/>
            <w:vAlign w:val="bottom"/>
          </w:tcPr>
          <w:p>
            <w:pPr>
              <w:spacing w:after="0"/>
              <w:rPr>
                <w:sz w:val="20"/>
                <w:szCs w:val="20"/>
                <w:color w:val="auto"/>
              </w:rPr>
            </w:pPr>
          </w:p>
        </w:tc>
      </w:tr>
      <w:tr>
        <w:trPr>
          <w:trHeight w:val="571"/>
        </w:trPr>
        <w:tc>
          <w:tcPr>
            <w:tcW w:w="660" w:type="dxa"/>
            <w:vAlign w:val="bottom"/>
          </w:tcPr>
          <w:p>
            <w:pPr>
              <w:jc w:val="center"/>
              <w:ind w:right="157"/>
              <w:spacing w:after="0"/>
              <w:rPr>
                <w:sz w:val="20"/>
                <w:szCs w:val="20"/>
                <w:color w:val="auto"/>
              </w:rPr>
            </w:pPr>
            <w:r>
              <w:rPr>
                <w:rFonts w:ascii="Arial" w:cs="Arial" w:eastAsia="Arial" w:hAnsi="Arial"/>
                <w:sz w:val="16"/>
                <w:szCs w:val="16"/>
                <w:color w:val="auto"/>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July 27,</w:t>
            </w:r>
          </w:p>
        </w:tc>
        <w:tc>
          <w:tcPr>
            <w:tcW w:w="800" w:type="dxa"/>
            <w:vAlign w:val="bottom"/>
          </w:tcPr>
          <w:p>
            <w:pPr>
              <w:jc w:val="center"/>
              <w:ind w:left="117"/>
              <w:spacing w:after="0"/>
              <w:rPr>
                <w:sz w:val="20"/>
                <w:szCs w:val="20"/>
                <w:color w:val="auto"/>
              </w:rPr>
            </w:pPr>
            <w:r>
              <w:rPr>
                <w:rFonts w:ascii="Arial" w:cs="Arial" w:eastAsia="Arial" w:hAnsi="Arial"/>
                <w:sz w:val="16"/>
                <w:szCs w:val="16"/>
                <w:color w:val="auto"/>
                <w:w w:val="99"/>
              </w:rPr>
              <w:t>10.10</w:t>
            </w:r>
          </w:p>
        </w:tc>
      </w:tr>
      <w:tr>
        <w:trPr>
          <w:trHeight w:val="239"/>
        </w:trPr>
        <w:tc>
          <w:tcPr>
            <w:tcW w:w="6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800" w:type="dxa"/>
            <w:vAlign w:val="bottom"/>
          </w:tcPr>
          <w:p>
            <w:pPr>
              <w:spacing w:after="0"/>
              <w:rPr>
                <w:sz w:val="20"/>
                <w:szCs w:val="20"/>
                <w:color w:val="auto"/>
              </w:rPr>
            </w:pPr>
          </w:p>
        </w:tc>
      </w:tr>
      <w:tr>
        <w:trPr>
          <w:trHeight w:val="774"/>
        </w:trPr>
        <w:tc>
          <w:tcPr>
            <w:tcW w:w="660" w:type="dxa"/>
            <w:vAlign w:val="bottom"/>
          </w:tcPr>
          <w:p>
            <w:pPr>
              <w:jc w:val="center"/>
              <w:ind w:right="157"/>
              <w:spacing w:after="0"/>
              <w:rPr>
                <w:sz w:val="20"/>
                <w:szCs w:val="20"/>
                <w:color w:val="auto"/>
              </w:rPr>
            </w:pPr>
            <w:r>
              <w:rPr>
                <w:rFonts w:ascii="Arial" w:cs="Arial" w:eastAsia="Arial" w:hAnsi="Arial"/>
                <w:sz w:val="16"/>
                <w:szCs w:val="16"/>
                <w:color w:val="auto"/>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July 27,</w:t>
            </w:r>
          </w:p>
        </w:tc>
        <w:tc>
          <w:tcPr>
            <w:tcW w:w="800" w:type="dxa"/>
            <w:vAlign w:val="bottom"/>
          </w:tcPr>
          <w:p>
            <w:pPr>
              <w:jc w:val="center"/>
              <w:ind w:left="117"/>
              <w:spacing w:after="0"/>
              <w:rPr>
                <w:sz w:val="20"/>
                <w:szCs w:val="20"/>
                <w:color w:val="auto"/>
              </w:rPr>
            </w:pPr>
            <w:r>
              <w:rPr>
                <w:rFonts w:ascii="Arial" w:cs="Arial" w:eastAsia="Arial" w:hAnsi="Arial"/>
                <w:sz w:val="16"/>
                <w:szCs w:val="16"/>
                <w:color w:val="auto"/>
                <w:w w:val="99"/>
              </w:rPr>
              <w:t>10.11</w:t>
            </w:r>
          </w:p>
        </w:tc>
      </w:tr>
      <w:tr>
        <w:trPr>
          <w:trHeight w:val="239"/>
        </w:trPr>
        <w:tc>
          <w:tcPr>
            <w:tcW w:w="6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800" w:type="dxa"/>
            <w:vAlign w:val="bottom"/>
          </w:tcPr>
          <w:p>
            <w:pPr>
              <w:spacing w:after="0"/>
              <w:rPr>
                <w:sz w:val="20"/>
                <w:szCs w:val="20"/>
                <w:color w:val="auto"/>
              </w:rPr>
            </w:pPr>
          </w:p>
        </w:tc>
      </w:tr>
      <w:tr>
        <w:trPr>
          <w:trHeight w:val="774"/>
        </w:trPr>
        <w:tc>
          <w:tcPr>
            <w:tcW w:w="660" w:type="dxa"/>
            <w:vAlign w:val="bottom"/>
          </w:tcPr>
          <w:p>
            <w:pPr>
              <w:jc w:val="center"/>
              <w:ind w:right="157"/>
              <w:spacing w:after="0"/>
              <w:rPr>
                <w:sz w:val="20"/>
                <w:szCs w:val="20"/>
                <w:color w:val="auto"/>
              </w:rPr>
            </w:pPr>
            <w:r>
              <w:rPr>
                <w:rFonts w:ascii="Arial" w:cs="Arial" w:eastAsia="Arial" w:hAnsi="Arial"/>
                <w:sz w:val="16"/>
                <w:szCs w:val="16"/>
                <w:color w:val="auto"/>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July 27,</w:t>
            </w:r>
          </w:p>
        </w:tc>
        <w:tc>
          <w:tcPr>
            <w:tcW w:w="800" w:type="dxa"/>
            <w:vAlign w:val="bottom"/>
          </w:tcPr>
          <w:p>
            <w:pPr>
              <w:jc w:val="center"/>
              <w:ind w:left="117"/>
              <w:spacing w:after="0"/>
              <w:rPr>
                <w:sz w:val="20"/>
                <w:szCs w:val="20"/>
                <w:color w:val="auto"/>
              </w:rPr>
            </w:pPr>
            <w:r>
              <w:rPr>
                <w:rFonts w:ascii="Arial" w:cs="Arial" w:eastAsia="Arial" w:hAnsi="Arial"/>
                <w:sz w:val="16"/>
                <w:szCs w:val="16"/>
                <w:color w:val="auto"/>
                <w:w w:val="99"/>
              </w:rPr>
              <w:t>10.12</w:t>
            </w:r>
          </w:p>
        </w:tc>
      </w:tr>
      <w:tr>
        <w:trPr>
          <w:trHeight w:val="239"/>
        </w:trPr>
        <w:tc>
          <w:tcPr>
            <w:tcW w:w="6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800" w:type="dxa"/>
            <w:vAlign w:val="bottom"/>
          </w:tcPr>
          <w:p>
            <w:pPr>
              <w:spacing w:after="0"/>
              <w:rPr>
                <w:sz w:val="20"/>
                <w:szCs w:val="20"/>
                <w:color w:val="auto"/>
              </w:rPr>
            </w:pPr>
          </w:p>
        </w:tc>
      </w:tr>
      <w:tr>
        <w:trPr>
          <w:trHeight w:val="774"/>
        </w:trPr>
        <w:tc>
          <w:tcPr>
            <w:tcW w:w="660" w:type="dxa"/>
            <w:vAlign w:val="bottom"/>
          </w:tcPr>
          <w:p>
            <w:pPr>
              <w:jc w:val="center"/>
              <w:ind w:right="137"/>
              <w:spacing w:after="0"/>
              <w:rPr>
                <w:sz w:val="20"/>
                <w:szCs w:val="20"/>
                <w:color w:val="auto"/>
              </w:rPr>
            </w:pPr>
            <w:r>
              <w:rPr>
                <w:rFonts w:ascii="Arial" w:cs="Arial" w:eastAsia="Arial" w:hAnsi="Arial"/>
                <w:sz w:val="16"/>
                <w:szCs w:val="16"/>
                <w:color w:val="auto"/>
              </w:rPr>
              <w:t>10-Q</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April 30,</w:t>
            </w:r>
          </w:p>
        </w:tc>
        <w:tc>
          <w:tcPr>
            <w:tcW w:w="800" w:type="dxa"/>
            <w:vAlign w:val="bottom"/>
          </w:tcPr>
          <w:p>
            <w:pPr>
              <w:jc w:val="center"/>
              <w:ind w:left="117"/>
              <w:spacing w:after="0"/>
              <w:rPr>
                <w:sz w:val="20"/>
                <w:szCs w:val="20"/>
                <w:color w:val="auto"/>
              </w:rPr>
            </w:pPr>
            <w:r>
              <w:rPr>
                <w:rFonts w:ascii="Arial" w:cs="Arial" w:eastAsia="Arial" w:hAnsi="Arial"/>
                <w:sz w:val="16"/>
                <w:szCs w:val="16"/>
                <w:color w:val="auto"/>
              </w:rPr>
              <w:t>10.1</w:t>
            </w:r>
          </w:p>
        </w:tc>
      </w:tr>
      <w:tr>
        <w:trPr>
          <w:trHeight w:val="239"/>
        </w:trPr>
        <w:tc>
          <w:tcPr>
            <w:tcW w:w="6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2024</w:t>
            </w:r>
          </w:p>
        </w:tc>
        <w:tc>
          <w:tcPr>
            <w:tcW w:w="800" w:type="dxa"/>
            <w:vAlign w:val="bottom"/>
          </w:tcPr>
          <w:p>
            <w:pPr>
              <w:spacing w:after="0"/>
              <w:rPr>
                <w:sz w:val="20"/>
                <w:szCs w:val="20"/>
                <w:color w:val="auto"/>
              </w:rPr>
            </w:pPr>
          </w:p>
        </w:tc>
      </w:tr>
    </w:tbl>
    <w:p>
      <w:pPr>
        <w:sectPr>
          <w:pgSz w:w="11900" w:h="16838" w:orient="portrait"/>
          <w:cols w:equalWidth="0" w:num="2">
            <w:col w:w="5220" w:space="460"/>
            <w:col w:w="3799"/>
          </w:cols>
          <w:pgMar w:left="980" w:top="648" w:right="1440"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gridSpan w:val="42"/>
          </w:tcPr>
          <w:p>
            <w:pPr>
              <w:spacing w:after="0"/>
              <w:rPr>
                <w:rFonts w:ascii="Arial" w:cs="Arial" w:eastAsia="Arial" w:hAnsi="Arial"/>
                <w:sz w:val="18"/>
                <w:szCs w:val="18"/>
                <w:color w:val="0000EE"/>
              </w:rPr>
            </w:pPr>
            <w:hyperlink r:id="rId165">
              <w:r>
                <w:rPr>
                  <w:rFonts w:ascii="Arial" w:cs="Arial" w:eastAsia="Arial" w:hAnsi="Arial"/>
                  <w:sz w:val="18"/>
                  <w:szCs w:val="18"/>
                  <w:color w:val="0000EE"/>
                </w:rPr>
                <w:t>2022, by and between Bioprojet Société Civile</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80" w:type="dxa"/>
            <w:vAlign w:val="bottom"/>
            <w:tcBorders>
              <w:top w:val="single" w:sz="8" w:color="0000EE"/>
              <w:bottom w:val="single" w:sz="8" w:color="0000EE"/>
            </w:tcBorders>
            <w:gridSpan w:val="28"/>
          </w:tcPr>
          <w:p>
            <w:pPr>
              <w:spacing w:after="0" w:line="182" w:lineRule="exact"/>
              <w:rPr>
                <w:rFonts w:ascii="Arial" w:cs="Arial" w:eastAsia="Arial" w:hAnsi="Arial"/>
                <w:sz w:val="18"/>
                <w:szCs w:val="18"/>
                <w:color w:val="0000EE"/>
                <w:w w:val="97"/>
              </w:rPr>
            </w:pPr>
            <w:hyperlink r:id="rId165">
              <w:r>
                <w:rPr>
                  <w:rFonts w:ascii="Arial" w:cs="Arial" w:eastAsia="Arial" w:hAnsi="Arial"/>
                  <w:sz w:val="18"/>
                  <w:szCs w:val="18"/>
                  <w:color w:val="0000EE"/>
                  <w:w w:val="97"/>
                </w:rPr>
                <w:t>de Recherche and Harmony Biosciences, LLC.</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10.16</w:t>
            </w:r>
          </w:p>
        </w:tc>
        <w:tc>
          <w:tcPr>
            <w:tcW w:w="40" w:type="dxa"/>
            <w:vAlign w:val="bottom"/>
          </w:tcPr>
          <w:p>
            <w:pPr>
              <w:spacing w:after="0"/>
              <w:rPr>
                <w:sz w:val="24"/>
                <w:szCs w:val="24"/>
                <w:color w:val="auto"/>
              </w:rPr>
            </w:pPr>
          </w:p>
        </w:tc>
        <w:tc>
          <w:tcPr>
            <w:tcW w:w="3960" w:type="dxa"/>
            <w:vAlign w:val="bottom"/>
            <w:gridSpan w:val="42"/>
          </w:tcPr>
          <w:p>
            <w:pPr>
              <w:spacing w:after="0"/>
              <w:rPr>
                <w:rFonts w:ascii="Arial" w:cs="Arial" w:eastAsia="Arial" w:hAnsi="Arial"/>
                <w:sz w:val="18"/>
                <w:szCs w:val="18"/>
                <w:color w:val="0000EE"/>
              </w:rPr>
            </w:pPr>
            <w:hyperlink r:id="rId167">
              <w:r>
                <w:rPr>
                  <w:rFonts w:ascii="Arial" w:cs="Arial" w:eastAsia="Arial" w:hAnsi="Arial"/>
                  <w:sz w:val="18"/>
                  <w:szCs w:val="18"/>
                  <w:color w:val="0000EE"/>
                </w:rPr>
                <w:t>Right of Use Agreement, dated November 1,</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40" w:type="dxa"/>
            <w:vAlign w:val="bottom"/>
            <w:tcBorders>
              <w:top w:val="single" w:sz="8" w:color="0000EE"/>
              <w:bottom w:val="single" w:sz="8" w:color="0000EE"/>
            </w:tcBorders>
            <w:gridSpan w:val="23"/>
          </w:tcPr>
          <w:p>
            <w:pPr>
              <w:spacing w:after="0" w:line="182" w:lineRule="exact"/>
              <w:rPr>
                <w:rFonts w:ascii="Arial" w:cs="Arial" w:eastAsia="Arial" w:hAnsi="Arial"/>
                <w:sz w:val="18"/>
                <w:szCs w:val="18"/>
                <w:color w:val="0000EE"/>
                <w:w w:val="98"/>
              </w:rPr>
            </w:pPr>
            <w:hyperlink r:id="rId167">
              <w:r>
                <w:rPr>
                  <w:rFonts w:ascii="Arial" w:cs="Arial" w:eastAsia="Arial" w:hAnsi="Arial"/>
                  <w:sz w:val="18"/>
                  <w:szCs w:val="18"/>
                  <w:color w:val="0000EE"/>
                  <w:w w:val="98"/>
                </w:rPr>
                <w:t>2019, by and between Paragon Biosciences,</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60" w:type="dxa"/>
            <w:vAlign w:val="bottom"/>
            <w:gridSpan w:val="24"/>
          </w:tcPr>
          <w:p>
            <w:pPr>
              <w:spacing w:after="0" w:line="182" w:lineRule="exact"/>
              <w:rPr>
                <w:rFonts w:ascii="Arial" w:cs="Arial" w:eastAsia="Arial" w:hAnsi="Arial"/>
                <w:sz w:val="18"/>
                <w:szCs w:val="18"/>
                <w:color w:val="0000EE"/>
              </w:rPr>
            </w:pPr>
            <w:hyperlink r:id="rId167">
              <w:r>
                <w:rPr>
                  <w:rFonts w:ascii="Arial" w:cs="Arial" w:eastAsia="Arial" w:hAnsi="Arial"/>
                  <w:sz w:val="18"/>
                  <w:szCs w:val="18"/>
                  <w:color w:val="0000EE"/>
                </w:rPr>
                <w:t>LLC and Harmony Biosciences, LLC.</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10.17</w:t>
            </w:r>
          </w:p>
        </w:tc>
        <w:tc>
          <w:tcPr>
            <w:tcW w:w="40" w:type="dxa"/>
            <w:vAlign w:val="bottom"/>
          </w:tcPr>
          <w:p>
            <w:pPr>
              <w:spacing w:after="0"/>
              <w:rPr>
                <w:sz w:val="24"/>
                <w:szCs w:val="24"/>
                <w:color w:val="auto"/>
              </w:rPr>
            </w:pPr>
          </w:p>
        </w:tc>
        <w:tc>
          <w:tcPr>
            <w:tcW w:w="3960" w:type="dxa"/>
            <w:vAlign w:val="bottom"/>
            <w:gridSpan w:val="42"/>
          </w:tcPr>
          <w:p>
            <w:pPr>
              <w:spacing w:after="0"/>
              <w:rPr>
                <w:rFonts w:ascii="Arial" w:cs="Arial" w:eastAsia="Arial" w:hAnsi="Arial"/>
                <w:sz w:val="18"/>
                <w:szCs w:val="18"/>
                <w:color w:val="0000EE"/>
              </w:rPr>
            </w:pPr>
            <w:hyperlink r:id="rId168">
              <w:r>
                <w:rPr>
                  <w:rFonts w:ascii="Arial" w:cs="Arial" w:eastAsia="Arial" w:hAnsi="Arial"/>
                  <w:sz w:val="18"/>
                  <w:szCs w:val="18"/>
                  <w:color w:val="0000EE"/>
                </w:rPr>
                <w:t>Second Amended and Restated Investors’</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6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rPr>
            </w:pPr>
            <w:hyperlink r:id="rId168">
              <w:r>
                <w:rPr>
                  <w:rFonts w:ascii="Arial" w:cs="Arial" w:eastAsia="Arial" w:hAnsi="Arial"/>
                  <w:sz w:val="18"/>
                  <w:szCs w:val="18"/>
                  <w:color w:val="0000EE"/>
                </w:rPr>
                <w:t>Rights Agreement, dated August 9, 2019,</w:t>
              </w:r>
            </w:hyperlink>
          </w:p>
        </w:tc>
        <w:tc>
          <w:tcPr>
            <w:tcW w:w="180" w:type="dxa"/>
            <w:vAlign w:val="bottom"/>
            <w:tcBorders>
              <w:bottom w:val="single" w:sz="8" w:color="0000EE"/>
            </w:tcBorders>
            <w:gridSpan w:val="6"/>
          </w:tcPr>
          <w:p>
            <w:pPr>
              <w:spacing w:after="0" w:line="182" w:lineRule="exact"/>
              <w:rPr>
                <w:rFonts w:ascii="Arial" w:cs="Arial" w:eastAsia="Arial" w:hAnsi="Arial"/>
                <w:sz w:val="18"/>
                <w:szCs w:val="18"/>
                <w:color w:val="0000EE"/>
                <w:w w:val="83"/>
              </w:rPr>
            </w:pPr>
            <w:hyperlink r:id="rId168">
              <w:r>
                <w:rPr>
                  <w:rFonts w:ascii="Arial" w:cs="Arial" w:eastAsia="Arial" w:hAnsi="Arial"/>
                  <w:sz w:val="18"/>
                  <w:szCs w:val="18"/>
                  <w:color w:val="0000EE"/>
                  <w:w w:val="83"/>
                </w:rPr>
                <w:t>by</w:t>
              </w:r>
            </w:hyperlink>
          </w:p>
        </w:tc>
        <w:tc>
          <w:tcPr>
            <w:tcW w:w="42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60" w:type="dxa"/>
            <w:vAlign w:val="bottom"/>
            <w:gridSpan w:val="42"/>
          </w:tcPr>
          <w:p>
            <w:pPr>
              <w:spacing w:after="0" w:line="182" w:lineRule="exact"/>
              <w:rPr>
                <w:rFonts w:ascii="Arial" w:cs="Arial" w:eastAsia="Arial" w:hAnsi="Arial"/>
                <w:sz w:val="18"/>
                <w:szCs w:val="18"/>
                <w:color w:val="0000EE"/>
              </w:rPr>
            </w:pPr>
            <w:hyperlink r:id="rId168">
              <w:r>
                <w:rPr>
                  <w:rFonts w:ascii="Arial" w:cs="Arial" w:eastAsia="Arial" w:hAnsi="Arial"/>
                  <w:sz w:val="18"/>
                  <w:szCs w:val="18"/>
                  <w:color w:val="0000EE"/>
                </w:rPr>
                <w:t>and among the Registrant and the other parties</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20" w:type="dxa"/>
            <w:vAlign w:val="bottom"/>
            <w:tcBorders>
              <w:top w:val="single" w:sz="8" w:color="0000EE"/>
            </w:tcBorders>
            <w:gridSpan w:val="35"/>
          </w:tcPr>
          <w:p>
            <w:pPr>
              <w:spacing w:after="0" w:line="182" w:lineRule="exact"/>
              <w:rPr>
                <w:rFonts w:ascii="Arial" w:cs="Arial" w:eastAsia="Arial" w:hAnsi="Arial"/>
                <w:sz w:val="18"/>
                <w:szCs w:val="18"/>
                <w:color w:val="0000EE"/>
              </w:rPr>
            </w:pPr>
            <w:hyperlink r:id="rId168">
              <w:r>
                <w:rPr>
                  <w:rFonts w:ascii="Arial" w:cs="Arial" w:eastAsia="Arial" w:hAnsi="Arial"/>
                  <w:sz w:val="18"/>
                  <w:szCs w:val="18"/>
                  <w:color w:val="0000EE"/>
                </w:rPr>
                <w:t>thereto.</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10.18*</w:t>
            </w:r>
          </w:p>
        </w:tc>
        <w:tc>
          <w:tcPr>
            <w:tcW w:w="40" w:type="dxa"/>
            <w:vAlign w:val="bottom"/>
          </w:tcPr>
          <w:p>
            <w:pPr>
              <w:spacing w:after="0"/>
              <w:rPr>
                <w:sz w:val="24"/>
                <w:szCs w:val="24"/>
                <w:color w:val="auto"/>
              </w:rPr>
            </w:pPr>
          </w:p>
        </w:tc>
        <w:tc>
          <w:tcPr>
            <w:tcW w:w="3960" w:type="dxa"/>
            <w:vAlign w:val="bottom"/>
            <w:gridSpan w:val="42"/>
          </w:tcPr>
          <w:p>
            <w:pPr>
              <w:spacing w:after="0"/>
              <w:rPr>
                <w:rFonts w:ascii="Arial" w:cs="Arial" w:eastAsia="Arial" w:hAnsi="Arial"/>
                <w:sz w:val="18"/>
                <w:szCs w:val="18"/>
                <w:color w:val="0000EE"/>
              </w:rPr>
            </w:pPr>
            <w:hyperlink r:id="rId169">
              <w:r>
                <w:rPr>
                  <w:rFonts w:ascii="Arial" w:cs="Arial" w:eastAsia="Arial" w:hAnsi="Arial"/>
                  <w:sz w:val="18"/>
                  <w:szCs w:val="18"/>
                  <w:color w:val="0000EE"/>
                </w:rPr>
                <w:t>Separation Agreement by and between Jeffrey</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2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r:id="rId169">
              <w:r>
                <w:rPr>
                  <w:rFonts w:ascii="Arial" w:cs="Arial" w:eastAsia="Arial" w:hAnsi="Arial"/>
                  <w:sz w:val="18"/>
                  <w:szCs w:val="18"/>
                  <w:color w:val="0000EE"/>
                </w:rPr>
                <w:t>Dierks, Harmony Biosciences Holdings, Inc.,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4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69">
              <w:r>
                <w:rPr>
                  <w:rFonts w:ascii="Arial" w:cs="Arial" w:eastAsia="Arial" w:hAnsi="Arial"/>
                  <w:sz w:val="18"/>
                  <w:szCs w:val="18"/>
                  <w:color w:val="0000EE"/>
                </w:rPr>
                <w:t>Harmony Biosciences, LLC, and Harmony</w:t>
              </w:r>
            </w:hyperlink>
          </w:p>
        </w:tc>
        <w:tc>
          <w:tcPr>
            <w:tcW w:w="4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60" w:type="dxa"/>
            <w:vAlign w:val="bottom"/>
            <w:gridSpan w:val="42"/>
          </w:tcPr>
          <w:p>
            <w:pPr>
              <w:spacing w:after="0" w:line="182" w:lineRule="exact"/>
              <w:rPr>
                <w:rFonts w:ascii="Arial" w:cs="Arial" w:eastAsia="Arial" w:hAnsi="Arial"/>
                <w:sz w:val="18"/>
                <w:szCs w:val="18"/>
                <w:color w:val="0000EE"/>
              </w:rPr>
            </w:pPr>
            <w:hyperlink r:id="rId169">
              <w:r>
                <w:rPr>
                  <w:rFonts w:ascii="Arial" w:cs="Arial" w:eastAsia="Arial" w:hAnsi="Arial"/>
                  <w:sz w:val="18"/>
                  <w:szCs w:val="18"/>
                  <w:color w:val="0000EE"/>
                </w:rPr>
                <w:t>Biosciences Management, Inc., dated March 20,</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3"/>
              </w:rPr>
            </w:pPr>
            <w:hyperlink r:id="rId169">
              <w:r>
                <w:rPr>
                  <w:rFonts w:ascii="Arial" w:cs="Arial" w:eastAsia="Arial" w:hAnsi="Arial"/>
                  <w:sz w:val="18"/>
                  <w:szCs w:val="18"/>
                  <w:color w:val="0000EE"/>
                  <w:w w:val="93"/>
                </w:rPr>
                <w:t>2025.</w:t>
              </w:r>
            </w:hyperlink>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10.19*</w:t>
            </w:r>
          </w:p>
        </w:tc>
        <w:tc>
          <w:tcPr>
            <w:tcW w:w="40" w:type="dxa"/>
            <w:vAlign w:val="bottom"/>
          </w:tcPr>
          <w:p>
            <w:pPr>
              <w:spacing w:after="0"/>
              <w:rPr>
                <w:sz w:val="24"/>
                <w:szCs w:val="24"/>
                <w:color w:val="auto"/>
              </w:rPr>
            </w:pPr>
          </w:p>
        </w:tc>
        <w:tc>
          <w:tcPr>
            <w:tcW w:w="3960" w:type="dxa"/>
            <w:vAlign w:val="bottom"/>
            <w:gridSpan w:val="42"/>
          </w:tcPr>
          <w:p>
            <w:pPr>
              <w:spacing w:after="0"/>
              <w:rPr>
                <w:rFonts w:ascii="Arial" w:cs="Arial" w:eastAsia="Arial" w:hAnsi="Arial"/>
                <w:sz w:val="18"/>
                <w:szCs w:val="18"/>
                <w:color w:val="0000EE"/>
              </w:rPr>
            </w:pPr>
            <w:hyperlink r:id="rId170">
              <w:r>
                <w:rPr>
                  <w:rFonts w:ascii="Arial" w:cs="Arial" w:eastAsia="Arial" w:hAnsi="Arial"/>
                  <w:sz w:val="18"/>
                  <w:szCs w:val="18"/>
                  <w:color w:val="0000EE"/>
                </w:rPr>
                <w:t>Employment Agreement, dated March 4, 2021,</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40" w:type="dxa"/>
            <w:vAlign w:val="bottom"/>
            <w:tcBorders>
              <w:top w:val="single" w:sz="8" w:color="0000EE"/>
              <w:bottom w:val="single" w:sz="8" w:color="0000EE"/>
            </w:tcBorders>
            <w:gridSpan w:val="31"/>
          </w:tcPr>
          <w:p>
            <w:pPr>
              <w:spacing w:after="0" w:line="182" w:lineRule="exact"/>
              <w:rPr>
                <w:rFonts w:ascii="Arial" w:cs="Arial" w:eastAsia="Arial" w:hAnsi="Arial"/>
                <w:sz w:val="18"/>
                <w:szCs w:val="18"/>
                <w:color w:val="0000EE"/>
                <w:w w:val="96"/>
              </w:rPr>
            </w:pPr>
            <w:hyperlink r:id="rId170">
              <w:r>
                <w:rPr>
                  <w:rFonts w:ascii="Arial" w:cs="Arial" w:eastAsia="Arial" w:hAnsi="Arial"/>
                  <w:sz w:val="18"/>
                  <w:szCs w:val="18"/>
                  <w:color w:val="0000EE"/>
                  <w:w w:val="96"/>
                </w:rPr>
                <w:t>between Harmony Biosciences, LLC and Sandip</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20" w:type="dxa"/>
            <w:vAlign w:val="bottom"/>
            <w:gridSpan w:val="40"/>
          </w:tcPr>
          <w:p>
            <w:pPr>
              <w:spacing w:after="0" w:line="182" w:lineRule="exact"/>
              <w:rPr>
                <w:rFonts w:ascii="Arial" w:cs="Arial" w:eastAsia="Arial" w:hAnsi="Arial"/>
                <w:sz w:val="18"/>
                <w:szCs w:val="18"/>
                <w:color w:val="0000EE"/>
              </w:rPr>
            </w:pPr>
            <w:hyperlink r:id="rId170">
              <w:r>
                <w:rPr>
                  <w:rFonts w:ascii="Arial" w:cs="Arial" w:eastAsia="Arial" w:hAnsi="Arial"/>
                  <w:sz w:val="18"/>
                  <w:szCs w:val="18"/>
                  <w:color w:val="0000EE"/>
                </w:rPr>
                <w:t>Kapadia.</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10.20*</w:t>
            </w:r>
          </w:p>
        </w:tc>
        <w:tc>
          <w:tcPr>
            <w:tcW w:w="40" w:type="dxa"/>
            <w:vAlign w:val="bottom"/>
          </w:tcPr>
          <w:p>
            <w:pPr>
              <w:spacing w:after="0"/>
              <w:rPr>
                <w:sz w:val="24"/>
                <w:szCs w:val="24"/>
                <w:color w:val="auto"/>
              </w:rPr>
            </w:pPr>
          </w:p>
        </w:tc>
        <w:tc>
          <w:tcPr>
            <w:tcW w:w="3960" w:type="dxa"/>
            <w:vAlign w:val="bottom"/>
            <w:gridSpan w:val="42"/>
          </w:tcPr>
          <w:p>
            <w:pPr>
              <w:spacing w:after="0"/>
              <w:rPr>
                <w:rFonts w:ascii="Arial" w:cs="Arial" w:eastAsia="Arial" w:hAnsi="Arial"/>
                <w:sz w:val="18"/>
                <w:szCs w:val="18"/>
                <w:color w:val="0000EE"/>
              </w:rPr>
            </w:pPr>
            <w:hyperlink r:id="rId171">
              <w:r>
                <w:rPr>
                  <w:rFonts w:ascii="Arial" w:cs="Arial" w:eastAsia="Arial" w:hAnsi="Arial"/>
                  <w:sz w:val="18"/>
                  <w:szCs w:val="18"/>
                  <w:color w:val="0000EE"/>
                </w:rPr>
                <w:t>Employment Letter between Harmony</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2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171">
              <w:r>
                <w:rPr>
                  <w:rFonts w:ascii="Arial" w:cs="Arial" w:eastAsia="Arial" w:hAnsi="Arial"/>
                  <w:sz w:val="18"/>
                  <w:szCs w:val="18"/>
                  <w:color w:val="0000EE"/>
                </w:rPr>
                <w:t>Biosciences, LLC. and Kumar Budur,</w:t>
              </w:r>
            </w:hyperlink>
          </w:p>
        </w:tc>
        <w:tc>
          <w:tcPr>
            <w:tcW w:w="940" w:type="dxa"/>
            <w:vAlign w:val="bottom"/>
            <w:gridSpan w:val="28"/>
          </w:tcPr>
          <w:p>
            <w:pPr>
              <w:spacing w:after="0" w:line="182" w:lineRule="exact"/>
              <w:rPr>
                <w:rFonts w:ascii="Arial" w:cs="Arial" w:eastAsia="Arial" w:hAnsi="Arial"/>
                <w:sz w:val="18"/>
                <w:szCs w:val="18"/>
                <w:color w:val="0000EE"/>
              </w:rPr>
            </w:pPr>
            <w:hyperlink r:id="rId171">
              <w:r>
                <w:rPr>
                  <w:rFonts w:ascii="Arial" w:cs="Arial" w:eastAsia="Arial" w:hAnsi="Arial"/>
                  <w:sz w:val="18"/>
                  <w:szCs w:val="18"/>
                  <w:color w:val="0000EE"/>
                </w:rPr>
                <w:t>as</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7"/>
              </w:rPr>
            </w:pPr>
            <w:hyperlink r:id="rId171">
              <w:r>
                <w:rPr>
                  <w:rFonts w:ascii="Arial" w:cs="Arial" w:eastAsia="Arial" w:hAnsi="Arial"/>
                  <w:sz w:val="18"/>
                  <w:szCs w:val="18"/>
                  <w:color w:val="0000EE"/>
                  <w:w w:val="97"/>
                </w:rPr>
                <w:t>amended.</w:t>
              </w:r>
            </w:hyperlink>
          </w:p>
        </w:tc>
        <w:tc>
          <w:tcPr>
            <w:tcW w:w="2380" w:type="dxa"/>
            <w:vAlign w:val="bottom"/>
            <w:tcBorders>
              <w:top w:val="single" w:sz="8" w:color="0000EE"/>
            </w:tcBorders>
            <w:gridSpan w:val="10"/>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10.21</w:t>
            </w:r>
          </w:p>
        </w:tc>
        <w:tc>
          <w:tcPr>
            <w:tcW w:w="40" w:type="dxa"/>
            <w:vAlign w:val="bottom"/>
          </w:tcPr>
          <w:p>
            <w:pPr>
              <w:spacing w:after="0"/>
              <w:rPr>
                <w:sz w:val="24"/>
                <w:szCs w:val="24"/>
                <w:color w:val="auto"/>
              </w:rPr>
            </w:pPr>
          </w:p>
        </w:tc>
        <w:tc>
          <w:tcPr>
            <w:tcW w:w="3960" w:type="dxa"/>
            <w:vAlign w:val="bottom"/>
            <w:gridSpan w:val="42"/>
          </w:tcPr>
          <w:p>
            <w:pPr>
              <w:spacing w:after="0"/>
              <w:rPr>
                <w:rFonts w:ascii="Arial" w:cs="Arial" w:eastAsia="Arial" w:hAnsi="Arial"/>
                <w:sz w:val="18"/>
                <w:szCs w:val="18"/>
                <w:color w:val="0000EE"/>
              </w:rPr>
            </w:pPr>
            <w:hyperlink r:id="rId172">
              <w:r>
                <w:rPr>
                  <w:rFonts w:ascii="Arial" w:cs="Arial" w:eastAsia="Arial" w:hAnsi="Arial"/>
                  <w:sz w:val="18"/>
                  <w:szCs w:val="18"/>
                  <w:color w:val="0000EE"/>
                </w:rPr>
                <w:t>Restricted Stock Unit Award Agreement dated</w:t>
              </w:r>
            </w:hyperlink>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8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9"/>
              </w:rPr>
            </w:pPr>
            <w:hyperlink r:id="rId172">
              <w:r>
                <w:rPr>
                  <w:rFonts w:ascii="Arial" w:cs="Arial" w:eastAsia="Arial" w:hAnsi="Arial"/>
                  <w:sz w:val="18"/>
                  <w:szCs w:val="18"/>
                  <w:color w:val="0000EE"/>
                  <w:w w:val="99"/>
                </w:rPr>
                <w:t>October 4, 2023 with Sandip Kapadia</w:t>
              </w:r>
            </w:hyperlink>
          </w:p>
        </w:tc>
        <w:tc>
          <w:tcPr>
            <w:tcW w:w="680" w:type="dxa"/>
            <w:vAlign w:val="bottom"/>
            <w:tcBorders>
              <w:top w:val="single" w:sz="8" w:color="0000EE"/>
            </w:tcBorders>
            <w:gridSpan w:val="14"/>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10.22</w:t>
            </w:r>
          </w:p>
        </w:tc>
        <w:tc>
          <w:tcPr>
            <w:tcW w:w="40" w:type="dxa"/>
            <w:vAlign w:val="bottom"/>
          </w:tcPr>
          <w:p>
            <w:pPr>
              <w:spacing w:after="0"/>
              <w:rPr>
                <w:sz w:val="24"/>
                <w:szCs w:val="24"/>
                <w:color w:val="auto"/>
              </w:rPr>
            </w:pPr>
          </w:p>
        </w:tc>
        <w:tc>
          <w:tcPr>
            <w:tcW w:w="3960" w:type="dxa"/>
            <w:vAlign w:val="bottom"/>
            <w:gridSpan w:val="42"/>
          </w:tcPr>
          <w:p>
            <w:pPr>
              <w:spacing w:after="0"/>
              <w:rPr>
                <w:rFonts w:ascii="Arial" w:cs="Arial" w:eastAsia="Arial" w:hAnsi="Arial"/>
                <w:sz w:val="18"/>
                <w:szCs w:val="18"/>
                <w:color w:val="0000EE"/>
              </w:rPr>
            </w:pPr>
            <w:hyperlink r:id="rId173">
              <w:r>
                <w:rPr>
                  <w:rFonts w:ascii="Arial" w:cs="Arial" w:eastAsia="Arial" w:hAnsi="Arial"/>
                  <w:sz w:val="18"/>
                  <w:szCs w:val="18"/>
                  <w:color w:val="0000EE"/>
                </w:rPr>
                <w:t>Credit Agreement, dated as of July 26, 2023, by</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80" w:type="dxa"/>
            <w:vAlign w:val="bottom"/>
            <w:tcBorders>
              <w:top w:val="single" w:sz="8" w:color="0000EE"/>
            </w:tcBorders>
            <w:gridSpan w:val="38"/>
          </w:tcPr>
          <w:p>
            <w:pPr>
              <w:spacing w:after="0" w:line="182" w:lineRule="exact"/>
              <w:rPr>
                <w:rFonts w:ascii="Arial" w:cs="Arial" w:eastAsia="Arial" w:hAnsi="Arial"/>
                <w:sz w:val="18"/>
                <w:szCs w:val="18"/>
                <w:color w:val="0000EE"/>
              </w:rPr>
            </w:pPr>
            <w:hyperlink r:id="rId173">
              <w:r>
                <w:rPr>
                  <w:rFonts w:ascii="Arial" w:cs="Arial" w:eastAsia="Arial" w:hAnsi="Arial"/>
                  <w:sz w:val="18"/>
                  <w:szCs w:val="18"/>
                  <w:color w:val="0000EE"/>
                </w:rPr>
                <w:t>an among JPMorgan Chase Bank, N.A., as</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4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73">
              <w:r>
                <w:rPr>
                  <w:rFonts w:ascii="Arial" w:cs="Arial" w:eastAsia="Arial" w:hAnsi="Arial"/>
                  <w:sz w:val="18"/>
                  <w:szCs w:val="18"/>
                  <w:color w:val="0000EE"/>
                </w:rPr>
                <w:t>administrative agent, and the lenders from</w:t>
              </w:r>
            </w:hyperlink>
          </w:p>
        </w:tc>
        <w:tc>
          <w:tcPr>
            <w:tcW w:w="520" w:type="dxa"/>
            <w:vAlign w:val="bottom"/>
            <w:gridSpan w:val="22"/>
          </w:tcPr>
          <w:p>
            <w:pPr>
              <w:spacing w:after="0" w:line="182" w:lineRule="exact"/>
              <w:rPr>
                <w:rFonts w:ascii="Arial" w:cs="Arial" w:eastAsia="Arial" w:hAnsi="Arial"/>
                <w:sz w:val="18"/>
                <w:szCs w:val="18"/>
                <w:color w:val="0000EE"/>
              </w:rPr>
            </w:pPr>
            <w:hyperlink r:id="rId173">
              <w:r>
                <w:rPr>
                  <w:rFonts w:ascii="Arial" w:cs="Arial" w:eastAsia="Arial" w:hAnsi="Arial"/>
                  <w:sz w:val="18"/>
                  <w:szCs w:val="18"/>
                  <w:color w:val="0000EE"/>
                </w:rPr>
                <w:t>time</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Arial" w:cs="Arial" w:eastAsia="Arial" w:hAnsi="Arial"/>
                <w:sz w:val="18"/>
                <w:szCs w:val="18"/>
                <w:color w:val="auto"/>
              </w:rPr>
              <w:t>10.23</w:t>
            </w:r>
          </w:p>
        </w:tc>
        <w:tc>
          <w:tcPr>
            <w:tcW w:w="40" w:type="dxa"/>
            <w:vAlign w:val="bottom"/>
          </w:tcPr>
          <w:p>
            <w:pPr>
              <w:spacing w:after="0"/>
              <w:rPr>
                <w:sz w:val="15"/>
                <w:szCs w:val="15"/>
                <w:color w:val="auto"/>
              </w:rPr>
            </w:pPr>
          </w:p>
        </w:tc>
        <w:tc>
          <w:tcPr>
            <w:tcW w:w="3780" w:type="dxa"/>
            <w:vAlign w:val="bottom"/>
            <w:tcBorders>
              <w:top w:val="single" w:sz="8" w:color="0000EE"/>
            </w:tcBorders>
            <w:gridSpan w:val="33"/>
          </w:tcPr>
          <w:p>
            <w:pPr>
              <w:spacing w:after="0" w:line="182" w:lineRule="exact"/>
              <w:rPr>
                <w:rFonts w:ascii="Arial" w:cs="Arial" w:eastAsia="Arial" w:hAnsi="Arial"/>
                <w:sz w:val="18"/>
                <w:szCs w:val="18"/>
                <w:color w:val="0000EE"/>
              </w:rPr>
            </w:pPr>
            <w:hyperlink r:id="rId173">
              <w:r>
                <w:rPr>
                  <w:rFonts w:ascii="Arial" w:cs="Arial" w:eastAsia="Arial" w:hAnsi="Arial"/>
                  <w:sz w:val="18"/>
                  <w:szCs w:val="18"/>
                  <w:color w:val="0000EE"/>
                </w:rPr>
                <w:t>to time party thereto.</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7"/>
              </w:rPr>
            </w:pPr>
            <w:hyperlink r:id="rId174">
              <w:r>
                <w:rPr>
                  <w:rFonts w:ascii="Arial" w:cs="Arial" w:eastAsia="Arial" w:hAnsi="Arial"/>
                  <w:sz w:val="18"/>
                  <w:szCs w:val="18"/>
                  <w:color w:val="0000EE"/>
                  <w:w w:val="97"/>
                </w:rPr>
                <w:t>Guaranty, dated July</w:t>
              </w:r>
            </w:hyperlink>
          </w:p>
        </w:tc>
        <w:tc>
          <w:tcPr>
            <w:tcW w:w="2000" w:type="dxa"/>
            <w:vAlign w:val="bottom"/>
            <w:tcBorders>
              <w:bottom w:val="single" w:sz="8" w:color="0000EE"/>
            </w:tcBorders>
            <w:gridSpan w:val="18"/>
          </w:tcPr>
          <w:p>
            <w:pPr>
              <w:ind w:left="60"/>
              <w:spacing w:after="0" w:line="182" w:lineRule="exact"/>
              <w:rPr>
                <w:rFonts w:ascii="Arial" w:cs="Arial" w:eastAsia="Arial" w:hAnsi="Arial"/>
                <w:sz w:val="18"/>
                <w:szCs w:val="18"/>
                <w:color w:val="0000EE"/>
                <w:w w:val="98"/>
              </w:rPr>
            </w:pPr>
            <w:hyperlink r:id="rId174">
              <w:r>
                <w:rPr>
                  <w:rFonts w:ascii="Arial" w:cs="Arial" w:eastAsia="Arial" w:hAnsi="Arial"/>
                  <w:sz w:val="18"/>
                  <w:szCs w:val="18"/>
                  <w:color w:val="0000EE"/>
                  <w:w w:val="98"/>
                </w:rPr>
                <w:t>26, 2023, by and among</w:t>
              </w:r>
            </w:hyperlink>
          </w:p>
        </w:tc>
        <w:tc>
          <w:tcPr>
            <w:tcW w:w="32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60" w:type="dxa"/>
            <w:vAlign w:val="bottom"/>
            <w:tcBorders>
              <w:bottom w:val="single" w:sz="8" w:color="0000EE"/>
            </w:tcBorders>
            <w:gridSpan w:val="42"/>
          </w:tcPr>
          <w:p>
            <w:pPr>
              <w:spacing w:after="0" w:line="182" w:lineRule="exact"/>
              <w:rPr>
                <w:rFonts w:ascii="Arial" w:cs="Arial" w:eastAsia="Arial" w:hAnsi="Arial"/>
                <w:sz w:val="18"/>
                <w:szCs w:val="18"/>
                <w:color w:val="0000EE"/>
              </w:rPr>
            </w:pPr>
            <w:hyperlink r:id="rId174">
              <w:r>
                <w:rPr>
                  <w:rFonts w:ascii="Arial" w:cs="Arial" w:eastAsia="Arial" w:hAnsi="Arial"/>
                  <w:sz w:val="18"/>
                  <w:szCs w:val="18"/>
                  <w:color w:val="0000EE"/>
                </w:rPr>
                <w:t>each of the subsidiaries of Harmony Biosciences</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60" w:type="dxa"/>
            <w:vAlign w:val="bottom"/>
            <w:gridSpan w:val="42"/>
          </w:tcPr>
          <w:p>
            <w:pPr>
              <w:spacing w:after="0" w:line="182" w:lineRule="exact"/>
              <w:rPr>
                <w:rFonts w:ascii="Arial" w:cs="Arial" w:eastAsia="Arial" w:hAnsi="Arial"/>
                <w:sz w:val="18"/>
                <w:szCs w:val="18"/>
                <w:color w:val="0000EE"/>
              </w:rPr>
            </w:pPr>
            <w:hyperlink r:id="rId174">
              <w:r>
                <w:rPr>
                  <w:rFonts w:ascii="Arial" w:cs="Arial" w:eastAsia="Arial" w:hAnsi="Arial"/>
                  <w:sz w:val="18"/>
                  <w:szCs w:val="18"/>
                  <w:color w:val="0000EE"/>
                </w:rPr>
                <w:t>Holdings, Inc. and JPMorgan Chase Bank, N.A.,</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Arial" w:cs="Arial" w:eastAsia="Arial" w:hAnsi="Arial"/>
                <w:sz w:val="18"/>
                <w:szCs w:val="18"/>
                <w:color w:val="auto"/>
              </w:rPr>
              <w:t>10.24</w:t>
            </w:r>
          </w:p>
        </w:tc>
        <w:tc>
          <w:tcPr>
            <w:tcW w:w="40" w:type="dxa"/>
            <w:vAlign w:val="bottom"/>
          </w:tcPr>
          <w:p>
            <w:pPr>
              <w:spacing w:after="0"/>
              <w:rPr>
                <w:sz w:val="15"/>
                <w:szCs w:val="15"/>
                <w:color w:val="auto"/>
              </w:rPr>
            </w:pPr>
          </w:p>
        </w:tc>
        <w:tc>
          <w:tcPr>
            <w:tcW w:w="190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8"/>
              </w:rPr>
            </w:pPr>
            <w:hyperlink r:id="rId174">
              <w:r>
                <w:rPr>
                  <w:rFonts w:ascii="Arial" w:cs="Arial" w:eastAsia="Arial" w:hAnsi="Arial"/>
                  <w:sz w:val="18"/>
                  <w:szCs w:val="18"/>
                  <w:color w:val="0000EE"/>
                  <w:w w:val="98"/>
                </w:rPr>
                <w:t>as administrative agent.</w:t>
              </w:r>
            </w:hyperlink>
          </w:p>
        </w:tc>
        <w:tc>
          <w:tcPr>
            <w:tcW w:w="2000" w:type="dxa"/>
            <w:vAlign w:val="bottom"/>
            <w:tcBorders>
              <w:top w:val="single" w:sz="8" w:color="0000EE"/>
            </w:tcBorders>
            <w:gridSpan w:val="28"/>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3960" w:type="dxa"/>
            <w:vAlign w:val="bottom"/>
            <w:gridSpan w:val="42"/>
          </w:tcPr>
          <w:p>
            <w:pPr>
              <w:spacing w:after="0" w:line="182" w:lineRule="exact"/>
              <w:rPr>
                <w:rFonts w:ascii="Arial" w:cs="Arial" w:eastAsia="Arial" w:hAnsi="Arial"/>
                <w:sz w:val="18"/>
                <w:szCs w:val="18"/>
                <w:color w:val="0000EE"/>
              </w:rPr>
            </w:pPr>
            <w:hyperlink r:id="rId175">
              <w:r>
                <w:rPr>
                  <w:rFonts w:ascii="Arial" w:cs="Arial" w:eastAsia="Arial" w:hAnsi="Arial"/>
                  <w:sz w:val="18"/>
                  <w:szCs w:val="18"/>
                  <w:color w:val="0000EE"/>
                </w:rPr>
                <w:t>Pledge and Security Agreement, dated July 26,</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0" w:type="dxa"/>
            <w:vAlign w:val="bottom"/>
            <w:tcBorders>
              <w:top w:val="single" w:sz="8" w:color="0000EE"/>
            </w:tcBorders>
            <w:gridSpan w:val="34"/>
          </w:tcPr>
          <w:p>
            <w:pPr>
              <w:spacing w:after="0" w:line="182" w:lineRule="exact"/>
              <w:rPr>
                <w:rFonts w:ascii="Arial" w:cs="Arial" w:eastAsia="Arial" w:hAnsi="Arial"/>
                <w:sz w:val="18"/>
                <w:szCs w:val="18"/>
                <w:color w:val="0000EE"/>
              </w:rPr>
            </w:pPr>
            <w:hyperlink r:id="rId175">
              <w:r>
                <w:rPr>
                  <w:rFonts w:ascii="Arial" w:cs="Arial" w:eastAsia="Arial" w:hAnsi="Arial"/>
                  <w:sz w:val="18"/>
                  <w:szCs w:val="18"/>
                  <w:color w:val="0000EE"/>
                </w:rPr>
                <w:t>2023, by and among Harmony Biosciences</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2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175">
              <w:r>
                <w:rPr>
                  <w:rFonts w:ascii="Arial" w:cs="Arial" w:eastAsia="Arial" w:hAnsi="Arial"/>
                  <w:sz w:val="18"/>
                  <w:szCs w:val="18"/>
                  <w:color w:val="0000EE"/>
                </w:rPr>
                <w:t>Holdings, Inc. and each of the subsidiaries</w:t>
              </w:r>
            </w:hyperlink>
          </w:p>
        </w:tc>
        <w:tc>
          <w:tcPr>
            <w:tcW w:w="540" w:type="dxa"/>
            <w:vAlign w:val="bottom"/>
            <w:gridSpan w:val="23"/>
          </w:tcPr>
          <w:p>
            <w:pPr>
              <w:spacing w:after="0" w:line="182" w:lineRule="exact"/>
              <w:rPr>
                <w:rFonts w:ascii="Arial" w:cs="Arial" w:eastAsia="Arial" w:hAnsi="Arial"/>
                <w:sz w:val="18"/>
                <w:szCs w:val="18"/>
                <w:color w:val="0000EE"/>
              </w:rPr>
            </w:pPr>
            <w:hyperlink r:id="rId175">
              <w:r>
                <w:rPr>
                  <w:rFonts w:ascii="Arial" w:cs="Arial" w:eastAsia="Arial" w:hAnsi="Arial"/>
                  <w:sz w:val="18"/>
                  <w:szCs w:val="18"/>
                  <w:color w:val="0000EE"/>
                </w:rPr>
                <w:t>of</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4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rPr>
            </w:pPr>
            <w:hyperlink r:id="rId175">
              <w:r>
                <w:rPr>
                  <w:rFonts w:ascii="Arial" w:cs="Arial" w:eastAsia="Arial" w:hAnsi="Arial"/>
                  <w:sz w:val="18"/>
                  <w:szCs w:val="18"/>
                  <w:color w:val="0000EE"/>
                </w:rPr>
                <w:t>Harmony Biosciences Holdings, Inc., and</w:t>
              </w:r>
            </w:hyperlink>
          </w:p>
        </w:tc>
        <w:tc>
          <w:tcPr>
            <w:tcW w:w="240" w:type="dxa"/>
            <w:vAlign w:val="bottom"/>
            <w:tcBorders>
              <w:top w:val="single" w:sz="8" w:color="0000EE"/>
            </w:tcBorders>
            <w:gridSpan w:val="9"/>
          </w:tcPr>
          <w:p>
            <w:pPr>
              <w:spacing w:after="0"/>
              <w:rPr>
                <w:sz w:val="15"/>
                <w:szCs w:val="15"/>
                <w:color w:val="auto"/>
              </w:rPr>
            </w:pPr>
          </w:p>
        </w:tc>
        <w:tc>
          <w:tcPr>
            <w:tcW w:w="12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60" w:type="dxa"/>
            <w:vAlign w:val="bottom"/>
            <w:gridSpan w:val="42"/>
          </w:tcPr>
          <w:p>
            <w:pPr>
              <w:spacing w:after="0" w:line="182" w:lineRule="exact"/>
              <w:rPr>
                <w:rFonts w:ascii="Arial" w:cs="Arial" w:eastAsia="Arial" w:hAnsi="Arial"/>
                <w:sz w:val="18"/>
                <w:szCs w:val="18"/>
                <w:color w:val="0000EE"/>
              </w:rPr>
            </w:pPr>
            <w:hyperlink r:id="rId175">
              <w:r>
                <w:rPr>
                  <w:rFonts w:ascii="Arial" w:cs="Arial" w:eastAsia="Arial" w:hAnsi="Arial"/>
                  <w:sz w:val="18"/>
                  <w:szCs w:val="18"/>
                  <w:color w:val="0000EE"/>
                </w:rPr>
                <w:t>JPMorgan Chase Bank, N.A., as administrative</w:t>
              </w:r>
            </w:hyperlink>
          </w:p>
        </w:tc>
        <w:tc>
          <w:tcPr>
            <w:tcW w:w="0" w:type="dxa"/>
            <w:vAlign w:val="bottom"/>
          </w:tcPr>
          <w:p>
            <w:pPr>
              <w:spacing w:after="0"/>
              <w:rPr>
                <w:sz w:val="1"/>
                <w:szCs w:val="1"/>
                <w:color w:val="auto"/>
              </w:rPr>
            </w:pPr>
          </w:p>
        </w:tc>
      </w:tr>
      <w:tr>
        <w:trPr>
          <w:trHeight w:val="183"/>
        </w:trPr>
        <w:tc>
          <w:tcPr>
            <w:tcW w:w="1280" w:type="dxa"/>
            <w:vAlign w:val="bottom"/>
            <w:vMerge w:val="restart"/>
          </w:tcPr>
          <w:p>
            <w:pPr>
              <w:spacing w:after="0"/>
              <w:rPr>
                <w:sz w:val="20"/>
                <w:szCs w:val="20"/>
                <w:color w:val="auto"/>
              </w:rPr>
            </w:pPr>
            <w:r>
              <w:rPr>
                <w:rFonts w:ascii="Arial" w:cs="Arial" w:eastAsia="Arial" w:hAnsi="Arial"/>
                <w:sz w:val="18"/>
                <w:szCs w:val="18"/>
                <w:color w:val="auto"/>
              </w:rPr>
              <w:t>10.25</w:t>
            </w:r>
          </w:p>
        </w:tc>
        <w:tc>
          <w:tcPr>
            <w:tcW w:w="40" w:type="dxa"/>
            <w:vAlign w:val="bottom"/>
          </w:tcPr>
          <w:p>
            <w:pPr>
              <w:spacing w:after="0"/>
              <w:rPr>
                <w:sz w:val="15"/>
                <w:szCs w:val="15"/>
                <w:color w:val="auto"/>
              </w:rPr>
            </w:pPr>
          </w:p>
        </w:tc>
        <w:tc>
          <w:tcPr>
            <w:tcW w:w="376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r:id="rId175">
              <w:r>
                <w:rPr>
                  <w:rFonts w:ascii="Arial" w:cs="Arial" w:eastAsia="Arial" w:hAnsi="Arial"/>
                  <w:sz w:val="18"/>
                  <w:szCs w:val="18"/>
                  <w:color w:val="0000EE"/>
                </w:rPr>
                <w:t>agent.</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r:id="rId176">
              <w:r>
                <w:rPr>
                  <w:rFonts w:ascii="Arial" w:cs="Arial" w:eastAsia="Arial" w:hAnsi="Arial"/>
                  <w:sz w:val="18"/>
                  <w:szCs w:val="18"/>
                  <w:color w:val="0000EE"/>
                </w:rPr>
                <w:t>First</w:t>
              </w:r>
            </w:hyperlink>
          </w:p>
        </w:tc>
        <w:tc>
          <w:tcPr>
            <w:tcW w:w="3460" w:type="dxa"/>
            <w:vAlign w:val="bottom"/>
            <w:gridSpan w:val="40"/>
          </w:tcPr>
          <w:p>
            <w:pPr>
              <w:jc w:val="right"/>
              <w:ind w:right="180"/>
              <w:spacing w:after="0" w:line="182" w:lineRule="exact"/>
              <w:rPr>
                <w:rFonts w:ascii="Arial" w:cs="Arial" w:eastAsia="Arial" w:hAnsi="Arial"/>
                <w:sz w:val="18"/>
                <w:szCs w:val="18"/>
                <w:color w:val="0000EE"/>
                <w:w w:val="96"/>
              </w:rPr>
            </w:pPr>
            <w:hyperlink r:id="rId176">
              <w:r>
                <w:rPr>
                  <w:rFonts w:ascii="Arial" w:cs="Arial" w:eastAsia="Arial" w:hAnsi="Arial"/>
                  <w:sz w:val="18"/>
                  <w:szCs w:val="18"/>
                  <w:color w:val="0000EE"/>
                  <w:w w:val="96"/>
                </w:rPr>
                <w:t>Incremental Amendment dated September</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00" w:type="dxa"/>
            <w:vAlign w:val="bottom"/>
            <w:tcBorders>
              <w:top w:val="single" w:sz="8" w:color="0000EE"/>
              <w:bottom w:val="single" w:sz="8" w:color="0000EE"/>
            </w:tcBorders>
            <w:gridSpan w:val="29"/>
          </w:tcPr>
          <w:p>
            <w:pPr>
              <w:spacing w:after="0" w:line="182" w:lineRule="exact"/>
              <w:rPr>
                <w:rFonts w:ascii="Arial" w:cs="Arial" w:eastAsia="Arial" w:hAnsi="Arial"/>
                <w:sz w:val="18"/>
                <w:szCs w:val="18"/>
                <w:color w:val="0000EE"/>
                <w:w w:val="99"/>
              </w:rPr>
            </w:pPr>
            <w:hyperlink r:id="rId176">
              <w:r>
                <w:rPr>
                  <w:rFonts w:ascii="Arial" w:cs="Arial" w:eastAsia="Arial" w:hAnsi="Arial"/>
                  <w:sz w:val="18"/>
                  <w:szCs w:val="18"/>
                  <w:color w:val="0000EE"/>
                  <w:w w:val="99"/>
                </w:rPr>
                <w:t>21, 2023 by and among Harmony Biosciences</w:t>
              </w:r>
            </w:hyperlink>
          </w:p>
        </w:tc>
        <w:tc>
          <w:tcPr>
            <w:tcW w:w="160" w:type="dxa"/>
            <w:vAlign w:val="bottom"/>
            <w:tcBorders>
              <w:top w:val="single" w:sz="8" w:color="0000EE"/>
            </w:tcBorders>
            <w:gridSpan w:val="8"/>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40" w:type="dxa"/>
            <w:vAlign w:val="bottom"/>
            <w:tcBorders>
              <w:bottom w:val="single" w:sz="8" w:color="0000EE"/>
            </w:tcBorders>
            <w:gridSpan w:val="36"/>
          </w:tcPr>
          <w:p>
            <w:pPr>
              <w:spacing w:after="0" w:line="182" w:lineRule="exact"/>
              <w:rPr>
                <w:rFonts w:ascii="Arial" w:cs="Arial" w:eastAsia="Arial" w:hAnsi="Arial"/>
                <w:sz w:val="18"/>
                <w:szCs w:val="18"/>
                <w:color w:val="0000EE"/>
              </w:rPr>
            </w:pPr>
            <w:hyperlink r:id="rId176">
              <w:r>
                <w:rPr>
                  <w:rFonts w:ascii="Arial" w:cs="Arial" w:eastAsia="Arial" w:hAnsi="Arial"/>
                  <w:sz w:val="18"/>
                  <w:szCs w:val="18"/>
                  <w:color w:val="0000EE"/>
                </w:rPr>
                <w:t>Holdings, Inc., JPMorgan Chase Bank, N.A., as</w:t>
              </w:r>
            </w:hyperlink>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60" w:type="dxa"/>
            <w:vAlign w:val="bottom"/>
            <w:gridSpan w:val="42"/>
          </w:tcPr>
          <w:p>
            <w:pPr>
              <w:spacing w:after="0" w:line="182" w:lineRule="exact"/>
              <w:rPr>
                <w:rFonts w:ascii="Arial" w:cs="Arial" w:eastAsia="Arial" w:hAnsi="Arial"/>
                <w:sz w:val="18"/>
                <w:szCs w:val="18"/>
                <w:color w:val="0000EE"/>
              </w:rPr>
            </w:pPr>
            <w:hyperlink r:id="rId176">
              <w:r>
                <w:rPr>
                  <w:rFonts w:ascii="Arial" w:cs="Arial" w:eastAsia="Arial" w:hAnsi="Arial"/>
                  <w:sz w:val="18"/>
                  <w:szCs w:val="18"/>
                  <w:color w:val="0000EE"/>
                </w:rPr>
                <w:t>administrative agent, and Bank of America, N.A.,</w:t>
              </w:r>
            </w:hyperlink>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6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8"/>
              </w:rPr>
            </w:pPr>
            <w:hyperlink r:id="rId176">
              <w:r>
                <w:rPr>
                  <w:rFonts w:ascii="Arial" w:cs="Arial" w:eastAsia="Arial" w:hAnsi="Arial"/>
                  <w:sz w:val="18"/>
                  <w:szCs w:val="18"/>
                  <w:color w:val="0000EE"/>
                  <w:w w:val="98"/>
                </w:rPr>
                <w:t>as incremental lender.</w:t>
              </w:r>
            </w:hyperlink>
          </w:p>
        </w:tc>
        <w:tc>
          <w:tcPr>
            <w:tcW w:w="2180" w:type="dxa"/>
            <w:vAlign w:val="bottom"/>
            <w:tcBorders>
              <w:top w:val="single" w:sz="8" w:color="0000EE"/>
            </w:tcBorders>
            <w:gridSpan w:val="3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280" w:type="dxa"/>
            <w:vAlign w:val="bottom"/>
          </w:tcPr>
          <w:p>
            <w:pPr>
              <w:spacing w:after="0"/>
              <w:rPr>
                <w:sz w:val="20"/>
                <w:szCs w:val="20"/>
                <w:color w:val="auto"/>
              </w:rPr>
            </w:pPr>
            <w:r>
              <w:rPr>
                <w:rFonts w:ascii="Arial" w:cs="Arial" w:eastAsia="Arial" w:hAnsi="Arial"/>
                <w:sz w:val="18"/>
                <w:szCs w:val="18"/>
                <w:color w:val="auto"/>
              </w:rPr>
              <w:t>19.1</w:t>
            </w:r>
          </w:p>
        </w:tc>
        <w:tc>
          <w:tcPr>
            <w:tcW w:w="40" w:type="dxa"/>
            <w:vAlign w:val="bottom"/>
          </w:tcPr>
          <w:p>
            <w:pPr>
              <w:spacing w:after="0"/>
              <w:rPr>
                <w:sz w:val="24"/>
                <w:szCs w:val="24"/>
                <w:color w:val="auto"/>
              </w:rPr>
            </w:pPr>
          </w:p>
        </w:tc>
        <w:tc>
          <w:tcPr>
            <w:tcW w:w="3960" w:type="dxa"/>
            <w:vAlign w:val="bottom"/>
            <w:gridSpan w:val="42"/>
          </w:tcPr>
          <w:p>
            <w:pPr>
              <w:spacing w:after="0"/>
              <w:rPr>
                <w:rFonts w:ascii="Arial" w:cs="Arial" w:eastAsia="Arial" w:hAnsi="Arial"/>
                <w:sz w:val="18"/>
                <w:szCs w:val="18"/>
                <w:color w:val="0000EE"/>
              </w:rPr>
            </w:pPr>
            <w:hyperlink r:id="rId177">
              <w:r>
                <w:rPr>
                  <w:rFonts w:ascii="Arial" w:cs="Arial" w:eastAsia="Arial" w:hAnsi="Arial"/>
                  <w:sz w:val="18"/>
                  <w:szCs w:val="18"/>
                  <w:color w:val="0000EE"/>
                </w:rPr>
                <w:t>Insider Trading Policy</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6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6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280" w:type="dxa"/>
            <w:vAlign w:val="bottom"/>
          </w:tcPr>
          <w:p>
            <w:pPr>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24"/>
                <w:szCs w:val="24"/>
                <w:color w:val="auto"/>
              </w:rPr>
            </w:pPr>
          </w:p>
        </w:tc>
        <w:tc>
          <w:tcPr>
            <w:tcW w:w="3960" w:type="dxa"/>
            <w:vAlign w:val="bottom"/>
            <w:gridSpan w:val="42"/>
          </w:tcPr>
          <w:p>
            <w:pPr>
              <w:spacing w:after="0"/>
              <w:rPr>
                <w:sz w:val="20"/>
                <w:szCs w:val="20"/>
                <w:color w:val="auto"/>
              </w:rPr>
            </w:pPr>
            <w:r>
              <w:rPr>
                <w:rFonts w:ascii="Arial" w:cs="Arial" w:eastAsia="Arial" w:hAnsi="Arial"/>
                <w:sz w:val="18"/>
                <w:szCs w:val="18"/>
                <w:color w:val="0000EE"/>
              </w:rPr>
              <w:t>List of Subsidiaries of Harmony Biosciences</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0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Holdings, Inc.</w:t>
            </w:r>
          </w:p>
        </w:tc>
        <w:tc>
          <w:tcPr>
            <w:tcW w:w="46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gridSpan w:val="11"/>
          </w:tcPr>
          <w:p>
            <w:pPr>
              <w:spacing w:after="0" w:line="20" w:lineRule="exact"/>
              <w:rPr>
                <w:sz w:val="1"/>
                <w:szCs w:val="1"/>
                <w:color w:val="auto"/>
              </w:rPr>
            </w:pPr>
          </w:p>
        </w:tc>
        <w:tc>
          <w:tcPr>
            <w:tcW w:w="58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80" w:type="dxa"/>
            <w:vAlign w:val="bottom"/>
          </w:tcPr>
          <w:p>
            <w:pPr>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24"/>
                <w:szCs w:val="24"/>
                <w:color w:val="auto"/>
              </w:rPr>
            </w:pPr>
          </w:p>
        </w:tc>
        <w:tc>
          <w:tcPr>
            <w:tcW w:w="3960" w:type="dxa"/>
            <w:vAlign w:val="bottom"/>
            <w:gridSpan w:val="42"/>
          </w:tcPr>
          <w:p>
            <w:pPr>
              <w:spacing w:after="0"/>
              <w:rPr>
                <w:sz w:val="20"/>
                <w:szCs w:val="20"/>
                <w:color w:val="auto"/>
              </w:rPr>
            </w:pPr>
            <w:r>
              <w:rPr>
                <w:rFonts w:ascii="Arial" w:cs="Arial" w:eastAsia="Arial" w:hAnsi="Arial"/>
                <w:sz w:val="18"/>
                <w:szCs w:val="18"/>
                <w:color w:val="0000EE"/>
              </w:rPr>
              <w:t>Consent of Independent Registered Public</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Borders>
              <w:top w:val="single" w:sz="8" w:color="0000EE"/>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8"/>
              </w:rPr>
              <w:t>Accounting Firm</w:t>
            </w:r>
          </w:p>
        </w:tc>
        <w:tc>
          <w:tcPr>
            <w:tcW w:w="2080" w:type="dxa"/>
            <w:vAlign w:val="bottom"/>
            <w:tcBorders>
              <w:top w:val="single" w:sz="8" w:color="0000EE"/>
            </w:tcBorders>
            <w:gridSpan w:val="11"/>
          </w:tcPr>
          <w:p>
            <w:pPr>
              <w:spacing w:after="0"/>
              <w:rPr>
                <w:sz w:val="15"/>
                <w:szCs w:val="15"/>
                <w:color w:val="auto"/>
              </w:rPr>
            </w:pPr>
          </w:p>
        </w:tc>
        <w:tc>
          <w:tcPr>
            <w:tcW w:w="580" w:type="dxa"/>
            <w:vAlign w:val="bottom"/>
            <w:gridSpan w:val="24"/>
          </w:tcPr>
          <w:p>
            <w:pPr>
              <w:spacing w:after="0"/>
              <w:rPr>
                <w:sz w:val="15"/>
                <w:szCs w:val="15"/>
                <w:color w:val="auto"/>
              </w:rPr>
            </w:pPr>
          </w:p>
        </w:tc>
        <w:tc>
          <w:tcPr>
            <w:tcW w:w="0" w:type="dxa"/>
            <w:vAlign w:val="bottom"/>
          </w:tcPr>
          <w:p>
            <w:pPr>
              <w:spacing w:after="0"/>
              <w:rPr>
                <w:sz w:val="1"/>
                <w:szCs w:val="1"/>
                <w:color w:val="auto"/>
              </w:rPr>
            </w:pPr>
          </w:p>
        </w:tc>
      </w:tr>
      <w:tr>
        <w:trPr>
          <w:trHeight w:val="659"/>
        </w:trPr>
        <w:tc>
          <w:tcPr>
            <w:tcW w:w="1280" w:type="dxa"/>
            <w:vAlign w:val="bottom"/>
          </w:tcPr>
          <w:p>
            <w:pPr>
              <w:spacing w:after="0"/>
              <w:rPr>
                <w:sz w:val="24"/>
                <w:szCs w:val="24"/>
                <w:color w:val="auto"/>
              </w:rPr>
            </w:pPr>
          </w:p>
        </w:tc>
        <w:tc>
          <w:tcPr>
            <w:tcW w:w="3920" w:type="dxa"/>
            <w:vAlign w:val="bottom"/>
            <w:gridSpan w:val="39"/>
          </w:tcPr>
          <w:p>
            <w:pPr>
              <w:jc w:val="right"/>
              <w:ind w:right="80"/>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332105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jc w:val="center"/>
              <w:ind w:right="172"/>
              <w:spacing w:after="0"/>
              <w:rPr>
                <w:sz w:val="20"/>
                <w:szCs w:val="20"/>
                <w:color w:val="auto"/>
              </w:rPr>
            </w:pPr>
            <w:r>
              <w:rPr>
                <w:rFonts w:ascii="Arial" w:cs="Arial" w:eastAsia="Arial" w:hAnsi="Arial"/>
                <w:sz w:val="16"/>
                <w:szCs w:val="16"/>
                <w:color w:val="auto"/>
                <w:w w:val="96"/>
              </w:rPr>
              <w:t>S-1</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July 27,</w:t>
            </w:r>
          </w:p>
        </w:tc>
        <w:tc>
          <w:tcPr>
            <w:tcW w:w="640" w:type="dxa"/>
            <w:vAlign w:val="bottom"/>
          </w:tcPr>
          <w:p>
            <w:pPr>
              <w:jc w:val="right"/>
              <w:spacing w:after="0"/>
              <w:rPr>
                <w:sz w:val="20"/>
                <w:szCs w:val="20"/>
                <w:color w:val="auto"/>
              </w:rPr>
            </w:pPr>
            <w:r>
              <w:rPr>
                <w:rFonts w:ascii="Arial" w:cs="Arial" w:eastAsia="Arial" w:hAnsi="Arial"/>
                <w:sz w:val="16"/>
                <w:szCs w:val="16"/>
                <w:color w:val="auto"/>
              </w:rPr>
              <w:t>10.14</w:t>
            </w:r>
          </w:p>
        </w:tc>
      </w:tr>
      <w:tr>
        <w:trPr>
          <w:trHeight w:val="239"/>
        </w:trPr>
        <w:tc>
          <w:tcPr>
            <w:tcW w:w="6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2020</w:t>
            </w:r>
          </w:p>
        </w:tc>
        <w:tc>
          <w:tcPr>
            <w:tcW w:w="640" w:type="dxa"/>
            <w:vAlign w:val="bottom"/>
          </w:tcPr>
          <w:p>
            <w:pPr>
              <w:spacing w:after="0"/>
              <w:rPr>
                <w:sz w:val="20"/>
                <w:szCs w:val="20"/>
                <w:color w:val="auto"/>
              </w:rPr>
            </w:pPr>
          </w:p>
        </w:tc>
      </w:tr>
      <w:tr>
        <w:trPr>
          <w:trHeight w:val="571"/>
        </w:trPr>
        <w:tc>
          <w:tcPr>
            <w:tcW w:w="620" w:type="dxa"/>
            <w:vAlign w:val="bottom"/>
          </w:tcPr>
          <w:p>
            <w:pPr>
              <w:jc w:val="center"/>
              <w:ind w:right="172"/>
              <w:spacing w:after="0"/>
              <w:rPr>
                <w:sz w:val="20"/>
                <w:szCs w:val="20"/>
                <w:color w:val="auto"/>
              </w:rPr>
            </w:pPr>
            <w:r>
              <w:rPr>
                <w:rFonts w:ascii="Arial" w:cs="Arial" w:eastAsia="Arial" w:hAnsi="Arial"/>
                <w:sz w:val="16"/>
                <w:szCs w:val="16"/>
                <w:color w:val="auto"/>
                <w:w w:val="96"/>
              </w:rPr>
              <w:t>S-1</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July 27,</w:t>
            </w:r>
          </w:p>
        </w:tc>
        <w:tc>
          <w:tcPr>
            <w:tcW w:w="640" w:type="dxa"/>
            <w:vAlign w:val="bottom"/>
          </w:tcPr>
          <w:p>
            <w:pPr>
              <w:jc w:val="right"/>
              <w:spacing w:after="0"/>
              <w:rPr>
                <w:sz w:val="20"/>
                <w:szCs w:val="20"/>
                <w:color w:val="auto"/>
              </w:rPr>
            </w:pPr>
            <w:r>
              <w:rPr>
                <w:rFonts w:ascii="Arial" w:cs="Arial" w:eastAsia="Arial" w:hAnsi="Arial"/>
                <w:sz w:val="16"/>
                <w:szCs w:val="16"/>
                <w:color w:val="auto"/>
              </w:rPr>
              <w:t>10.15</w:t>
            </w:r>
          </w:p>
        </w:tc>
      </w:tr>
      <w:tr>
        <w:trPr>
          <w:trHeight w:val="239"/>
        </w:trPr>
        <w:tc>
          <w:tcPr>
            <w:tcW w:w="6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2020</w:t>
            </w:r>
          </w:p>
        </w:tc>
        <w:tc>
          <w:tcPr>
            <w:tcW w:w="640" w:type="dxa"/>
            <w:vAlign w:val="bottom"/>
          </w:tcPr>
          <w:p>
            <w:pPr>
              <w:spacing w:after="0"/>
              <w:rPr>
                <w:sz w:val="20"/>
                <w:szCs w:val="20"/>
                <w:color w:val="auto"/>
              </w:rPr>
            </w:pPr>
          </w:p>
        </w:tc>
      </w:tr>
      <w:tr>
        <w:trPr>
          <w:trHeight w:val="774"/>
        </w:trPr>
        <w:tc>
          <w:tcPr>
            <w:tcW w:w="620" w:type="dxa"/>
            <w:vAlign w:val="bottom"/>
          </w:tcPr>
          <w:p>
            <w:pPr>
              <w:jc w:val="center"/>
              <w:ind w:right="172"/>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March 20,</w:t>
            </w: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9"/>
        </w:trPr>
        <w:tc>
          <w:tcPr>
            <w:tcW w:w="6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2025</w:t>
            </w:r>
          </w:p>
        </w:tc>
        <w:tc>
          <w:tcPr>
            <w:tcW w:w="640" w:type="dxa"/>
            <w:vAlign w:val="bottom"/>
          </w:tcPr>
          <w:p>
            <w:pPr>
              <w:spacing w:after="0"/>
              <w:rPr>
                <w:sz w:val="20"/>
                <w:szCs w:val="20"/>
                <w:color w:val="auto"/>
              </w:rPr>
            </w:pPr>
          </w:p>
        </w:tc>
      </w:tr>
      <w:tr>
        <w:trPr>
          <w:trHeight w:val="976"/>
        </w:trPr>
        <w:tc>
          <w:tcPr>
            <w:tcW w:w="620" w:type="dxa"/>
            <w:vAlign w:val="bottom"/>
          </w:tcPr>
          <w:p>
            <w:pPr>
              <w:jc w:val="center"/>
              <w:ind w:right="172"/>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March 15,</w:t>
            </w: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9"/>
        </w:trPr>
        <w:tc>
          <w:tcPr>
            <w:tcW w:w="6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2021</w:t>
            </w:r>
          </w:p>
        </w:tc>
        <w:tc>
          <w:tcPr>
            <w:tcW w:w="640" w:type="dxa"/>
            <w:vAlign w:val="bottom"/>
          </w:tcPr>
          <w:p>
            <w:pPr>
              <w:spacing w:after="0"/>
              <w:rPr>
                <w:sz w:val="20"/>
                <w:szCs w:val="20"/>
                <w:color w:val="auto"/>
              </w:rPr>
            </w:pPr>
          </w:p>
        </w:tc>
      </w:tr>
      <w:tr>
        <w:trPr>
          <w:trHeight w:val="608"/>
        </w:trPr>
        <w:tc>
          <w:tcPr>
            <w:tcW w:w="620" w:type="dxa"/>
            <w:vAlign w:val="bottom"/>
          </w:tcPr>
          <w:p>
            <w:pPr>
              <w:jc w:val="center"/>
              <w:ind w:right="172"/>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spacing w:after="0"/>
              <w:rPr>
                <w:sz w:val="20"/>
                <w:szCs w:val="20"/>
                <w:color w:val="auto"/>
              </w:rPr>
            </w:pPr>
            <w:r>
              <w:rPr>
                <w:rFonts w:ascii="Arial" w:cs="Arial" w:eastAsia="Arial" w:hAnsi="Arial"/>
                <w:sz w:val="18"/>
                <w:szCs w:val="18"/>
                <w:color w:val="auto"/>
                <w:w w:val="98"/>
              </w:rPr>
              <w:t>May 3, 2024</w:t>
            </w: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774"/>
        </w:trPr>
        <w:tc>
          <w:tcPr>
            <w:tcW w:w="620" w:type="dxa"/>
            <w:vAlign w:val="bottom"/>
          </w:tcPr>
          <w:p>
            <w:pPr>
              <w:jc w:val="center"/>
              <w:ind w:right="172"/>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October 5,</w:t>
            </w: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9"/>
        </w:trPr>
        <w:tc>
          <w:tcPr>
            <w:tcW w:w="6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2023</w:t>
            </w:r>
          </w:p>
        </w:tc>
        <w:tc>
          <w:tcPr>
            <w:tcW w:w="640" w:type="dxa"/>
            <w:vAlign w:val="bottom"/>
          </w:tcPr>
          <w:p>
            <w:pPr>
              <w:spacing w:after="0"/>
              <w:rPr>
                <w:sz w:val="20"/>
                <w:szCs w:val="20"/>
                <w:color w:val="auto"/>
              </w:rPr>
            </w:pPr>
          </w:p>
        </w:tc>
      </w:tr>
      <w:tr>
        <w:trPr>
          <w:trHeight w:val="369"/>
        </w:trPr>
        <w:tc>
          <w:tcPr>
            <w:tcW w:w="620" w:type="dxa"/>
            <w:vAlign w:val="bottom"/>
          </w:tcPr>
          <w:p>
            <w:pPr>
              <w:jc w:val="center"/>
              <w:ind w:right="172"/>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July 27,</w:t>
            </w: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9"/>
        </w:trPr>
        <w:tc>
          <w:tcPr>
            <w:tcW w:w="6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2023</w:t>
            </w:r>
          </w:p>
        </w:tc>
        <w:tc>
          <w:tcPr>
            <w:tcW w:w="640" w:type="dxa"/>
            <w:vAlign w:val="bottom"/>
          </w:tcPr>
          <w:p>
            <w:pPr>
              <w:spacing w:after="0"/>
              <w:rPr>
                <w:sz w:val="20"/>
                <w:szCs w:val="20"/>
                <w:color w:val="auto"/>
              </w:rPr>
            </w:pPr>
          </w:p>
        </w:tc>
      </w:tr>
      <w:tr>
        <w:trPr>
          <w:trHeight w:val="571"/>
        </w:trPr>
        <w:tc>
          <w:tcPr>
            <w:tcW w:w="620" w:type="dxa"/>
            <w:vAlign w:val="bottom"/>
          </w:tcPr>
          <w:p>
            <w:pPr>
              <w:jc w:val="center"/>
              <w:ind w:right="172"/>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July 27,</w:t>
            </w: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9"/>
        </w:trPr>
        <w:tc>
          <w:tcPr>
            <w:tcW w:w="6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2023</w:t>
            </w:r>
          </w:p>
        </w:tc>
        <w:tc>
          <w:tcPr>
            <w:tcW w:w="640" w:type="dxa"/>
            <w:vAlign w:val="bottom"/>
          </w:tcPr>
          <w:p>
            <w:pPr>
              <w:spacing w:after="0"/>
              <w:rPr>
                <w:sz w:val="20"/>
                <w:szCs w:val="20"/>
                <w:color w:val="auto"/>
              </w:rPr>
            </w:pPr>
          </w:p>
        </w:tc>
      </w:tr>
      <w:tr>
        <w:trPr>
          <w:trHeight w:val="571"/>
        </w:trPr>
        <w:tc>
          <w:tcPr>
            <w:tcW w:w="620" w:type="dxa"/>
            <w:vAlign w:val="bottom"/>
          </w:tcPr>
          <w:p>
            <w:pPr>
              <w:jc w:val="center"/>
              <w:ind w:right="172"/>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July 27,</w:t>
            </w:r>
          </w:p>
        </w:tc>
        <w:tc>
          <w:tcPr>
            <w:tcW w:w="6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9"/>
        </w:trPr>
        <w:tc>
          <w:tcPr>
            <w:tcW w:w="6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2023</w:t>
            </w:r>
          </w:p>
        </w:tc>
        <w:tc>
          <w:tcPr>
            <w:tcW w:w="640" w:type="dxa"/>
            <w:vAlign w:val="bottom"/>
          </w:tcPr>
          <w:p>
            <w:pPr>
              <w:spacing w:after="0"/>
              <w:rPr>
                <w:sz w:val="20"/>
                <w:szCs w:val="20"/>
                <w:color w:val="auto"/>
              </w:rPr>
            </w:pPr>
          </w:p>
        </w:tc>
      </w:tr>
      <w:tr>
        <w:trPr>
          <w:trHeight w:val="976"/>
        </w:trPr>
        <w:tc>
          <w:tcPr>
            <w:tcW w:w="620" w:type="dxa"/>
            <w:vAlign w:val="bottom"/>
          </w:tcPr>
          <w:p>
            <w:pPr>
              <w:jc w:val="center"/>
              <w:ind w:right="172"/>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September</w:t>
            </w: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9"/>
        </w:trPr>
        <w:tc>
          <w:tcPr>
            <w:tcW w:w="6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25, 2023</w:t>
            </w:r>
          </w:p>
        </w:tc>
        <w:tc>
          <w:tcPr>
            <w:tcW w:w="640" w:type="dxa"/>
            <w:vAlign w:val="bottom"/>
          </w:tcPr>
          <w:p>
            <w:pPr>
              <w:spacing w:after="0"/>
              <w:rPr>
                <w:sz w:val="20"/>
                <w:szCs w:val="20"/>
                <w:color w:val="auto"/>
              </w:rPr>
            </w:pPr>
          </w:p>
        </w:tc>
      </w:tr>
      <w:tr>
        <w:trPr>
          <w:trHeight w:val="976"/>
        </w:trPr>
        <w:tc>
          <w:tcPr>
            <w:tcW w:w="620" w:type="dxa"/>
            <w:vAlign w:val="bottom"/>
          </w:tcPr>
          <w:p>
            <w:pPr>
              <w:jc w:val="center"/>
              <w:ind w:right="152"/>
              <w:spacing w:after="0"/>
              <w:rPr>
                <w:sz w:val="20"/>
                <w:szCs w:val="20"/>
                <w:color w:val="auto"/>
              </w:rPr>
            </w:pPr>
            <w:r>
              <w:rPr>
                <w:rFonts w:ascii="Arial" w:cs="Arial" w:eastAsia="Arial" w:hAnsi="Arial"/>
                <w:sz w:val="18"/>
                <w:szCs w:val="18"/>
                <w:color w:val="auto"/>
                <w:w w:val="99"/>
              </w:rPr>
              <w:t>10-K</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February 25,</w:t>
            </w:r>
          </w:p>
        </w:tc>
        <w:tc>
          <w:tcPr>
            <w:tcW w:w="64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9"/>
        </w:trPr>
        <w:tc>
          <w:tcPr>
            <w:tcW w:w="6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2025</w:t>
            </w:r>
          </w:p>
        </w:tc>
        <w:tc>
          <w:tcPr>
            <w:tcW w:w="640" w:type="dxa"/>
            <w:vAlign w:val="bottom"/>
          </w:tcPr>
          <w:p>
            <w:pPr>
              <w:spacing w:after="0"/>
              <w:rPr>
                <w:sz w:val="20"/>
                <w:szCs w:val="20"/>
                <w:color w:val="auto"/>
              </w:rPr>
            </w:pPr>
          </w:p>
        </w:tc>
      </w:tr>
    </w:tbl>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5200" w:space="500"/>
            <w:col w:w="3800"/>
          </w:cols>
          <w:pgMar w:left="980" w:top="648" w:right="141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601"/>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4"/>
                <w:szCs w:val="24"/>
                <w:color w:val="auto"/>
              </w:rPr>
            </w:pPr>
          </w:p>
        </w:tc>
        <w:tc>
          <w:tcPr>
            <w:tcW w:w="5940" w:type="dxa"/>
            <w:vAlign w:val="bottom"/>
            <w:gridSpan w:val="14"/>
          </w:tcPr>
          <w:p>
            <w:pPr>
              <w:spacing w:after="0"/>
              <w:rPr>
                <w:sz w:val="20"/>
                <w:szCs w:val="20"/>
                <w:color w:val="auto"/>
              </w:rPr>
            </w:pPr>
            <w:r>
              <w:rPr>
                <w:rFonts w:ascii="Arial" w:cs="Arial" w:eastAsia="Arial" w:hAnsi="Arial"/>
                <w:sz w:val="18"/>
                <w:szCs w:val="18"/>
                <w:color w:val="0000EE"/>
              </w:rPr>
              <w:t>Certification of Chief Executive Officer pursuant</w:t>
            </w:r>
          </w:p>
        </w:tc>
        <w:tc>
          <w:tcPr>
            <w:tcW w:w="2240" w:type="dxa"/>
            <w:vAlign w:val="bottom"/>
          </w:tcPr>
          <w:p>
            <w:pPr>
              <w:ind w:left="2120"/>
              <w:spacing w:after="0"/>
              <w:rPr>
                <w:sz w:val="20"/>
                <w:szCs w:val="20"/>
                <w:color w:val="auto"/>
              </w:rPr>
            </w:pPr>
            <w:r>
              <w:rPr>
                <w:rFonts w:ascii="Arial" w:cs="Arial" w:eastAsia="Arial" w:hAnsi="Arial"/>
                <w:sz w:val="18"/>
                <w:szCs w:val="18"/>
                <w:color w:val="auto"/>
                <w:w w:val="82"/>
              </w:rPr>
              <w:t>X</w:t>
            </w: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8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to Rules 13a-14(a) and 15d-14(a) of the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940" w:type="dxa"/>
            <w:vAlign w:val="bottom"/>
            <w:gridSpan w:val="14"/>
          </w:tcPr>
          <w:p>
            <w:pPr>
              <w:spacing w:after="0" w:line="182" w:lineRule="exact"/>
              <w:rPr>
                <w:sz w:val="20"/>
                <w:szCs w:val="20"/>
                <w:color w:val="auto"/>
              </w:rPr>
            </w:pPr>
            <w:r>
              <w:rPr>
                <w:rFonts w:ascii="Arial" w:cs="Arial" w:eastAsia="Arial" w:hAnsi="Arial"/>
                <w:sz w:val="18"/>
                <w:szCs w:val="18"/>
                <w:color w:val="0000EE"/>
              </w:rPr>
              <w:t>Securities Exchange Act of 1934, as amended,</w:t>
            </w:r>
          </w:p>
        </w:tc>
        <w:tc>
          <w:tcPr>
            <w:tcW w:w="224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6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as adopted pursuant to Section 302 of the</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9"/>
              </w:rPr>
              <w:t>Sarbanes-Oxley Act of 2002.</w:t>
            </w:r>
          </w:p>
        </w:tc>
        <w:tc>
          <w:tcPr>
            <w:tcW w:w="1040" w:type="dxa"/>
            <w:vAlign w:val="bottom"/>
            <w:tcBorders>
              <w:top w:val="single" w:sz="8" w:color="0000EE"/>
            </w:tcBorders>
            <w:gridSpan w:val="2"/>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72"/>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4"/>
                <w:szCs w:val="24"/>
                <w:color w:val="auto"/>
              </w:rPr>
            </w:pPr>
          </w:p>
        </w:tc>
        <w:tc>
          <w:tcPr>
            <w:tcW w:w="5940" w:type="dxa"/>
            <w:vAlign w:val="bottom"/>
            <w:gridSpan w:val="14"/>
          </w:tcPr>
          <w:p>
            <w:pPr>
              <w:spacing w:after="0"/>
              <w:rPr>
                <w:sz w:val="20"/>
                <w:szCs w:val="20"/>
                <w:color w:val="auto"/>
              </w:rPr>
            </w:pPr>
            <w:r>
              <w:rPr>
                <w:rFonts w:ascii="Arial" w:cs="Arial" w:eastAsia="Arial" w:hAnsi="Arial"/>
                <w:sz w:val="18"/>
                <w:szCs w:val="18"/>
                <w:color w:val="0000EE"/>
              </w:rPr>
              <w:t>Certification of Chief Financial Officer pursuant</w:t>
            </w:r>
          </w:p>
        </w:tc>
        <w:tc>
          <w:tcPr>
            <w:tcW w:w="2240" w:type="dxa"/>
            <w:vAlign w:val="bottom"/>
          </w:tcPr>
          <w:p>
            <w:pPr>
              <w:ind w:left="2120"/>
              <w:spacing w:after="0"/>
              <w:rPr>
                <w:sz w:val="20"/>
                <w:szCs w:val="20"/>
                <w:color w:val="auto"/>
              </w:rPr>
            </w:pPr>
            <w:r>
              <w:rPr>
                <w:rFonts w:ascii="Arial" w:cs="Arial" w:eastAsia="Arial" w:hAnsi="Arial"/>
                <w:sz w:val="18"/>
                <w:szCs w:val="18"/>
                <w:color w:val="auto"/>
                <w:w w:val="82"/>
              </w:rPr>
              <w:t>X</w:t>
            </w: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2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to Rules 13a-14(a) and 15d-14(a) of the</w:t>
            </w: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940" w:type="dxa"/>
            <w:vAlign w:val="bottom"/>
            <w:gridSpan w:val="14"/>
          </w:tcPr>
          <w:p>
            <w:pPr>
              <w:spacing w:after="0" w:line="182" w:lineRule="exact"/>
              <w:rPr>
                <w:sz w:val="20"/>
                <w:szCs w:val="20"/>
                <w:color w:val="auto"/>
              </w:rPr>
            </w:pPr>
            <w:r>
              <w:rPr>
                <w:rFonts w:ascii="Arial" w:cs="Arial" w:eastAsia="Arial" w:hAnsi="Arial"/>
                <w:sz w:val="18"/>
                <w:szCs w:val="18"/>
                <w:color w:val="0000EE"/>
              </w:rPr>
              <w:t>Securities Exchange Act of 1934, as amended,</w:t>
            </w:r>
          </w:p>
        </w:tc>
        <w:tc>
          <w:tcPr>
            <w:tcW w:w="2240" w:type="dxa"/>
            <w:vAlign w:val="bottom"/>
          </w:tcPr>
          <w:p>
            <w:pPr>
              <w:spacing w:after="0"/>
              <w:rPr>
                <w:sz w:val="15"/>
                <w:szCs w:val="15"/>
                <w:color w:val="auto"/>
              </w:rPr>
            </w:pPr>
          </w:p>
        </w:tc>
      </w:tr>
      <w:tr>
        <w:trPr>
          <w:trHeight w:val="182"/>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6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as adopted pursuant to Section 302 of the</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9"/>
              </w:rPr>
              <w:t>Sarbanes-Oxley Act of 2002.</w:t>
            </w:r>
          </w:p>
        </w:tc>
        <w:tc>
          <w:tcPr>
            <w:tcW w:w="1040" w:type="dxa"/>
            <w:vAlign w:val="bottom"/>
            <w:tcBorders>
              <w:top w:val="single" w:sz="8" w:color="0000EE"/>
            </w:tcBorders>
            <w:gridSpan w:val="2"/>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72"/>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4"/>
                <w:szCs w:val="24"/>
                <w:color w:val="auto"/>
              </w:rPr>
            </w:pPr>
          </w:p>
        </w:tc>
        <w:tc>
          <w:tcPr>
            <w:tcW w:w="5940" w:type="dxa"/>
            <w:vAlign w:val="bottom"/>
            <w:gridSpan w:val="14"/>
          </w:tcPr>
          <w:p>
            <w:pPr>
              <w:spacing w:after="0"/>
              <w:rPr>
                <w:sz w:val="20"/>
                <w:szCs w:val="20"/>
                <w:color w:val="auto"/>
              </w:rPr>
            </w:pPr>
            <w:r>
              <w:rPr>
                <w:rFonts w:ascii="Arial" w:cs="Arial" w:eastAsia="Arial" w:hAnsi="Arial"/>
                <w:sz w:val="18"/>
                <w:szCs w:val="18"/>
                <w:color w:val="0000EE"/>
              </w:rPr>
              <w:t>Certification of Chief Executive Officer pursuant</w:t>
            </w:r>
          </w:p>
        </w:tc>
        <w:tc>
          <w:tcPr>
            <w:tcW w:w="2240" w:type="dxa"/>
            <w:vAlign w:val="bottom"/>
          </w:tcPr>
          <w:p>
            <w:pPr>
              <w:ind w:left="2120"/>
              <w:spacing w:after="0"/>
              <w:rPr>
                <w:sz w:val="20"/>
                <w:szCs w:val="20"/>
                <w:color w:val="auto"/>
              </w:rPr>
            </w:pPr>
            <w:r>
              <w:rPr>
                <w:rFonts w:ascii="Arial" w:cs="Arial" w:eastAsia="Arial" w:hAnsi="Arial"/>
                <w:sz w:val="18"/>
                <w:szCs w:val="18"/>
                <w:color w:val="auto"/>
                <w:w w:val="82"/>
              </w:rPr>
              <w:t>X</w:t>
            </w: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0" w:type="dxa"/>
            <w:vAlign w:val="bottom"/>
            <w:tcBorders>
              <w:top w:val="single" w:sz="8" w:color="0000EE"/>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8"/>
              </w:rPr>
              <w:t>to 18 U.S.C. Section 1350, as adopted pursuant</w:t>
            </w:r>
          </w:p>
        </w:tc>
        <w:tc>
          <w:tcPr>
            <w:tcW w:w="20" w:type="dxa"/>
            <w:vAlign w:val="bottom"/>
            <w:tcBorders>
              <w:bottom w:val="single" w:sz="8" w:color="0000EE"/>
            </w:tcBorders>
          </w:tcPr>
          <w:p>
            <w:pPr>
              <w:spacing w:after="0"/>
              <w:rPr>
                <w:sz w:val="15"/>
                <w:szCs w:val="15"/>
                <w:color w:val="auto"/>
              </w:rPr>
            </w:pPr>
          </w:p>
        </w:tc>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20" w:type="dxa"/>
            <w:vAlign w:val="bottom"/>
            <w:gridSpan w:val="13"/>
          </w:tcPr>
          <w:p>
            <w:pPr>
              <w:spacing w:after="0" w:line="182" w:lineRule="exact"/>
              <w:rPr>
                <w:sz w:val="20"/>
                <w:szCs w:val="20"/>
                <w:color w:val="auto"/>
              </w:rPr>
            </w:pPr>
            <w:r>
              <w:rPr>
                <w:rFonts w:ascii="Arial" w:cs="Arial" w:eastAsia="Arial" w:hAnsi="Arial"/>
                <w:sz w:val="18"/>
                <w:szCs w:val="18"/>
                <w:color w:val="0000EE"/>
              </w:rPr>
              <w:t>to Section 906 of the Sarbanes-Oxley Act of</w:t>
            </w:r>
          </w:p>
        </w:tc>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3"/>
              </w:rPr>
              <w:t>2002.</w:t>
            </w:r>
          </w:p>
        </w:tc>
        <w:tc>
          <w:tcPr>
            <w:tcW w:w="14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72"/>
        </w:trPr>
        <w:tc>
          <w:tcPr>
            <w:tcW w:w="1280" w:type="dxa"/>
            <w:vAlign w:val="bottom"/>
          </w:tcPr>
          <w:p>
            <w:pPr>
              <w:spacing w:after="0"/>
              <w:rPr>
                <w:sz w:val="20"/>
                <w:szCs w:val="20"/>
                <w:color w:val="auto"/>
              </w:rPr>
            </w:pPr>
            <w:r>
              <w:rPr>
                <w:rFonts w:ascii="Arial" w:cs="Arial" w:eastAsia="Arial" w:hAnsi="Arial"/>
                <w:sz w:val="18"/>
                <w:szCs w:val="18"/>
                <w:color w:val="auto"/>
              </w:rPr>
              <w:t>32.2**</w:t>
            </w:r>
          </w:p>
        </w:tc>
        <w:tc>
          <w:tcPr>
            <w:tcW w:w="40" w:type="dxa"/>
            <w:vAlign w:val="bottom"/>
          </w:tcPr>
          <w:p>
            <w:pPr>
              <w:spacing w:after="0"/>
              <w:rPr>
                <w:sz w:val="24"/>
                <w:szCs w:val="24"/>
                <w:color w:val="auto"/>
              </w:rPr>
            </w:pPr>
          </w:p>
        </w:tc>
        <w:tc>
          <w:tcPr>
            <w:tcW w:w="5940" w:type="dxa"/>
            <w:vAlign w:val="bottom"/>
            <w:gridSpan w:val="14"/>
          </w:tcPr>
          <w:p>
            <w:pPr>
              <w:spacing w:after="0"/>
              <w:rPr>
                <w:sz w:val="20"/>
                <w:szCs w:val="20"/>
                <w:color w:val="auto"/>
              </w:rPr>
            </w:pPr>
            <w:r>
              <w:rPr>
                <w:rFonts w:ascii="Arial" w:cs="Arial" w:eastAsia="Arial" w:hAnsi="Arial"/>
                <w:sz w:val="18"/>
                <w:szCs w:val="18"/>
                <w:color w:val="0000EE"/>
              </w:rPr>
              <w:t>Certification of Chief Financial Officer pursuant</w:t>
            </w:r>
          </w:p>
        </w:tc>
        <w:tc>
          <w:tcPr>
            <w:tcW w:w="2240" w:type="dxa"/>
            <w:vAlign w:val="bottom"/>
          </w:tcPr>
          <w:p>
            <w:pPr>
              <w:ind w:left="2120"/>
              <w:spacing w:after="0"/>
              <w:rPr>
                <w:sz w:val="20"/>
                <w:szCs w:val="20"/>
                <w:color w:val="auto"/>
              </w:rPr>
            </w:pPr>
            <w:r>
              <w:rPr>
                <w:rFonts w:ascii="Arial" w:cs="Arial" w:eastAsia="Arial" w:hAnsi="Arial"/>
                <w:sz w:val="18"/>
                <w:szCs w:val="18"/>
                <w:color w:val="auto"/>
                <w:w w:val="82"/>
              </w:rPr>
              <w:t>X</w:t>
            </w: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4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7"/>
              </w:rPr>
              <w:t>to 18 U.S.C. Section 1350, as adopted pursuant</w:t>
            </w:r>
          </w:p>
        </w:tc>
        <w:tc>
          <w:tcPr>
            <w:tcW w:w="2200" w:type="dxa"/>
            <w:vAlign w:val="bottom"/>
            <w:gridSpan w:val="5"/>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2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to Section 906 of the Sarbanes-Oxley Act of</w:t>
            </w:r>
          </w:p>
        </w:tc>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3"/>
              </w:rPr>
              <w:t>2002.</w:t>
            </w:r>
          </w:p>
        </w:tc>
        <w:tc>
          <w:tcPr>
            <w:tcW w:w="14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72"/>
        </w:trPr>
        <w:tc>
          <w:tcPr>
            <w:tcW w:w="1280" w:type="dxa"/>
            <w:vAlign w:val="bottom"/>
          </w:tcPr>
          <w:p>
            <w:pPr>
              <w:spacing w:after="0"/>
              <w:rPr>
                <w:sz w:val="20"/>
                <w:szCs w:val="20"/>
                <w:color w:val="auto"/>
              </w:rPr>
            </w:pPr>
            <w:r>
              <w:rPr>
                <w:rFonts w:ascii="Arial" w:cs="Arial" w:eastAsia="Arial" w:hAnsi="Arial"/>
                <w:sz w:val="18"/>
                <w:szCs w:val="18"/>
                <w:color w:val="auto"/>
              </w:rPr>
              <w:t>97.1</w:t>
            </w:r>
          </w:p>
        </w:tc>
        <w:tc>
          <w:tcPr>
            <w:tcW w:w="40" w:type="dxa"/>
            <w:vAlign w:val="bottom"/>
          </w:tcPr>
          <w:p>
            <w:pPr>
              <w:spacing w:after="0"/>
              <w:rPr>
                <w:sz w:val="24"/>
                <w:szCs w:val="24"/>
                <w:color w:val="auto"/>
              </w:rPr>
            </w:pPr>
          </w:p>
        </w:tc>
        <w:tc>
          <w:tcPr>
            <w:tcW w:w="5940" w:type="dxa"/>
            <w:vAlign w:val="bottom"/>
            <w:gridSpan w:val="14"/>
          </w:tcPr>
          <w:p>
            <w:pPr>
              <w:spacing w:after="0"/>
              <w:rPr>
                <w:sz w:val="20"/>
                <w:szCs w:val="20"/>
                <w:color w:val="auto"/>
              </w:rPr>
            </w:pPr>
            <w:r>
              <w:rPr>
                <w:rFonts w:ascii="Arial" w:cs="Arial" w:eastAsia="Arial" w:hAnsi="Arial"/>
                <w:sz w:val="18"/>
                <w:szCs w:val="18"/>
                <w:color w:val="0000EE"/>
              </w:rPr>
              <w:t>Policy Relating to Recovery of Erroneously</w:t>
            </w:r>
          </w:p>
        </w:tc>
        <w:tc>
          <w:tcPr>
            <w:tcW w:w="2240" w:type="dxa"/>
            <w:vAlign w:val="bottom"/>
          </w:tcPr>
          <w:p>
            <w:pPr>
              <w:ind w:left="2120"/>
              <w:spacing w:after="0"/>
              <w:rPr>
                <w:sz w:val="20"/>
                <w:szCs w:val="20"/>
                <w:color w:val="auto"/>
              </w:rPr>
            </w:pPr>
            <w:r>
              <w:rPr>
                <w:rFonts w:ascii="Arial" w:cs="Arial" w:eastAsia="Arial" w:hAnsi="Arial"/>
                <w:sz w:val="18"/>
                <w:szCs w:val="18"/>
                <w:color w:val="auto"/>
                <w:w w:val="82"/>
              </w:rPr>
              <w:t>X</w:t>
            </w:r>
          </w:p>
        </w:tc>
      </w:tr>
      <w:tr>
        <w:trPr>
          <w:trHeight w:val="183"/>
        </w:trPr>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2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8"/>
              </w:rPr>
              <w:t>Awarded Compensation</w:t>
            </w:r>
          </w:p>
        </w:tc>
        <w:tc>
          <w:tcPr>
            <w:tcW w:w="1480" w:type="dxa"/>
            <w:vAlign w:val="bottom"/>
            <w:tcBorders>
              <w:top w:val="single" w:sz="8" w:color="0000EE"/>
            </w:tcBorders>
            <w:gridSpan w:val="4"/>
          </w:tcPr>
          <w:p>
            <w:pPr>
              <w:spacing w:after="0"/>
              <w:rPr>
                <w:sz w:val="15"/>
                <w:szCs w:val="15"/>
                <w:color w:val="auto"/>
              </w:rPr>
            </w:pPr>
          </w:p>
        </w:tc>
        <w:tc>
          <w:tcPr>
            <w:tcW w:w="2540" w:type="dxa"/>
            <w:vAlign w:val="bottom"/>
            <w:gridSpan w:val="8"/>
          </w:tcPr>
          <w:p>
            <w:pPr>
              <w:spacing w:after="0"/>
              <w:rPr>
                <w:sz w:val="15"/>
                <w:szCs w:val="15"/>
                <w:color w:val="auto"/>
              </w:rPr>
            </w:pPr>
          </w:p>
        </w:tc>
        <w:tc>
          <w:tcPr>
            <w:tcW w:w="2240" w:type="dxa"/>
            <w:vAlign w:val="bottom"/>
          </w:tcPr>
          <w:p>
            <w:pPr>
              <w:spacing w:after="0"/>
              <w:rPr>
                <w:sz w:val="15"/>
                <w:szCs w:val="15"/>
                <w:color w:val="auto"/>
              </w:rPr>
            </w:pPr>
          </w:p>
        </w:tc>
      </w:tr>
      <w:tr>
        <w:trPr>
          <w:trHeight w:val="380"/>
        </w:trPr>
        <w:tc>
          <w:tcPr>
            <w:tcW w:w="1280" w:type="dxa"/>
            <w:vAlign w:val="bottom"/>
          </w:tcPr>
          <w:p>
            <w:pPr>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5940" w:type="dxa"/>
            <w:vAlign w:val="bottom"/>
            <w:gridSpan w:val="14"/>
          </w:tcPr>
          <w:p>
            <w:pPr>
              <w:spacing w:after="0"/>
              <w:rPr>
                <w:sz w:val="20"/>
                <w:szCs w:val="20"/>
                <w:color w:val="auto"/>
              </w:rPr>
            </w:pPr>
            <w:r>
              <w:rPr>
                <w:rFonts w:ascii="Arial" w:cs="Arial" w:eastAsia="Arial" w:hAnsi="Arial"/>
                <w:sz w:val="18"/>
                <w:szCs w:val="18"/>
                <w:color w:val="auto"/>
              </w:rPr>
              <w:t>The following financial statements from the</w:t>
            </w:r>
          </w:p>
        </w:tc>
        <w:tc>
          <w:tcPr>
            <w:tcW w:w="2240" w:type="dxa"/>
            <w:vAlign w:val="bottom"/>
          </w:tcPr>
          <w:p>
            <w:pPr>
              <w:ind w:left="2120"/>
              <w:spacing w:after="0"/>
              <w:rPr>
                <w:sz w:val="20"/>
                <w:szCs w:val="20"/>
                <w:color w:val="auto"/>
              </w:rPr>
            </w:pPr>
            <w:r>
              <w:rPr>
                <w:rFonts w:ascii="Arial" w:cs="Arial" w:eastAsia="Arial" w:hAnsi="Arial"/>
                <w:sz w:val="18"/>
                <w:szCs w:val="18"/>
                <w:color w:val="auto"/>
                <w:w w:val="82"/>
              </w:rPr>
              <w:t>X</w:t>
            </w:r>
          </w:p>
        </w:tc>
      </w:tr>
      <w:tr>
        <w:trPr>
          <w:trHeight w:val="203"/>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40" w:type="dxa"/>
            <w:vAlign w:val="bottom"/>
            <w:gridSpan w:val="14"/>
          </w:tcPr>
          <w:p>
            <w:pPr>
              <w:spacing w:after="0" w:line="202" w:lineRule="exact"/>
              <w:rPr>
                <w:sz w:val="20"/>
                <w:szCs w:val="20"/>
                <w:color w:val="auto"/>
              </w:rPr>
            </w:pPr>
            <w:r>
              <w:rPr>
                <w:rFonts w:ascii="Arial" w:cs="Arial" w:eastAsia="Arial" w:hAnsi="Arial"/>
                <w:sz w:val="18"/>
                <w:szCs w:val="18"/>
                <w:color w:val="auto"/>
              </w:rPr>
              <w:t>Company’s Yearly Report on Form 10-K for the</w:t>
            </w:r>
          </w:p>
        </w:tc>
        <w:tc>
          <w:tcPr>
            <w:tcW w:w="22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40" w:type="dxa"/>
            <w:vAlign w:val="bottom"/>
            <w:gridSpan w:val="14"/>
          </w:tcPr>
          <w:p>
            <w:pPr>
              <w:spacing w:after="0" w:line="202" w:lineRule="exact"/>
              <w:rPr>
                <w:sz w:val="20"/>
                <w:szCs w:val="20"/>
                <w:color w:val="auto"/>
              </w:rPr>
            </w:pPr>
            <w:r>
              <w:rPr>
                <w:rFonts w:ascii="Arial" w:cs="Arial" w:eastAsia="Arial" w:hAnsi="Arial"/>
                <w:sz w:val="18"/>
                <w:szCs w:val="18"/>
                <w:color w:val="auto"/>
              </w:rPr>
              <w:t>fiscal year ended December 31, 2025 formatted</w:t>
            </w:r>
          </w:p>
        </w:tc>
        <w:tc>
          <w:tcPr>
            <w:tcW w:w="22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40" w:type="dxa"/>
            <w:vAlign w:val="bottom"/>
            <w:gridSpan w:val="14"/>
          </w:tcPr>
          <w:p>
            <w:pPr>
              <w:spacing w:after="0" w:line="202" w:lineRule="exact"/>
              <w:rPr>
                <w:sz w:val="20"/>
                <w:szCs w:val="20"/>
                <w:color w:val="auto"/>
              </w:rPr>
            </w:pPr>
            <w:r>
              <w:rPr>
                <w:rFonts w:ascii="Arial" w:cs="Arial" w:eastAsia="Arial" w:hAnsi="Arial"/>
                <w:sz w:val="18"/>
                <w:szCs w:val="18"/>
                <w:color w:val="auto"/>
              </w:rPr>
              <w:t>in Inline XBRL: (i) Balance Sheets, (ii)</w:t>
            </w:r>
          </w:p>
        </w:tc>
        <w:tc>
          <w:tcPr>
            <w:tcW w:w="22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40" w:type="dxa"/>
            <w:vAlign w:val="bottom"/>
            <w:gridSpan w:val="14"/>
          </w:tcPr>
          <w:p>
            <w:pPr>
              <w:spacing w:after="0" w:line="202" w:lineRule="exact"/>
              <w:rPr>
                <w:sz w:val="20"/>
                <w:szCs w:val="20"/>
                <w:color w:val="auto"/>
              </w:rPr>
            </w:pPr>
            <w:r>
              <w:rPr>
                <w:rFonts w:ascii="Arial" w:cs="Arial" w:eastAsia="Arial" w:hAnsi="Arial"/>
                <w:sz w:val="18"/>
                <w:szCs w:val="18"/>
                <w:color w:val="auto"/>
              </w:rPr>
              <w:t>Statements of Operations, (iii) Statements of</w:t>
            </w:r>
          </w:p>
        </w:tc>
        <w:tc>
          <w:tcPr>
            <w:tcW w:w="22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40" w:type="dxa"/>
            <w:vAlign w:val="bottom"/>
            <w:gridSpan w:val="14"/>
          </w:tcPr>
          <w:p>
            <w:pPr>
              <w:spacing w:after="0" w:line="202" w:lineRule="exact"/>
              <w:rPr>
                <w:sz w:val="20"/>
                <w:szCs w:val="20"/>
                <w:color w:val="auto"/>
              </w:rPr>
            </w:pPr>
            <w:r>
              <w:rPr>
                <w:rFonts w:ascii="Arial" w:cs="Arial" w:eastAsia="Arial" w:hAnsi="Arial"/>
                <w:sz w:val="18"/>
                <w:szCs w:val="18"/>
                <w:color w:val="auto"/>
              </w:rPr>
              <w:t>Stockholders’ Equity (Deficit) and (vi) Notes to</w:t>
            </w:r>
          </w:p>
        </w:tc>
        <w:tc>
          <w:tcPr>
            <w:tcW w:w="224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40" w:type="dxa"/>
            <w:vAlign w:val="bottom"/>
            <w:gridSpan w:val="14"/>
          </w:tcPr>
          <w:p>
            <w:pPr>
              <w:spacing w:after="0" w:line="202" w:lineRule="exact"/>
              <w:rPr>
                <w:sz w:val="20"/>
                <w:szCs w:val="20"/>
                <w:color w:val="auto"/>
              </w:rPr>
            </w:pPr>
            <w:r>
              <w:rPr>
                <w:rFonts w:ascii="Arial" w:cs="Arial" w:eastAsia="Arial" w:hAnsi="Arial"/>
                <w:sz w:val="18"/>
                <w:szCs w:val="18"/>
                <w:color w:val="auto"/>
              </w:rPr>
              <w:t>Financial Statements, tagged as blocks of text</w:t>
            </w:r>
          </w:p>
        </w:tc>
        <w:tc>
          <w:tcPr>
            <w:tcW w:w="2240" w:type="dxa"/>
            <w:vAlign w:val="bottom"/>
          </w:tcPr>
          <w:p>
            <w:pPr>
              <w:spacing w:after="0"/>
              <w:rPr>
                <w:sz w:val="17"/>
                <w:szCs w:val="17"/>
                <w:color w:val="auto"/>
              </w:rPr>
            </w:pPr>
          </w:p>
        </w:tc>
      </w:tr>
      <w:tr>
        <w:trPr>
          <w:trHeight w:val="239"/>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14"/>
          </w:tcPr>
          <w:p>
            <w:pPr>
              <w:spacing w:after="0"/>
              <w:rPr>
                <w:sz w:val="20"/>
                <w:szCs w:val="20"/>
                <w:color w:val="auto"/>
              </w:rPr>
            </w:pPr>
            <w:r>
              <w:rPr>
                <w:rFonts w:ascii="Arial" w:cs="Arial" w:eastAsia="Arial" w:hAnsi="Arial"/>
                <w:sz w:val="18"/>
                <w:szCs w:val="18"/>
                <w:color w:val="auto"/>
              </w:rPr>
              <w:t>and including detailed tags.</w:t>
            </w:r>
          </w:p>
        </w:tc>
        <w:tc>
          <w:tcPr>
            <w:tcW w:w="2240" w:type="dxa"/>
            <w:vAlign w:val="bottom"/>
          </w:tcPr>
          <w:p>
            <w:pPr>
              <w:spacing w:after="0"/>
              <w:rPr>
                <w:sz w:val="20"/>
                <w:szCs w:val="20"/>
                <w:color w:val="auto"/>
              </w:rPr>
            </w:pPr>
          </w:p>
        </w:tc>
      </w:tr>
      <w:tr>
        <w:trPr>
          <w:trHeight w:val="355"/>
        </w:trPr>
        <w:tc>
          <w:tcPr>
            <w:tcW w:w="1280" w:type="dxa"/>
            <w:vAlign w:val="bottom"/>
          </w:tcPr>
          <w:p>
            <w:pPr>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5940" w:type="dxa"/>
            <w:vAlign w:val="bottom"/>
            <w:gridSpan w:val="14"/>
          </w:tcPr>
          <w:p>
            <w:pPr>
              <w:spacing w:after="0"/>
              <w:rPr>
                <w:sz w:val="20"/>
                <w:szCs w:val="20"/>
                <w:color w:val="auto"/>
              </w:rPr>
            </w:pPr>
            <w:r>
              <w:rPr>
                <w:rFonts w:ascii="Arial" w:cs="Arial" w:eastAsia="Arial" w:hAnsi="Arial"/>
                <w:sz w:val="18"/>
                <w:szCs w:val="18"/>
                <w:color w:val="auto"/>
              </w:rPr>
              <w:t>Cover Page Interactive Data File (formatted as</w:t>
            </w:r>
          </w:p>
        </w:tc>
        <w:tc>
          <w:tcPr>
            <w:tcW w:w="2240" w:type="dxa"/>
            <w:vAlign w:val="bottom"/>
          </w:tcPr>
          <w:p>
            <w:pPr>
              <w:ind w:left="2120"/>
              <w:spacing w:after="0"/>
              <w:rPr>
                <w:sz w:val="20"/>
                <w:szCs w:val="20"/>
                <w:color w:val="auto"/>
              </w:rPr>
            </w:pPr>
            <w:r>
              <w:rPr>
                <w:rFonts w:ascii="Arial" w:cs="Arial" w:eastAsia="Arial" w:hAnsi="Arial"/>
                <w:sz w:val="18"/>
                <w:szCs w:val="18"/>
                <w:color w:val="auto"/>
                <w:w w:val="82"/>
              </w:rPr>
              <w:t>X</w:t>
            </w:r>
          </w:p>
        </w:tc>
      </w:tr>
      <w:tr>
        <w:trPr>
          <w:trHeight w:val="239"/>
        </w:trPr>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40" w:type="dxa"/>
            <w:vAlign w:val="bottom"/>
            <w:gridSpan w:val="14"/>
          </w:tcPr>
          <w:p>
            <w:pPr>
              <w:spacing w:after="0"/>
              <w:rPr>
                <w:sz w:val="20"/>
                <w:szCs w:val="20"/>
                <w:color w:val="auto"/>
              </w:rPr>
            </w:pPr>
            <w:r>
              <w:rPr>
                <w:rFonts w:ascii="Arial" w:cs="Arial" w:eastAsia="Arial" w:hAnsi="Arial"/>
                <w:sz w:val="18"/>
                <w:szCs w:val="18"/>
                <w:color w:val="auto"/>
              </w:rPr>
              <w:t>Inline XBRL and contained in Exhibit 101)</w:t>
            </w:r>
          </w:p>
        </w:tc>
        <w:tc>
          <w:tcPr>
            <w:tcW w:w="2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66040</wp:posOffset>
            </wp:positionV>
            <wp:extent cx="15684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73"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12" w:lineRule="exact"/>
        <w:rPr>
          <w:sz w:val="20"/>
          <w:szCs w:val="20"/>
          <w:color w:val="auto"/>
        </w:rPr>
      </w:pPr>
    </w:p>
    <w:p>
      <w:pPr>
        <w:jc w:val="both"/>
        <w:ind w:left="340" w:hanging="332"/>
        <w:spacing w:after="0" w:line="247"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certification is deemed furnished, and not filed, with the SEC and is not to be incorporated by reference into any filing of Harmony Biosciences Holdings,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74" w:lineRule="exact"/>
        <w:rPr>
          <w:sz w:val="20"/>
          <w:szCs w:val="20"/>
          <w:color w:val="auto"/>
        </w:rPr>
      </w:pPr>
    </w:p>
    <w:p>
      <w:pPr>
        <w:ind w:left="380" w:hanging="372"/>
        <w:spacing w:after="0" w:line="271" w:lineRule="auto"/>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Certain portions of this document that the Company customarily and actually treats as private or confidential and is not material have been redacted in accordance with Regulation S-K, Item 601(b)(10)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351790</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48" w:right="10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1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HARMONY BIOSCIENCES HOLDINGS, INC.</w:t>
      </w:r>
    </w:p>
    <w:p>
      <w:pPr>
        <w:spacing w:after="0" w:line="306" w:lineRule="exact"/>
        <w:rPr>
          <w:sz w:val="20"/>
          <w:szCs w:val="20"/>
          <w:color w:val="auto"/>
        </w:rPr>
      </w:pPr>
    </w:p>
    <w:p>
      <w:pPr>
        <w:ind w:left="466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M. Dayno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8890</wp:posOffset>
            </wp:positionV>
            <wp:extent cx="29489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Jeffrey M. Dayno, MD</w:t>
      </w:r>
    </w:p>
    <w:p>
      <w:pPr>
        <w:spacing w:after="0" w:line="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Title:</w:t>
      </w:r>
    </w:p>
    <w:p>
      <w:pPr>
        <w:ind w:left="5300"/>
        <w:spacing w:after="0" w:line="234" w:lineRule="auto"/>
        <w:rPr>
          <w:sz w:val="20"/>
          <w:szCs w:val="20"/>
          <w:color w:val="auto"/>
        </w:rPr>
      </w:pPr>
      <w:r>
        <w:rPr>
          <w:rFonts w:ascii="Arial" w:cs="Arial" w:eastAsia="Arial" w:hAnsi="Arial"/>
          <w:sz w:val="18"/>
          <w:szCs w:val="18"/>
          <w:color w:val="auto"/>
        </w:rPr>
        <w:t>President, Chief Executive Officer and Director (principal</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24, 2026</w:t>
      </w:r>
    </w:p>
    <w:p>
      <w:pPr>
        <w:spacing w:after="0" w:line="212"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200" w:type="dxa"/>
            <w:vAlign w:val="bottom"/>
          </w:tcPr>
          <w:p>
            <w:pPr>
              <w:spacing w:after="0"/>
              <w:rPr>
                <w:sz w:val="19"/>
                <w:szCs w:val="19"/>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19"/>
                <w:szCs w:val="19"/>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r>
      <w:tr>
        <w:trPr>
          <w:trHeight w:val="392"/>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Jeffrey M. Dayno</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President, Chief Executive Officer and 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24, 2026</w:t>
            </w:r>
          </w:p>
        </w:tc>
      </w:tr>
      <w:tr>
        <w:trPr>
          <w:trHeight w:val="239"/>
        </w:trPr>
        <w:tc>
          <w:tcPr>
            <w:tcW w:w="2500" w:type="dxa"/>
            <w:vAlign w:val="bottom"/>
          </w:tcPr>
          <w:p>
            <w:pPr>
              <w:jc w:val="center"/>
              <w:spacing w:after="0"/>
              <w:rPr>
                <w:sz w:val="20"/>
                <w:szCs w:val="20"/>
                <w:color w:val="auto"/>
              </w:rPr>
            </w:pPr>
            <w:r>
              <w:rPr>
                <w:rFonts w:ascii="Arial" w:cs="Arial" w:eastAsia="Arial" w:hAnsi="Arial"/>
                <w:sz w:val="18"/>
                <w:szCs w:val="18"/>
                <w:color w:val="auto"/>
                <w:w w:val="99"/>
              </w:rPr>
              <w:t>Jeffrey M. Dayno, MD</w:t>
            </w:r>
          </w:p>
        </w:tc>
        <w:tc>
          <w:tcPr>
            <w:tcW w:w="200" w:type="dxa"/>
            <w:vAlign w:val="bottom"/>
          </w:tcPr>
          <w:p>
            <w:pPr>
              <w:spacing w:after="0"/>
              <w:rPr>
                <w:sz w:val="20"/>
                <w:szCs w:val="20"/>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(Principal Executive Officer)</w:t>
            </w:r>
          </w:p>
        </w:tc>
        <w:tc>
          <w:tcPr>
            <w:tcW w:w="2480" w:type="dxa"/>
            <w:vAlign w:val="bottom"/>
          </w:tcPr>
          <w:p>
            <w:pPr>
              <w:spacing w:after="0"/>
              <w:rPr>
                <w:sz w:val="20"/>
                <w:szCs w:val="20"/>
                <w:color w:val="auto"/>
              </w:rPr>
            </w:pPr>
          </w:p>
        </w:tc>
      </w:tr>
      <w:tr>
        <w:trPr>
          <w:trHeight w:val="350"/>
        </w:trPr>
        <w:tc>
          <w:tcPr>
            <w:tcW w:w="2500" w:type="dxa"/>
            <w:vAlign w:val="bottom"/>
          </w:tcPr>
          <w:p>
            <w:pPr>
              <w:jc w:val="center"/>
              <w:spacing w:after="0"/>
              <w:rPr>
                <w:sz w:val="20"/>
                <w:szCs w:val="20"/>
                <w:color w:val="auto"/>
              </w:rPr>
            </w:pPr>
            <w:r>
              <w:rPr>
                <w:rFonts w:ascii="Arial" w:cs="Arial" w:eastAsia="Arial" w:hAnsi="Arial"/>
                <w:sz w:val="18"/>
                <w:szCs w:val="18"/>
                <w:color w:val="auto"/>
                <w:w w:val="99"/>
              </w:rPr>
              <w:t>/s/ Sandip Kapadia</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Chief Financial Officer and Chief Administrative Officer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24, 2026</w:t>
            </w:r>
          </w:p>
        </w:tc>
      </w:tr>
      <w:tr>
        <w:trPr>
          <w:trHeight w:val="215"/>
        </w:trPr>
        <w:tc>
          <w:tcPr>
            <w:tcW w:w="2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74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8"/>
              </w:rPr>
              <w:t>(Principal</w:t>
            </w:r>
          </w:p>
        </w:tc>
        <w:tc>
          <w:tcPr>
            <w:tcW w:w="2480" w:type="dxa"/>
            <w:vAlign w:val="bottom"/>
          </w:tcPr>
          <w:p>
            <w:pPr>
              <w:spacing w:after="0"/>
              <w:rPr>
                <w:sz w:val="18"/>
                <w:szCs w:val="18"/>
                <w:color w:val="auto"/>
              </w:rPr>
            </w:pPr>
          </w:p>
        </w:tc>
      </w:tr>
      <w:tr>
        <w:trPr>
          <w:trHeight w:val="239"/>
        </w:trPr>
        <w:tc>
          <w:tcPr>
            <w:tcW w:w="2500" w:type="dxa"/>
            <w:vAlign w:val="bottom"/>
          </w:tcPr>
          <w:p>
            <w:pPr>
              <w:jc w:val="center"/>
              <w:spacing w:after="0"/>
              <w:rPr>
                <w:sz w:val="20"/>
                <w:szCs w:val="20"/>
                <w:color w:val="auto"/>
              </w:rPr>
            </w:pPr>
            <w:r>
              <w:rPr>
                <w:rFonts w:ascii="Arial" w:cs="Arial" w:eastAsia="Arial" w:hAnsi="Arial"/>
                <w:sz w:val="18"/>
                <w:szCs w:val="18"/>
                <w:color w:val="auto"/>
                <w:w w:val="99"/>
              </w:rPr>
              <w:t>Sandip Kapadia</w:t>
            </w:r>
          </w:p>
        </w:tc>
        <w:tc>
          <w:tcPr>
            <w:tcW w:w="200" w:type="dxa"/>
            <w:vAlign w:val="bottom"/>
          </w:tcPr>
          <w:p>
            <w:pPr>
              <w:spacing w:after="0"/>
              <w:rPr>
                <w:sz w:val="20"/>
                <w:szCs w:val="20"/>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rPr>
              <w:t>Financial Officer and Principal Accounting Officer)</w:t>
            </w: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Jeffrey S. Aronin</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rPr>
              <w:t>Chairman of the Board</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24, 2026</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rPr>
              <w:t>Jeffrey S. Aronin</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Peter Anastasiou</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24, 2026</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rPr>
              <w:t>Peter Anastasiou</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Antonio Gracias</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24, 2026</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w w:val="99"/>
              </w:rPr>
              <w:t>Antonio Gracias</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 Mark Graf</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24, 2026</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w w:val="98"/>
              </w:rPr>
              <w:t>R. Mark Graf</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Juan A. Sabater</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24, 2026</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rPr>
              <w:t>Juan A. Sabater</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Gary Sender</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24, 2026</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w w:val="99"/>
              </w:rPr>
              <w:t>Gary Sender</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Linda Szyper</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24, 2026</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rPr>
              <w:t>Linda Szyper</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Andreas Wicki</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February 24 2026</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w w:val="99"/>
              </w:rPr>
              <w:t>Andreas Wicki</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69"/>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Ron Philip</w:t>
            </w:r>
          </w:p>
        </w:tc>
        <w:tc>
          <w:tcPr>
            <w:tcW w:w="200" w:type="dxa"/>
            <w:vAlign w:val="bottom"/>
          </w:tcPr>
          <w:p>
            <w:pPr>
              <w:spacing w:after="0"/>
              <w:rPr>
                <w:sz w:val="24"/>
                <w:szCs w:val="24"/>
                <w:color w:val="auto"/>
              </w:rPr>
            </w:pPr>
          </w:p>
        </w:tc>
        <w:tc>
          <w:tcPr>
            <w:tcW w:w="47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rPr>
              <w:t>February 24, 2026</w:t>
            </w:r>
          </w:p>
        </w:tc>
      </w:tr>
      <w:tr>
        <w:trPr>
          <w:trHeight w:val="232"/>
        </w:trPr>
        <w:tc>
          <w:tcPr>
            <w:tcW w:w="2500" w:type="dxa"/>
            <w:vAlign w:val="bottom"/>
          </w:tcPr>
          <w:p>
            <w:pPr>
              <w:jc w:val="center"/>
              <w:spacing w:after="0"/>
              <w:rPr>
                <w:sz w:val="20"/>
                <w:szCs w:val="20"/>
                <w:color w:val="auto"/>
              </w:rPr>
            </w:pPr>
            <w:r>
              <w:rPr>
                <w:rFonts w:ascii="Arial" w:cs="Arial" w:eastAsia="Arial" w:hAnsi="Arial"/>
                <w:sz w:val="18"/>
                <w:szCs w:val="18"/>
                <w:color w:val="auto"/>
                <w:w w:val="99"/>
              </w:rPr>
              <w:t>Ron Philip</w:t>
            </w:r>
          </w:p>
        </w:tc>
        <w:tc>
          <w:tcPr>
            <w:tcW w:w="2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832"/>
        </w:trPr>
        <w:tc>
          <w:tcPr>
            <w:tcW w:w="2500" w:type="dxa"/>
            <w:vAlign w:val="bottom"/>
          </w:tcPr>
          <w:p>
            <w:pPr>
              <w:spacing w:after="0"/>
              <w:rPr>
                <w:sz w:val="24"/>
                <w:szCs w:val="24"/>
                <w:color w:val="auto"/>
              </w:rPr>
            </w:pPr>
          </w:p>
        </w:tc>
        <w:tc>
          <w:tcPr>
            <w:tcW w:w="474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130</w:t>
            </w:r>
          </w:p>
        </w:tc>
        <w:tc>
          <w:tcPr>
            <w:tcW w:w="2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543"/>
        </w:trPr>
        <w:tc>
          <w:tcPr>
            <w:tcW w:w="2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9"/>
          <w:szCs w:val="19"/>
          <w:b w:val="1"/>
          <w:bCs w:val="1"/>
          <w:color w:val="auto"/>
        </w:rPr>
        <w:t>Exhibit 21.1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540" w:type="dxa"/>
            <w:vAlign w:val="bottom"/>
          </w:tcPr>
          <w:p>
            <w:pPr>
              <w:spacing w:after="0"/>
              <w:rPr>
                <w:sz w:val="21"/>
                <w:szCs w:val="21"/>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9"/>
                <w:szCs w:val="19"/>
                <w:b w:val="1"/>
                <w:bCs w:val="1"/>
                <w:color w:val="auto"/>
              </w:rPr>
              <w:t>Subsidiaries of Harmony Biosciences Holdings, Inc.</w:t>
            </w:r>
          </w:p>
        </w:tc>
      </w:tr>
      <w:tr>
        <w:trPr>
          <w:trHeight w:val="330"/>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7380" w:type="dxa"/>
            <w:vAlign w:val="bottom"/>
          </w:tcPr>
          <w:p>
            <w:pPr>
              <w:jc w:val="center"/>
              <w:ind w:right="2197"/>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411"/>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Harmony Biosciences, LLC</w:t>
            </w:r>
          </w:p>
        </w:tc>
        <w:tc>
          <w:tcPr>
            <w:tcW w:w="7380" w:type="dxa"/>
            <w:vAlign w:val="bottom"/>
          </w:tcPr>
          <w:p>
            <w:pPr>
              <w:jc w:val="center"/>
              <w:ind w:right="2197"/>
              <w:spacing w:after="0"/>
              <w:rPr>
                <w:sz w:val="20"/>
                <w:szCs w:val="20"/>
                <w:color w:val="auto"/>
              </w:rPr>
            </w:pPr>
            <w:r>
              <w:rPr>
                <w:rFonts w:ascii="Times New Roman" w:cs="Times New Roman" w:eastAsia="Times New Roman" w:hAnsi="Times New Roman"/>
                <w:sz w:val="16"/>
                <w:szCs w:val="16"/>
                <w:color w:val="auto"/>
              </w:rPr>
              <w:t>Delaware, USA</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Harmony Biosciences</w:t>
            </w:r>
          </w:p>
        </w:tc>
        <w:tc>
          <w:tcPr>
            <w:tcW w:w="7380" w:type="dxa"/>
            <w:vAlign w:val="bottom"/>
          </w:tcPr>
          <w:p>
            <w:pPr>
              <w:spacing w:after="0"/>
              <w:rPr>
                <w:sz w:val="17"/>
                <w:szCs w:val="17"/>
                <w:color w:val="auto"/>
              </w:rPr>
            </w:pPr>
          </w:p>
        </w:tc>
      </w:tr>
      <w:tr>
        <w:trPr>
          <w:trHeight w:val="210"/>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Management, Inc.</w:t>
            </w:r>
          </w:p>
        </w:tc>
        <w:tc>
          <w:tcPr>
            <w:tcW w:w="7380" w:type="dxa"/>
            <w:vAlign w:val="bottom"/>
          </w:tcPr>
          <w:p>
            <w:pPr>
              <w:jc w:val="center"/>
              <w:ind w:right="2197"/>
              <w:spacing w:after="0"/>
              <w:rPr>
                <w:sz w:val="20"/>
                <w:szCs w:val="20"/>
                <w:color w:val="auto"/>
              </w:rPr>
            </w:pPr>
            <w:r>
              <w:rPr>
                <w:rFonts w:ascii="Times New Roman" w:cs="Times New Roman" w:eastAsia="Times New Roman" w:hAnsi="Times New Roman"/>
                <w:sz w:val="16"/>
                <w:szCs w:val="16"/>
                <w:color w:val="auto"/>
              </w:rPr>
              <w:t>Delaware, USA</w:t>
            </w:r>
          </w:p>
        </w:tc>
      </w:tr>
      <w:tr>
        <w:trPr>
          <w:trHeight w:val="405"/>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Zynerba Pharmaceuticals Pty Ltd</w:t>
            </w:r>
          </w:p>
        </w:tc>
        <w:tc>
          <w:tcPr>
            <w:tcW w:w="7380" w:type="dxa"/>
            <w:vAlign w:val="bottom"/>
          </w:tcPr>
          <w:p>
            <w:pPr>
              <w:jc w:val="center"/>
              <w:ind w:right="2217"/>
              <w:spacing w:after="0"/>
              <w:rPr>
                <w:sz w:val="20"/>
                <w:szCs w:val="20"/>
                <w:color w:val="auto"/>
              </w:rPr>
            </w:pPr>
            <w:r>
              <w:rPr>
                <w:rFonts w:ascii="Times New Roman" w:cs="Times New Roman" w:eastAsia="Times New Roman" w:hAnsi="Times New Roman"/>
                <w:sz w:val="16"/>
                <w:szCs w:val="16"/>
                <w:color w:val="auto"/>
              </w:rPr>
              <w:t>Australia</w:t>
            </w:r>
          </w:p>
        </w:tc>
      </w:tr>
      <w:tr>
        <w:trPr>
          <w:trHeight w:val="405"/>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Epygenix Therapeutics, Inc.</w:t>
            </w:r>
          </w:p>
        </w:tc>
        <w:tc>
          <w:tcPr>
            <w:tcW w:w="7380" w:type="dxa"/>
            <w:vAlign w:val="bottom"/>
          </w:tcPr>
          <w:p>
            <w:pPr>
              <w:jc w:val="center"/>
              <w:ind w:right="2217"/>
              <w:spacing w:after="0"/>
              <w:rPr>
                <w:sz w:val="20"/>
                <w:szCs w:val="20"/>
                <w:color w:val="auto"/>
              </w:rPr>
            </w:pPr>
            <w:r>
              <w:rPr>
                <w:rFonts w:ascii="Times New Roman" w:cs="Times New Roman" w:eastAsia="Times New Roman" w:hAnsi="Times New Roman"/>
                <w:sz w:val="16"/>
                <w:szCs w:val="16"/>
                <w:color w:val="auto"/>
                <w:w w:val="99"/>
              </w:rPr>
              <w:t>Wyoming, USA</w:t>
            </w:r>
          </w:p>
        </w:tc>
      </w:tr>
      <w:tr>
        <w:trPr>
          <w:trHeight w:val="782"/>
        </w:trPr>
        <w:tc>
          <w:tcPr>
            <w:tcW w:w="254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0" w:right="99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23.1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8"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We consent to the incorporation by reference in Registration Statement No. 333-285200 on Form S-3ASR and Registration Statements No. 333-248243, 333-26307, 333-271570, 333-277269 and 333-285202 on Form S-8 of our reports dated February 24, 2026, relating to the financial statements of Harmony Biosciences Holdings, Inc. and the effectiveness of Harmony Biosciences Holdings, Inc.’s internal control over financial reporting appearing in this Annual Report on Form 10-K for the year ended December 31, 2025.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M. Dayno, MD, certify that:</w:t>
      </w:r>
    </w:p>
    <w:p>
      <w:pPr>
        <w:spacing w:after="0" w:line="225" w:lineRule="exact"/>
        <w:rPr>
          <w:sz w:val="20"/>
          <w:szCs w:val="20"/>
          <w:color w:val="auto"/>
        </w:rPr>
      </w:pPr>
    </w:p>
    <w:p>
      <w:pPr>
        <w:ind w:left="700" w:hanging="341"/>
        <w:spacing w:after="0"/>
        <w:tabs>
          <w:tab w:leader="none" w:pos="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40" w:hanging="341"/>
        <w:spacing w:after="0" w:line="266" w:lineRule="auto"/>
        <w:tabs>
          <w:tab w:leader="none" w:pos="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6" w:lineRule="auto"/>
        <w:tabs>
          <w:tab w:leader="none" w:pos="14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700" w:right="320" w:hanging="341"/>
        <w:spacing w:after="0" w:line="266" w:lineRule="auto"/>
        <w:tabs>
          <w:tab w:leader="none" w:pos="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20" w:right="340" w:hanging="359"/>
        <w:spacing w:after="0" w:line="266" w:lineRule="auto"/>
        <w:tabs>
          <w:tab w:leader="none" w:pos="14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20" w:right="160" w:hanging="359"/>
        <w:spacing w:after="0" w:line="282" w:lineRule="auto"/>
        <w:tabs>
          <w:tab w:leader="none" w:pos="14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M. Dayno, MD</w:t>
            </w:r>
          </w:p>
        </w:tc>
        <w:tc>
          <w:tcPr>
            <w:tcW w:w="4880" w:type="dxa"/>
            <w:vAlign w:val="bottom"/>
          </w:tcPr>
          <w:p>
            <w:pPr>
              <w:spacing w:after="0"/>
              <w:rPr>
                <w:sz w:val="20"/>
                <w:szCs w:val="20"/>
                <w:color w:val="auto"/>
              </w:rPr>
            </w:pPr>
          </w:p>
        </w:tc>
      </w:tr>
      <w:tr>
        <w:trPr>
          <w:trHeight w:val="40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M. Dayno, MD</w:t>
            </w:r>
          </w:p>
        </w:tc>
      </w:tr>
      <w:tr>
        <w:trPr>
          <w:trHeight w:val="216"/>
        </w:trPr>
        <w:tc>
          <w:tcPr>
            <w:tcW w:w="68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680" w:type="dxa"/>
            <w:vAlign w:val="bottom"/>
          </w:tcPr>
          <w:p>
            <w:pPr>
              <w:spacing w:after="0"/>
              <w:rPr>
                <w:sz w:val="20"/>
                <w:szCs w:val="20"/>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6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Sandip Kapadia, certify that:</w:t>
      </w:r>
    </w:p>
    <w:p>
      <w:pPr>
        <w:spacing w:after="0" w:line="225" w:lineRule="exact"/>
        <w:rPr>
          <w:sz w:val="20"/>
          <w:szCs w:val="20"/>
          <w:color w:val="auto"/>
        </w:rPr>
      </w:pPr>
    </w:p>
    <w:p>
      <w:pPr>
        <w:ind w:left="700" w:hanging="341"/>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40" w:hanging="341"/>
        <w:spacing w:after="0" w:line="266" w:lineRule="auto"/>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6" w:lineRule="auto"/>
        <w:tabs>
          <w:tab w:leader="none" w:pos="14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18"/>
          <w:szCs w:val="18"/>
          <w:color w:val="auto"/>
        </w:rPr>
      </w:pPr>
    </w:p>
    <w:p>
      <w:pPr>
        <w:jc w:val="both"/>
        <w:ind w:left="1420" w:hanging="359"/>
        <w:spacing w:after="0" w:line="260" w:lineRule="auto"/>
        <w:tabs>
          <w:tab w:leader="none" w:pos="14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that occurred during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most recent fiscal quarter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fourth fiscal quarter in the case of an annual report) that has materially affected, or is reasonably likely to materially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and</w:t>
      </w:r>
    </w:p>
    <w:p>
      <w:pPr>
        <w:spacing w:after="0" w:line="180" w:lineRule="exact"/>
        <w:rPr>
          <w:rFonts w:ascii="Times New Roman" w:cs="Times New Roman" w:eastAsia="Times New Roman" w:hAnsi="Times New Roman"/>
          <w:sz w:val="18"/>
          <w:szCs w:val="18"/>
          <w:color w:val="auto"/>
        </w:rPr>
      </w:pPr>
    </w:p>
    <w:p>
      <w:pPr>
        <w:ind w:left="700" w:right="340" w:hanging="341"/>
        <w:spacing w:after="0" w:line="265" w:lineRule="auto"/>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have disclosed, based on our most recent evaluation of internal control over financial reporting, to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auditors and the audit committee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(or persons performing the equivalent functions):</w:t>
      </w:r>
    </w:p>
    <w:p>
      <w:pPr>
        <w:spacing w:after="0" w:line="177" w:lineRule="exact"/>
        <w:rPr>
          <w:rFonts w:ascii="Times New Roman" w:cs="Times New Roman" w:eastAsia="Times New Roman" w:hAnsi="Times New Roman"/>
          <w:sz w:val="18"/>
          <w:szCs w:val="18"/>
          <w:color w:val="auto"/>
        </w:rPr>
      </w:pPr>
    </w:p>
    <w:p>
      <w:pPr>
        <w:ind w:left="1420" w:right="340" w:hanging="359"/>
        <w:spacing w:after="0" w:line="265" w:lineRule="auto"/>
        <w:tabs>
          <w:tab w:leader="none" w:pos="14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record, process, summarize and report financial information; and</w:t>
      </w:r>
    </w:p>
    <w:p>
      <w:pPr>
        <w:spacing w:after="0" w:line="177" w:lineRule="exact"/>
        <w:rPr>
          <w:rFonts w:ascii="Times New Roman" w:cs="Times New Roman" w:eastAsia="Times New Roman" w:hAnsi="Times New Roman"/>
          <w:sz w:val="18"/>
          <w:szCs w:val="18"/>
          <w:color w:val="auto"/>
        </w:rPr>
      </w:pPr>
    </w:p>
    <w:p>
      <w:pPr>
        <w:ind w:left="1420" w:right="160" w:hanging="359"/>
        <w:spacing w:after="0" w:line="285" w:lineRule="auto"/>
        <w:tabs>
          <w:tab w:leader="none" w:pos="14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Sandip Kapadia</w:t>
            </w:r>
          </w:p>
        </w:tc>
        <w:tc>
          <w:tcPr>
            <w:tcW w:w="4960" w:type="dxa"/>
            <w:vAlign w:val="bottom"/>
          </w:tcPr>
          <w:p>
            <w:pPr>
              <w:spacing w:after="0"/>
              <w:rPr>
                <w:sz w:val="20"/>
                <w:szCs w:val="20"/>
                <w:color w:val="auto"/>
              </w:rPr>
            </w:pPr>
          </w:p>
        </w:tc>
      </w:tr>
      <w:tr>
        <w:trPr>
          <w:trHeight w:val="4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Sandip Kapadia</w:t>
            </w:r>
          </w:p>
        </w:tc>
      </w:tr>
      <w:tr>
        <w:trPr>
          <w:trHeight w:val="216"/>
        </w:trPr>
        <w:tc>
          <w:tcPr>
            <w:tcW w:w="66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Chief Administrative Officer</w:t>
            </w:r>
          </w:p>
        </w:tc>
      </w:tr>
      <w:tr>
        <w:trPr>
          <w:trHeight w:val="234"/>
        </w:trPr>
        <w:tc>
          <w:tcPr>
            <w:tcW w:w="660" w:type="dxa"/>
            <w:vAlign w:val="bottom"/>
          </w:tcPr>
          <w:p>
            <w:pPr>
              <w:spacing w:after="0"/>
              <w:rPr>
                <w:sz w:val="20"/>
                <w:szCs w:val="20"/>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tc>
      </w:tr>
      <w:tr>
        <w:trPr>
          <w:trHeight w:val="776"/>
        </w:trPr>
        <w:tc>
          <w:tcPr>
            <w:tcW w:w="6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In connection with the Annual Report on Form 10-K of Harmony Biosciences Holdings, Inc. (the “Company”) for the year ended December 31, 2025,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0" w:lineRule="exact"/>
        <w:rPr>
          <w:sz w:val="20"/>
          <w:szCs w:val="20"/>
          <w:color w:val="auto"/>
        </w:rPr>
      </w:pPr>
    </w:p>
    <w:p>
      <w:pPr>
        <w:ind w:left="660" w:right="20" w:hanging="328"/>
        <w:spacing w:after="0" w:line="271"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460" w:type="dxa"/>
            <w:vAlign w:val="bottom"/>
          </w:tcPr>
          <w:p>
            <w:pPr>
              <w:spacing w:after="0"/>
              <w:rPr>
                <w:sz w:val="20"/>
                <w:szCs w:val="20"/>
                <w:color w:val="auto"/>
              </w:rPr>
            </w:pPr>
            <w:r>
              <w:rPr>
                <w:rFonts w:ascii="Arial" w:cs="Arial" w:eastAsia="Arial" w:hAnsi="Arial"/>
                <w:sz w:val="18"/>
                <w:szCs w:val="18"/>
                <w:color w:val="auto"/>
              </w:rPr>
              <w:t>February 24, 2026</w:t>
            </w:r>
          </w:p>
        </w:tc>
      </w:tr>
      <w:tr>
        <w:trPr>
          <w:trHeight w:val="22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M. Dayno, MD</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Name: Jeffrey M. Dayno, MD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President, Chief Executive Officer and Director</w:t>
      </w:r>
    </w:p>
    <w:p>
      <w:pPr>
        <w:ind w:left="58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5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In connection with the Annual Report on Form 10-K of Harmony Biosciences Holdings, Inc. (the “Company”) for the year ended December 31, 2025,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0" w:lineRule="exact"/>
        <w:rPr>
          <w:sz w:val="20"/>
          <w:szCs w:val="20"/>
          <w:color w:val="auto"/>
        </w:rPr>
      </w:pPr>
    </w:p>
    <w:p>
      <w:pPr>
        <w:ind w:left="700" w:right="220" w:hanging="341"/>
        <w:spacing w:after="0" w:line="271"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700" w:right="40" w:hanging="341"/>
        <w:spacing w:after="0" w:line="271" w:lineRule="auto"/>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February 24, 2026</w:t>
      </w:r>
    </w:p>
    <w:p>
      <w:pPr>
        <w:spacing w:after="0" w:line="1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Sandip Kapadia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-1905</wp:posOffset>
            </wp:positionV>
            <wp:extent cx="28289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Name: Sandip Kapadia</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Chief Financial Officer and Chief Administrative Officer</w:t>
      </w:r>
    </w:p>
    <w:p>
      <w:pPr>
        <w:ind w:left="600"/>
        <w:spacing w:after="0" w:line="234" w:lineRule="auto"/>
        <w:rPr>
          <w:sz w:val="20"/>
          <w:szCs w:val="20"/>
          <w:color w:val="auto"/>
        </w:rPr>
      </w:pPr>
      <w:r>
        <w:rPr>
          <w:rFonts w:ascii="Arial" w:cs="Arial" w:eastAsia="Arial" w:hAnsi="Arial"/>
          <w:sz w:val="18"/>
          <w:szCs w:val="18"/>
          <w:color w:val="auto"/>
        </w:rPr>
        <w:t>(Principal Financial Officer and Principal Accounting</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Officer)</w:t>
      </w:r>
    </w:p>
    <w:p>
      <w:pPr>
        <w:spacing w:after="0" w:line="180"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4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6" w:name="page137"/>
    <w:bookmarkEnd w:id="136"/>
    <w:p>
      <w:pPr>
        <w:jc w:val="right"/>
        <w:ind w:right="219"/>
        <w:spacing w:after="0"/>
        <w:rPr>
          <w:sz w:val="20"/>
          <w:szCs w:val="20"/>
          <w:color w:val="auto"/>
        </w:rPr>
      </w:pPr>
      <w:r>
        <w:rPr>
          <w:rFonts w:ascii="Arial" w:cs="Arial" w:eastAsia="Arial" w:hAnsi="Arial"/>
          <w:sz w:val="20"/>
          <w:szCs w:val="20"/>
          <w:b w:val="1"/>
          <w:bCs w:val="1"/>
          <w:color w:val="auto"/>
        </w:rPr>
        <w:t>Exhibit 97.1</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HARMONY BIOSCIENCES HOLDINGS,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218"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2"/>
          <w:szCs w:val="22"/>
          <w:color w:val="auto"/>
        </w:rPr>
        <w:t>Harmony Biosciences Holdings,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October 2,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used in this Policy but not otherwise defined herein are defined in Section 11.</w:t>
      </w:r>
    </w:p>
    <w:p>
      <w:pPr>
        <w:spacing w:after="0" w:line="173" w:lineRule="exact"/>
        <w:rPr>
          <w:sz w:val="20"/>
          <w:szCs w:val="20"/>
          <w:color w:val="auto"/>
        </w:rPr>
      </w:pPr>
    </w:p>
    <w:p>
      <w:pPr>
        <w:ind w:left="860" w:hanging="651"/>
        <w:spacing w:after="0"/>
        <w:tabs>
          <w:tab w:leader="none" w:pos="86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224"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This Policy shall apply to current and former Officers. Each Officer shall be required to sign an Acknowledgment Agreement pursuant to which such Officer will agree to be bound by the terms of, and comply with, this Policy; however, any Officer’s failure to sign any such Acknowledgment Agreement shall not negate the application of this Policy to the Officer.</w:t>
      </w:r>
    </w:p>
    <w:p>
      <w:pPr>
        <w:spacing w:after="0" w:line="175" w:lineRule="exact"/>
        <w:rPr>
          <w:sz w:val="20"/>
          <w:szCs w:val="20"/>
          <w:color w:val="auto"/>
        </w:rPr>
      </w:pPr>
    </w:p>
    <w:p>
      <w:pPr>
        <w:ind w:left="860" w:hanging="651"/>
        <w:spacing w:after="0"/>
        <w:tabs>
          <w:tab w:leader="none" w:pos="86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224"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83" w:lineRule="exact"/>
        <w:rPr>
          <w:sz w:val="20"/>
          <w:szCs w:val="20"/>
          <w:color w:val="auto"/>
        </w:rPr>
      </w:pPr>
    </w:p>
    <w:p>
      <w:pPr>
        <w:ind w:left="860" w:hanging="651"/>
        <w:spacing w:after="0"/>
        <w:tabs>
          <w:tab w:leader="none" w:pos="86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224" w:lineRule="exact"/>
        <w:rPr>
          <w:sz w:val="20"/>
          <w:szCs w:val="20"/>
          <w:color w:val="auto"/>
        </w:rPr>
      </w:pPr>
    </w:p>
    <w:p>
      <w:pPr>
        <w:jc w:val="both"/>
        <w:ind w:left="200" w:right="219" w:firstLine="648"/>
        <w:spacing w:after="0" w:line="260" w:lineRule="auto"/>
        <w:rPr>
          <w:sz w:val="20"/>
          <w:szCs w:val="20"/>
          <w:color w:val="auto"/>
        </w:rPr>
      </w:pPr>
      <w:r>
        <w:rPr>
          <w:rFonts w:ascii="Times New Roman" w:cs="Times New Roman" w:eastAsia="Times New Roman" w:hAnsi="Times New Roman"/>
          <w:sz w:val="21"/>
          <w:szCs w:val="21"/>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74" w:lineRule="exact"/>
        <w:rPr>
          <w:sz w:val="20"/>
          <w:szCs w:val="20"/>
          <w:color w:val="auto"/>
        </w:rPr>
      </w:pPr>
    </w:p>
    <w:p>
      <w:pPr>
        <w:ind w:left="860" w:hanging="651"/>
        <w:spacing w:after="0"/>
        <w:tabs>
          <w:tab w:leader="none" w:pos="86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224"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Erroneously Awarded Compensation or solely time-vesting equity awards, reimbursement or repayment by any person subject to this Policy of the Erroneously Awarded Compensation, and, to the extent permitted by law, an offset of the Erroneously Awarded Compensation against other</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665480</wp:posOffset>
            </wp:positionV>
            <wp:extent cx="545211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9" w:right="1440" w:bottom="1440" w:gutter="0" w:footer="0" w:header="0"/>
        </w:sectPr>
      </w:pPr>
    </w:p>
    <w:bookmarkStart w:id="137" w:name="page138"/>
    <w:bookmarkEnd w:id="137"/>
    <w:p>
      <w:pPr>
        <w:jc w:val="both"/>
        <w:ind w:left="200" w:right="219"/>
        <w:spacing w:after="0" w:line="247" w:lineRule="auto"/>
        <w:rPr>
          <w:sz w:val="20"/>
          <w:szCs w:val="20"/>
          <w:color w:val="auto"/>
        </w:rPr>
      </w:pPr>
      <w:r>
        <w:rPr>
          <w:rFonts w:ascii="Times New Roman" w:cs="Times New Roman" w:eastAsia="Times New Roman" w:hAnsi="Times New Roman"/>
          <w:sz w:val="22"/>
          <w:szCs w:val="22"/>
          <w:color w:val="auto"/>
        </w:rPr>
        <w:t>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81" w:lineRule="exact"/>
        <w:rPr>
          <w:sz w:val="20"/>
          <w:szCs w:val="20"/>
          <w:color w:val="auto"/>
        </w:rPr>
      </w:pPr>
    </w:p>
    <w:p>
      <w:pPr>
        <w:ind w:left="860" w:hanging="651"/>
        <w:spacing w:after="0"/>
        <w:tabs>
          <w:tab w:leader="none" w:pos="86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24"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2"/>
          <w:szCs w:val="22"/>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83" w:lineRule="exact"/>
        <w:rPr>
          <w:sz w:val="20"/>
          <w:szCs w:val="20"/>
          <w:color w:val="auto"/>
        </w:rPr>
      </w:pPr>
    </w:p>
    <w:p>
      <w:pPr>
        <w:ind w:left="860" w:hanging="651"/>
        <w:spacing w:after="0"/>
        <w:tabs>
          <w:tab w:leader="none" w:pos="86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224"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This Policy shall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75" w:lineRule="exact"/>
        <w:rPr>
          <w:sz w:val="20"/>
          <w:szCs w:val="20"/>
          <w:color w:val="auto"/>
        </w:rPr>
      </w:pPr>
    </w:p>
    <w:p>
      <w:pPr>
        <w:ind w:left="860" w:hanging="651"/>
        <w:spacing w:after="0"/>
        <w:tabs>
          <w:tab w:leader="none" w:pos="86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No Liability</w:t>
      </w:r>
    </w:p>
    <w:p>
      <w:pPr>
        <w:spacing w:after="0" w:line="224"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83" w:lineRule="exact"/>
        <w:rPr>
          <w:sz w:val="20"/>
          <w:szCs w:val="20"/>
          <w:color w:val="auto"/>
        </w:rPr>
      </w:pPr>
    </w:p>
    <w:p>
      <w:pPr>
        <w:ind w:left="860" w:hanging="651"/>
        <w:spacing w:after="0"/>
        <w:tabs>
          <w:tab w:leader="none" w:pos="86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224"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21"/>
          <w:szCs w:val="21"/>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699770</wp:posOffset>
            </wp:positionV>
            <wp:extent cx="545211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8" w:name="page139"/>
    <w:bookmarkEnd w:id="138"/>
    <w:p>
      <w:pPr>
        <w:jc w:val="both"/>
        <w:ind w:left="200" w:right="219"/>
        <w:spacing w:after="0" w:line="250" w:lineRule="auto"/>
        <w:rPr>
          <w:sz w:val="20"/>
          <w:szCs w:val="20"/>
          <w:color w:val="auto"/>
        </w:rPr>
      </w:pPr>
      <w:r>
        <w:rPr>
          <w:rFonts w:ascii="Times New Roman" w:cs="Times New Roman" w:eastAsia="Times New Roman" w:hAnsi="Times New Roman"/>
          <w:sz w:val="22"/>
          <w:szCs w:val="22"/>
          <w:color w:val="auto"/>
        </w:rPr>
        <w:t>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 right or remedy at law or in equity that may be available to the Company or an affiliate of the Company.</w:t>
      </w:r>
    </w:p>
    <w:p>
      <w:pPr>
        <w:spacing w:after="0" w:line="177" w:lineRule="exact"/>
        <w:rPr>
          <w:sz w:val="20"/>
          <w:szCs w:val="20"/>
          <w:color w:val="auto"/>
        </w:rPr>
      </w:pPr>
    </w:p>
    <w:p>
      <w:pPr>
        <w:ind w:left="860" w:hanging="651"/>
        <w:spacing w:after="0"/>
        <w:tabs>
          <w:tab w:leader="none" w:pos="86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224"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77" w:lineRule="exact"/>
        <w:rPr>
          <w:sz w:val="20"/>
          <w:szCs w:val="20"/>
          <w:color w:val="auto"/>
        </w:rPr>
      </w:pPr>
    </w:p>
    <w:p>
      <w:pPr>
        <w:ind w:left="860" w:hanging="651"/>
        <w:spacing w:after="0"/>
        <w:tabs>
          <w:tab w:leader="none" w:pos="86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24"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89" w:lineRule="exact"/>
        <w:rPr>
          <w:sz w:val="20"/>
          <w:szCs w:val="20"/>
          <w:color w:val="auto"/>
        </w:rPr>
      </w:pPr>
    </w:p>
    <w:p>
      <w:pPr>
        <w:ind w:left="860" w:hanging="651"/>
        <w:spacing w:after="0"/>
        <w:tabs>
          <w:tab w:leader="none" w:pos="86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64" w:lineRule="exact"/>
        <w:rPr>
          <w:sz w:val="20"/>
          <w:szCs w:val="20"/>
          <w:color w:val="auto"/>
        </w:rPr>
      </w:pPr>
    </w:p>
    <w:p>
      <w:pPr>
        <w:jc w:val="both"/>
        <w:ind w:left="200" w:right="219" w:firstLine="648"/>
        <w:spacing w:after="0" w:line="27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102" w:lineRule="exact"/>
        <w:rPr>
          <w:sz w:val="20"/>
          <w:szCs w:val="20"/>
          <w:color w:val="auto"/>
        </w:rPr>
      </w:pPr>
    </w:p>
    <w:p>
      <w:pPr>
        <w:jc w:val="both"/>
        <w:ind w:left="200" w:right="219" w:firstLine="648"/>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46"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20"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w:t>
      </w:r>
      <w:r>
        <w:rPr>
          <w:rFonts w:ascii="Times New Roman" w:cs="Times New Roman" w:eastAsia="Times New Roman" w:hAnsi="Times New Roman"/>
          <w:sz w:val="22"/>
          <w:szCs w:val="22"/>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708660</wp:posOffset>
            </wp:positionV>
            <wp:extent cx="545211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9" w:name="page140"/>
    <w:bookmarkEnd w:id="139"/>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220" w:lineRule="exact"/>
        <w:rPr>
          <w:sz w:val="20"/>
          <w:szCs w:val="20"/>
          <w:color w:val="auto"/>
        </w:rPr>
      </w:pPr>
    </w:p>
    <w:p>
      <w:pPr>
        <w:ind w:left="200" w:right="219"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adopted by the International Accounting Standards Board.</w:t>
      </w:r>
    </w:p>
    <w:p>
      <w:pPr>
        <w:spacing w:after="0" w:line="147" w:lineRule="exact"/>
        <w:rPr>
          <w:sz w:val="20"/>
          <w:szCs w:val="20"/>
          <w:color w:val="auto"/>
        </w:rPr>
      </w:pPr>
    </w:p>
    <w:p>
      <w:pPr>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(a) the direct costs paid to third parties to assist in enforcing recovery would exceed the Erroneously Awarded Compensation; provided that the Company has</w:t>
      </w:r>
    </w:p>
    <w:p>
      <w:pPr>
        <w:spacing w:after="0" w:line="1" w:lineRule="exact"/>
        <w:rPr>
          <w:sz w:val="20"/>
          <w:szCs w:val="20"/>
          <w:color w:val="auto"/>
        </w:rPr>
      </w:pPr>
    </w:p>
    <w:p>
      <w:pPr>
        <w:jc w:val="both"/>
        <w:ind w:left="200" w:right="219" w:firstLine="9"/>
        <w:spacing w:after="0" w:line="243" w:lineRule="auto"/>
        <w:tabs>
          <w:tab w:leader="none" w:pos="47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90"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 Measures and received by a person: (a) after such person began service as an Officer; (b) who served as an Officer at any time during the performance period for that compensation; (c) while the Company has a class of its securities listed on a national securities exchange or association; and (d) during the applicable Three-Year Period.</w:t>
      </w:r>
    </w:p>
    <w:p>
      <w:pPr>
        <w:spacing w:after="0" w:line="175" w:lineRule="exact"/>
        <w:rPr>
          <w:sz w:val="20"/>
          <w:szCs w:val="20"/>
          <w:color w:val="auto"/>
        </w:rPr>
      </w:pPr>
    </w:p>
    <w:p>
      <w:pPr>
        <w:jc w:val="both"/>
        <w:ind w:left="200" w:right="219"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10D-1(d) under the Exchange Act.</w:t>
      </w:r>
    </w:p>
    <w:p>
      <w:pPr>
        <w:spacing w:after="0" w:line="147"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Restatement</w:t>
      </w:r>
      <w:r>
        <w:rPr>
          <w:rFonts w:ascii="Times New Roman" w:cs="Times New Roman" w:eastAsia="Times New Roman" w:hAnsi="Times New Roman"/>
          <w:sz w:val="22"/>
          <w:szCs w:val="22"/>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76"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708660</wp:posOffset>
            </wp:positionV>
            <wp:extent cx="545211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40" w:name="page141"/>
    <w:bookmarkEnd w:id="140"/>
    <w:p>
      <w:pPr>
        <w:jc w:val="right"/>
        <w:ind w:right="219"/>
        <w:spacing w:after="0"/>
        <w:rPr>
          <w:sz w:val="20"/>
          <w:szCs w:val="20"/>
          <w:color w:val="auto"/>
        </w:rPr>
      </w:pPr>
      <w:r>
        <w:rPr>
          <w:rFonts w:ascii="Arial" w:cs="Arial" w:eastAsia="Arial" w:hAnsi="Arial"/>
          <w:sz w:val="20"/>
          <w:szCs w:val="20"/>
          <w:b w:val="1"/>
          <w:bCs w:val="1"/>
          <w:color w:val="auto"/>
        </w:rPr>
        <w:t>Exhibit 97.1</w:t>
      </w: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ACKNOWLEDGMENT AND CONSENT TO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200" w:lineRule="exact"/>
        <w:rPr>
          <w:sz w:val="20"/>
          <w:szCs w:val="20"/>
          <w:color w:val="auto"/>
        </w:rPr>
      </w:pPr>
    </w:p>
    <w:p>
      <w:pPr>
        <w:spacing w:after="0" w:line="223" w:lineRule="exact"/>
        <w:rPr>
          <w:sz w:val="20"/>
          <w:szCs w:val="20"/>
          <w:color w:val="auto"/>
        </w:rPr>
      </w:pPr>
    </w:p>
    <w:p>
      <w:pPr>
        <w:jc w:val="both"/>
        <w:ind w:left="200" w:right="219"/>
        <w:spacing w:after="0" w:line="296" w:lineRule="auto"/>
        <w:rPr>
          <w:sz w:val="20"/>
          <w:szCs w:val="20"/>
          <w:color w:val="auto"/>
        </w:rPr>
      </w:pPr>
      <w:r>
        <w:rPr>
          <w:rFonts w:ascii="Times New Roman" w:cs="Times New Roman" w:eastAsia="Times New Roman" w:hAnsi="Times New Roman"/>
          <w:sz w:val="22"/>
          <w:szCs w:val="22"/>
          <w:color w:val="auto"/>
        </w:rPr>
        <w:t>The undersigned has received a copy of the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adopted by Harmony Biosciences Holdings,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w:t>
      </w:r>
    </w:p>
    <w:p>
      <w:pPr>
        <w:spacing w:after="0" w:line="78" w:lineRule="exact"/>
        <w:rPr>
          <w:sz w:val="20"/>
          <w:szCs w:val="20"/>
          <w:color w:val="auto"/>
        </w:rPr>
      </w:pPr>
    </w:p>
    <w:p>
      <w:pPr>
        <w:jc w:val="both"/>
        <w:ind w:left="200" w:right="219"/>
        <w:spacing w:after="0" w:line="262" w:lineRule="auto"/>
        <w:rPr>
          <w:sz w:val="20"/>
          <w:szCs w:val="20"/>
          <w:color w:val="auto"/>
        </w:rPr>
      </w:pPr>
      <w:r>
        <w:rPr>
          <w:rFonts w:ascii="Times New Roman" w:cs="Times New Roman" w:eastAsia="Times New Roman" w:hAnsi="Times New Roman"/>
          <w:sz w:val="22"/>
          <w:szCs w:val="22"/>
          <w:color w:val="auto"/>
        </w:rPr>
        <w:t>For good and valuable consideration, the receipt of which is acknowledged, the undersigned agrees to the terms of the Policy and agrees that compensation received by the undersigned may be subject to reduction, cancellation, forfeiture and/or recoupment to the extent necessary to comply with the Policy, notwithstanding any other agreement to the contrary. 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sectPr>
          <w:pgSz w:w="11900" w:h="16838" w:orient="portrait"/>
          <w:cols w:equalWidth="0" w:num="1">
            <w:col w:w="9019"/>
          </w:cols>
          <w:pgMar w:left="1440" w:top="6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________________________________________</w:t>
      </w:r>
    </w:p>
    <w:p>
      <w:pPr>
        <w:spacing w:after="0" w:line="177" w:lineRule="exact"/>
        <w:rPr>
          <w:sz w:val="20"/>
          <w:szCs w:val="20"/>
          <w:color w:val="auto"/>
        </w:rPr>
      </w:pPr>
    </w:p>
    <w:p>
      <w:pPr>
        <w:sectPr>
          <w:pgSz w:w="11900" w:h="16838" w:orient="portrait"/>
          <w:cols w:equalWidth="0" w:num="2">
            <w:col w:w="2360" w:space="320"/>
            <w:col w:w="6339"/>
          </w:cols>
          <w:pgMar w:left="1440" w:top="669"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Signature</w:t>
      </w:r>
    </w:p>
    <w:p>
      <w:pPr>
        <w:spacing w:after="0" w:line="211" w:lineRule="exact"/>
        <w:rPr>
          <w:sz w:val="20"/>
          <w:szCs w:val="20"/>
          <w:color w:val="auto"/>
        </w:rPr>
      </w:pPr>
    </w:p>
    <w:p>
      <w:pPr>
        <w:sectPr>
          <w:pgSz w:w="11900" w:h="16838" w:orient="portrait"/>
          <w:cols w:equalWidth="0" w:num="2">
            <w:col w:w="1960" w:space="720"/>
            <w:col w:w="6339"/>
          </w:cols>
          <w:pgMar w:left="1440" w:top="669" w:right="1440" w:bottom="1440" w:gutter="0" w:footer="0" w:header="0"/>
          <w:type w:val="continuous"/>
        </w:sectPr>
      </w:pPr>
    </w:p>
    <w:p>
      <w:pPr>
        <w:spacing w:after="0" w:line="38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________________________________________</w:t>
      </w:r>
    </w:p>
    <w:p>
      <w:pPr>
        <w:spacing w:after="0" w:line="17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38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________________________________________</w:t>
      </w:r>
    </w:p>
    <w:p>
      <w:pPr>
        <w:spacing w:after="0" w:line="17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9019"/>
          </w:cols>
          <w:pgMar w:left="1440" w:top="66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665480</wp:posOffset>
            </wp:positionV>
            <wp:extent cx="545211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66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o"/>
      <w:numFmt w:val="bullet"/>
      <w:start w:val="1"/>
    </w:lvl>
  </w:abstractNum>
  <w:abstractNum w:abstractNumId="39">
    <w:nsid w:val="180115BE"/>
    <w:multiLevelType w:val="hybridMultilevel"/>
    <w:lvl w:ilvl="0">
      <w:lvlJc w:val="left"/>
      <w:lvlText w:val="\endash "/>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1)"/>
      <w:numFmt w:val="decimal"/>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1."/>
      <w:numFmt w:val="decimal"/>
      <w:start w:val="3"/>
    </w:lvl>
  </w:abstractNum>
  <w:abstractNum w:abstractNumId="49">
    <w:nsid w:val="7E0C57B1"/>
    <w:multiLevelType w:val="hybridMultilevel"/>
    <w:lvl w:ilvl="0">
      <w:lvlJc w:val="left"/>
      <w:lvlText w:val="%1."/>
      <w:numFmt w:val="decimal"/>
      <w:start w:val="40"/>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1)"/>
      <w:numFmt w:val="lowerRoman"/>
      <w:start w:val="1"/>
    </w:lvl>
  </w:abstractNum>
  <w:abstractNum w:abstractNumId="53">
    <w:nsid w:val="5FF87E05"/>
    <w:multiLevelType w:val="hybridMultilevel"/>
    <w:lvl w:ilvl="0">
      <w:lvlJc w:val="left"/>
      <w:lvlText w:val="%1."/>
      <w:numFmt w:val="decimal"/>
      <w:start w:val="14"/>
    </w:lvl>
  </w:abstractNum>
  <w:abstractNum w:abstractNumId="54">
    <w:nsid w:val="2F305DEF"/>
    <w:multiLevelType w:val="hybridMultilevel"/>
    <w:lvl w:ilvl="0">
      <w:lvlJc w:val="left"/>
      <w:lvlText w:val="(%1)"/>
      <w:numFmt w:val="lowerLetter"/>
      <w:start w:val="1"/>
    </w:lvl>
  </w:abstractNum>
  <w:abstractNum w:abstractNumId="55">
    <w:nsid w:val="25A70BF7"/>
    <w:multiLevelType w:val="hybridMultilevel"/>
    <w:lvl w:ilvl="0">
      <w:lvlJc w:val="left"/>
      <w:lvlText w:val="(%1)"/>
      <w:numFmt w:val="lowerLetter"/>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1."/>
      <w:numFmt w:val="decimal"/>
      <w:start w:val="1"/>
    </w:lvl>
    <w:lvl w:ilvl="1">
      <w:lvlJc w:val="left"/>
      <w:lvlText w:val="(%2)"/>
      <w:numFmt w:val="lowerLetter"/>
      <w:start w:val="1"/>
    </w:lvl>
  </w:abstractNum>
  <w:abstractNum w:abstractNumId="60">
    <w:nsid w:val="5DB70AE5"/>
    <w:multiLevelType w:val="hybridMultilevel"/>
    <w:lvl w:ilvl="0">
      <w:lvlJc w:val="left"/>
      <w:lvlText w:val="%1."/>
      <w:numFmt w:val="decimal"/>
      <w:start w:val="1"/>
    </w:lvl>
    <w:lvl w:ilvl="1">
      <w:lvlJc w:val="left"/>
      <w:lvlText w:val="(%2)"/>
      <w:numFmt w:val="lowerLetter"/>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1."/>
      <w:numFmt w:val="decimal"/>
      <w:start w:val="1"/>
    </w:lvl>
  </w:abstractNum>
  <w:abstractNum w:abstractNumId="64">
    <w:nsid w:val="5F5E7FD0"/>
    <w:multiLevelType w:val="hybridMultilevel"/>
    <w:lvl w:ilvl="0">
      <w:lvlJc w:val="left"/>
      <w:lvlText w:val="%1."/>
      <w:numFmt w:val="decimal"/>
      <w:start w:val="2"/>
    </w:lvl>
  </w:abstractNum>
  <w:abstractNum w:abstractNumId="65">
    <w:nsid w:val="98A3148"/>
    <w:multiLevelType w:val="hybridMultilevel"/>
    <w:lvl w:ilvl="0">
      <w:lvlJc w:val="left"/>
      <w:lvlText w:val="%1."/>
      <w:numFmt w:val="decimal"/>
      <w:start w:val="3"/>
    </w:lvl>
  </w:abstractNum>
  <w:abstractNum w:abstractNumId="66">
    <w:nsid w:val="799D0247"/>
    <w:multiLevelType w:val="hybridMultilevel"/>
    <w:lvl w:ilvl="0">
      <w:lvlJc w:val="left"/>
      <w:lvlText w:val="%1."/>
      <w:numFmt w:val="decimal"/>
      <w:start w:val="4"/>
    </w:lvl>
  </w:abstractNum>
  <w:abstractNum w:abstractNumId="67">
    <w:nsid w:val="6B94764"/>
    <w:multiLevelType w:val="hybridMultilevel"/>
    <w:lvl w:ilvl="0">
      <w:lvlJc w:val="left"/>
      <w:lvlText w:val="%1."/>
      <w:numFmt w:val="decimal"/>
      <w:start w:val="5"/>
    </w:lvl>
  </w:abstractNum>
  <w:abstractNum w:abstractNumId="68">
    <w:nsid w:val="42C296BD"/>
    <w:multiLevelType w:val="hybridMultilevel"/>
    <w:lvl w:ilvl="0">
      <w:lvlJc w:val="left"/>
      <w:lvlText w:val="%1."/>
      <w:numFmt w:val="decimal"/>
      <w:start w:val="6"/>
    </w:lvl>
  </w:abstractNum>
  <w:abstractNum w:abstractNumId="69">
    <w:nsid w:val="168E121F"/>
    <w:multiLevelType w:val="hybridMultilevel"/>
    <w:lvl w:ilvl="0">
      <w:lvlJc w:val="left"/>
      <w:lvlText w:val="%1."/>
      <w:numFmt w:val="decimal"/>
      <w:start w:val="7"/>
    </w:lvl>
  </w:abstractNum>
  <w:abstractNum w:abstractNumId="70">
    <w:nsid w:val="1EBA5D23"/>
    <w:multiLevelType w:val="hybridMultilevel"/>
    <w:lvl w:ilvl="0">
      <w:lvlJc w:val="left"/>
      <w:lvlText w:val="%1."/>
      <w:numFmt w:val="decimal"/>
      <w:start w:val="8"/>
    </w:lvl>
  </w:abstractNum>
  <w:abstractNum w:abstractNumId="71">
    <w:nsid w:val="661E3F1E"/>
    <w:multiLevelType w:val="hybridMultilevel"/>
    <w:lvl w:ilvl="0">
      <w:lvlJc w:val="left"/>
      <w:lvlText w:val="%1."/>
      <w:numFmt w:val="decimal"/>
      <w:start w:val="9"/>
    </w:lvl>
  </w:abstractNum>
  <w:abstractNum w:abstractNumId="72">
    <w:nsid w:val="5DC79EA8"/>
    <w:multiLevelType w:val="hybridMultilevel"/>
    <w:lvl w:ilvl="0">
      <w:lvlJc w:val="left"/>
      <w:lvlText w:val="%1."/>
      <w:numFmt w:val="decimal"/>
      <w:start w:val="10"/>
    </w:lvl>
  </w:abstractNum>
  <w:abstractNum w:abstractNumId="73">
    <w:nsid w:val="540A471C"/>
    <w:multiLevelType w:val="hybridMultilevel"/>
    <w:lvl w:ilvl="0">
      <w:lvlJc w:val="left"/>
      <w:lvlText w:val="%1."/>
      <w:numFmt w:val="decimal"/>
      <w:start w:val="11"/>
    </w:lvl>
  </w:abstractNum>
  <w:abstractNum w:abstractNumId="74">
    <w:nsid w:val="7BD3EE7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66"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189" Type="http://schemas.openxmlformats.org/officeDocument/2006/relationships/image" Target="media/image147.png"/><Relationship Id="rId190" Type="http://schemas.openxmlformats.org/officeDocument/2006/relationships/image" Target="media/image148.png"/><Relationship Id="rId142" Type="http://schemas.openxmlformats.org/officeDocument/2006/relationships/hyperlink" Target="https://www.sec.gov/Archives/edgar/data/1802665/000110465925016930/tm257349d2_ex1-2.htm" TargetMode="External"/><Relationship Id="rId143" Type="http://schemas.openxmlformats.org/officeDocument/2006/relationships/hyperlink" Target="https://www.sec.gov/Archives/edgar/data/1802665/000114036123043963/ef20010653_ex2-1.htm" TargetMode="External"/><Relationship Id="rId144" Type="http://schemas.openxmlformats.org/officeDocument/2006/relationships/hyperlink" Target="https://www.sec.gov/Archives/edgar/data/0001802665/000119312520226978/d97999dex31.htm" TargetMode="External"/><Relationship Id="rId145" Type="http://schemas.openxmlformats.org/officeDocument/2006/relationships/hyperlink" Target="https://www.sec.gov/Archives/edgar/data/0001802665/000119312520226978/d97999dex32.htm" TargetMode="External"/><Relationship Id="rId146" Type="http://schemas.openxmlformats.org/officeDocument/2006/relationships/hyperlink" Target="https://www.sec.gov/Archives/edgar/data/0001802665/000119312520211023/d755703dex41.htm" TargetMode="External"/><Relationship Id="rId147" Type="http://schemas.openxmlformats.org/officeDocument/2006/relationships/hyperlink" Target="https://www.sec.gov/Archives/edgar/data/0001802665/000156459021015274/hrmy-ex43_1166.htm" TargetMode="External"/><Relationship Id="rId148" Type="http://schemas.openxmlformats.org/officeDocument/2006/relationships/hyperlink" Target="https://www.sec.gov/Archives/edgar/data/1802665/000155837023001574/hrmy-20221231xex10d3.htm" TargetMode="External"/><Relationship Id="rId149" Type="http://schemas.openxmlformats.org/officeDocument/2006/relationships/hyperlink" Target="https://www.sec.gov/Archives/edgar/data/0001802665/000119312520227079/d91238dex103.htm" TargetMode="External"/><Relationship Id="rId150" Type="http://schemas.openxmlformats.org/officeDocument/2006/relationships/hyperlink" Target="https://www.sec.gov/Archives/edgar/data/0001802665/000119312520215643/d755703dex106.htm" TargetMode="External"/><Relationship Id="rId151" Type="http://schemas.openxmlformats.org/officeDocument/2006/relationships/hyperlink" Target="https://www.sec.gov/Archives/edgar/data/1802665/000119312520215643/d755703dex107.htm" TargetMode="External"/><Relationship Id="rId152" Type="http://schemas.openxmlformats.org/officeDocument/2006/relationships/hyperlink" Target="https://www.sec.gov/Archives/edgar/data/0001802665/000119312520215643/d755703dex108.htm" TargetMode="External"/><Relationship Id="rId153" Type="http://schemas.openxmlformats.org/officeDocument/2006/relationships/hyperlink" Target="https://www.sec.gov/Archives/edgar/data/1802665/000155837023001574/hrmy-20221231xex10d72.htm" TargetMode="External"/><Relationship Id="rId154" Type="http://schemas.openxmlformats.org/officeDocument/2006/relationships/hyperlink" Target="https://www.sec.gov/Archives/edgar/data/0001802665/000119312520215643/d755703dex1012.htm" TargetMode="External"/><Relationship Id="rId155" Type="http://schemas.openxmlformats.org/officeDocument/2006/relationships/hyperlink" Target="https://www.sec.gov/Archives/edgar/data/0001802665/000119312520215643/d755703dex1013.htm" TargetMode="External"/><Relationship Id="rId156" Type="http://schemas.openxmlformats.org/officeDocument/2006/relationships/hyperlink" Target="https://www.sec.gov/Archives/edgar/data/0001802665/000119312520215643/d755703dex103.htm" TargetMode="External"/><Relationship Id="rId157" Type="http://schemas.openxmlformats.org/officeDocument/2006/relationships/hyperlink" Target="https://www.sec.gov/Archives/edgar/data/1802665/000156459020053320/hrmy-ex109_551.htm" TargetMode="External"/><Relationship Id="rId158" Type="http://schemas.openxmlformats.org/officeDocument/2006/relationships/hyperlink" Target="https://www.sec.gov/Archives/edgar/data/0001802665/000119312520215643/d755703dex109.htm" TargetMode="External"/><Relationship Id="rId159" Type="http://schemas.openxmlformats.org/officeDocument/2006/relationships/hyperlink" Target="https://www.sec.gov/Archives/edgar/data/1802665/000155837023001574/hrmy-20221231xex10d122.htm" TargetMode="External"/><Relationship Id="rId160" Type="http://schemas.openxmlformats.org/officeDocument/2006/relationships/hyperlink" Target="https://www.sec.gov/Archives/edgar/data/1802665/000155837023006475/hrmy-20230424xex10d1.htm" TargetMode="External"/><Relationship Id="rId161" Type="http://schemas.openxmlformats.org/officeDocument/2006/relationships/hyperlink" Target="https://www.sec.gov/Archives/edgar/data/0001802665/000119312520215643/d755703dex1010.htm" TargetMode="External"/><Relationship Id="rId162" Type="http://schemas.openxmlformats.org/officeDocument/2006/relationships/hyperlink" Target="https://www.sec.gov/Archives/edgar/data/1802665/000119312520199773/d755703dex1010.htm" TargetMode="External"/><Relationship Id="rId163" Type="http://schemas.openxmlformats.org/officeDocument/2006/relationships/hyperlink" Target="https://www.sec.gov/Archives/edgar/data/0001802665/000119312520199773/d755703dex1011.htm" TargetMode="External"/><Relationship Id="rId164" Type="http://schemas.openxmlformats.org/officeDocument/2006/relationships/hyperlink" Target="https://www.sec.gov/Archives/edgar/data/0001802665/000119312520199773/d755703dex1012.htm" TargetMode="External"/><Relationship Id="rId165" Type="http://schemas.openxmlformats.org/officeDocument/2006/relationships/hyperlink" Target="https://www.sec.gov/Archives/edgar/data/1802665/000155837024006203/hrmy-20240331xex10d1.htm" TargetMode="External"/><Relationship Id="rId167" Type="http://schemas.openxmlformats.org/officeDocument/2006/relationships/hyperlink" Target="https://www.sec.gov/Archives/edgar/data/1802665/000119312520199773/d755703dex1014.htm" TargetMode="External"/><Relationship Id="rId168" Type="http://schemas.openxmlformats.org/officeDocument/2006/relationships/hyperlink" Target="https://www.sec.gov/Archives/edgar/data/0001802665/000119312520199773/d755703dex1015.htm" TargetMode="External"/><Relationship Id="rId169" Type="http://schemas.openxmlformats.org/officeDocument/2006/relationships/hyperlink" Target="https://www.sec.gov/Archives/edgar/data/1802665/000155837025003502/hrmy-20250320xex10d1.htm" TargetMode="External"/><Relationship Id="rId170" Type="http://schemas.openxmlformats.org/officeDocument/2006/relationships/hyperlink" Target="https://www.sec.gov/Archives/edgar/data/0001802665/000119312521080566/d138171dex101.htm" TargetMode="External"/><Relationship Id="rId171" Type="http://schemas.openxmlformats.org/officeDocument/2006/relationships/hyperlink" Target="https://www.sec.gov/Archives/edgar/data/1802665/000155837024006594/hrmy-20240501xex10d1.htm" TargetMode="External"/><Relationship Id="rId172" Type="http://schemas.openxmlformats.org/officeDocument/2006/relationships/hyperlink" Target="https://www.sec.gov/Archives/edgar/data/1802665/000155837023016259/hrmy-20230930xex10d1.htm" TargetMode="External"/><Relationship Id="rId173" Type="http://schemas.openxmlformats.org/officeDocument/2006/relationships/hyperlink" Target="https://www.sec.gov/Archives/edgar/data/1802665/000155837023012348/hrmy-20230726xex10d1.htm" TargetMode="External"/><Relationship Id="rId174" Type="http://schemas.openxmlformats.org/officeDocument/2006/relationships/hyperlink" Target="https://www.sec.gov/Archives/edgar/data/1802665/000155837023012348/hrmy-20230726xex10d2.htm" TargetMode="External"/><Relationship Id="rId175" Type="http://schemas.openxmlformats.org/officeDocument/2006/relationships/hyperlink" Target="https://www.sec.gov/Archives/edgar/data/1802665/000155837023012348/hrmy-20230726xex10d3.htm" TargetMode="External"/><Relationship Id="rId176" Type="http://schemas.openxmlformats.org/officeDocument/2006/relationships/hyperlink" Target="https://www.sec.gov/Archives/edgar/data/1802665/000155837023015961/hrmy-20230921xex10d1.htm" TargetMode="External"/><Relationship Id="rId177" Type="http://schemas.openxmlformats.org/officeDocument/2006/relationships/hyperlink" Target="https://www.sec.gov/Archives/edgar/data/1802665/000155837025001441/hrmy-20241231xex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2026-02-24T07:25:14Z</dcterms:created>
  <dcterms:modified xsi:type="dcterms:W3CDTF">2026-02-24T07:25:14Z</dcterms:modified>
</cp:coreProperties>
</file>