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71755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March 31, 2026</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90"/>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6"/>
                <w:szCs w:val="16"/>
                <w:color w:val="auto"/>
              </w:rPr>
            </w:pPr>
          </w:p>
        </w:tc>
      </w:tr>
      <w:tr>
        <w:trPr>
          <w:trHeight w:val="69"/>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90"/>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09"/>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90"/>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88"/>
              <w:spacing w:after="0"/>
              <w:rPr>
                <w:sz w:val="20"/>
                <w:szCs w:val="20"/>
                <w:color w:val="auto"/>
              </w:rPr>
            </w:pPr>
            <w:r>
              <w:rPr>
                <w:rFonts w:ascii="Arial" w:cs="Arial" w:eastAsia="Arial" w:hAnsi="Arial"/>
                <w:sz w:val="14"/>
                <w:szCs w:val="14"/>
                <w:b w:val="1"/>
                <w:bCs w:val="1"/>
                <w:color w:val="auto"/>
              </w:rPr>
              <w:t>Trading</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jc w:val="center"/>
              <w:ind w:right="308"/>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42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center"/>
              <w:ind w:right="208"/>
              <w:spacing w:after="0"/>
              <w:rPr>
                <w:sz w:val="20"/>
                <w:szCs w:val="20"/>
                <w:color w:val="auto"/>
              </w:rPr>
            </w:pPr>
            <w:r>
              <w:rPr>
                <w:rFonts w:ascii="Arial" w:cs="Arial" w:eastAsia="Arial" w:hAnsi="Arial"/>
                <w:sz w:val="14"/>
                <w:szCs w:val="14"/>
                <w:b w:val="1"/>
                <w:bCs w:val="1"/>
                <w:color w:val="auto"/>
              </w:rPr>
              <w:t>Symbol(s)</w:t>
            </w: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3060" w:type="dxa"/>
            <w:vAlign w:val="bottom"/>
          </w:tcPr>
          <w:p>
            <w:pPr>
              <w:jc w:val="center"/>
              <w:ind w:right="308"/>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4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208"/>
              <w:spacing w:after="0" w:line="147"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tcPr>
          <w:p>
            <w:pPr>
              <w:jc w:val="center"/>
              <w:ind w:right="328"/>
              <w:spacing w:after="0" w:line="147" w:lineRule="exact"/>
              <w:rPr>
                <w:sz w:val="20"/>
                <w:szCs w:val="20"/>
                <w:color w:val="auto"/>
              </w:rPr>
            </w:pPr>
            <w:r>
              <w:rPr>
                <w:rFonts w:ascii="Arial" w:cs="Arial" w:eastAsia="Arial" w:hAnsi="Arial"/>
                <w:sz w:val="14"/>
                <w:szCs w:val="14"/>
                <w:color w:val="auto"/>
              </w:rPr>
              <w:t>The Nasdaq Stock Market LLC</w:t>
            </w:r>
          </w:p>
        </w:tc>
      </w:tr>
      <w:tr>
        <w:trPr>
          <w:trHeight w:val="190"/>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tcPr>
          <w:p>
            <w:pPr>
              <w:jc w:val="center"/>
              <w:ind w:right="328"/>
              <w:spacing w:after="0"/>
              <w:rPr>
                <w:sz w:val="20"/>
                <w:szCs w:val="20"/>
                <w:color w:val="auto"/>
              </w:rPr>
            </w:pPr>
            <w:r>
              <w:rPr>
                <w:rFonts w:ascii="Arial" w:cs="Arial" w:eastAsia="Arial" w:hAnsi="Arial"/>
                <w:sz w:val="14"/>
                <w:szCs w:val="14"/>
                <w:color w:val="auto"/>
              </w:rPr>
              <w:t>(Nasdaq Global Market)</w:t>
            </w:r>
          </w:p>
        </w:tc>
      </w:tr>
    </w:tbl>
    <w:p>
      <w:pPr>
        <w:spacing w:after="0" w:line="134" w:lineRule="exact"/>
        <w:rPr>
          <w:sz w:val="24"/>
          <w:szCs w:val="24"/>
          <w:color w:val="auto"/>
        </w:rPr>
      </w:pPr>
    </w:p>
    <w:p>
      <w:pPr>
        <w:ind w:left="60" w:right="159"/>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19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2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3"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ind w:left="60" w:right="15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left="60" w:right="679" w:firstLine="648"/>
        <w:spacing w:after="0" w:line="285" w:lineRule="auto"/>
        <w:rPr>
          <w:sz w:val="20"/>
          <w:szCs w:val="20"/>
          <w:color w:val="auto"/>
        </w:rPr>
      </w:pPr>
      <w:r>
        <w:rPr>
          <w:rFonts w:ascii="Arial" w:cs="Arial" w:eastAsia="Arial" w:hAnsi="Arial"/>
          <w:sz w:val="14"/>
          <w:szCs w:val="14"/>
          <w:color w:val="auto"/>
        </w:rPr>
        <w:t>As of May 5, 2026, there were 57,892,676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534670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900" w:type="dxa"/>
            <w:vAlign w:val="bottom"/>
            <w:gridSpan w:val="14"/>
            <w:vMerge w:val="restart"/>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80" w:type="dxa"/>
            <w:vAlign w:val="bottom"/>
            <w:gridSpan w:val="20"/>
          </w:tcPr>
          <w:p>
            <w:pPr>
              <w:spacing w:after="0" w:line="196" w:lineRule="exact"/>
              <w:rPr>
                <w:sz w:val="20"/>
                <w:szCs w:val="20"/>
                <w:color w:val="auto"/>
              </w:rPr>
            </w:pPr>
            <w:r>
              <w:rPr>
                <w:rFonts w:ascii="Arial" w:cs="Arial" w:eastAsia="Arial" w:hAnsi="Arial"/>
                <w:sz w:val="18"/>
                <w:szCs w:val="18"/>
                <w:color w:val="0000EE"/>
              </w:rPr>
              <w:t>Item 1. Financial Statements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Condensed Consolidated</w:t>
            </w:r>
          </w:p>
        </w:tc>
        <w:tc>
          <w:tcPr>
            <w:tcW w:w="5500" w:type="dxa"/>
            <w:vAlign w:val="bottom"/>
            <w:gridSpan w:val="11"/>
          </w:tcPr>
          <w:p>
            <w:pPr>
              <w:ind w:left="120"/>
              <w:spacing w:after="0" w:line="182" w:lineRule="exact"/>
              <w:rPr>
                <w:sz w:val="20"/>
                <w:szCs w:val="20"/>
                <w:color w:val="auto"/>
              </w:rPr>
            </w:pPr>
            <w:r>
              <w:rPr>
                <w:rFonts w:ascii="Arial" w:cs="Arial" w:eastAsia="Arial" w:hAnsi="Arial"/>
                <w:sz w:val="18"/>
                <w:szCs w:val="18"/>
                <w:color w:val="0000EE"/>
              </w:rPr>
              <w:t>Balance Sheets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15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vMerge w:val="restart"/>
          </w:tcPr>
          <w:p>
            <w:pPr>
              <w:spacing w:after="0" w:line="202" w:lineRule="exact"/>
              <w:rPr>
                <w:sz w:val="20"/>
                <w:szCs w:val="20"/>
                <w:color w:val="auto"/>
              </w:rPr>
            </w:pPr>
            <w:r>
              <w:rPr>
                <w:rFonts w:ascii="Arial" w:cs="Arial" w:eastAsia="Arial" w:hAnsi="Arial"/>
                <w:sz w:val="18"/>
                <w:szCs w:val="18"/>
                <w:color w:val="0000EE"/>
                <w:w w:val="85"/>
              </w:rPr>
              <w:t>Item</w:t>
            </w: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60" w:type="dxa"/>
            <w:vAlign w:val="bottom"/>
            <w:gridSpan w:val="19"/>
          </w:tcPr>
          <w:p>
            <w:pPr>
              <w:ind w:left="80"/>
              <w:spacing w:after="0" w:line="182" w:lineRule="exact"/>
              <w:rPr>
                <w:sz w:val="20"/>
                <w:szCs w:val="20"/>
                <w:color w:val="auto"/>
              </w:rPr>
            </w:pPr>
            <w:r>
              <w:rPr>
                <w:rFonts w:ascii="Arial" w:cs="Arial" w:eastAsia="Arial" w:hAnsi="Arial"/>
                <w:sz w:val="18"/>
                <w:szCs w:val="18"/>
                <w:color w:val="0000EE"/>
              </w:rPr>
              <w:t>2. 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80" w:type="dxa"/>
            <w:vAlign w:val="bottom"/>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3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0"/>
              </w:rPr>
              <w:t>Part</w:t>
            </w:r>
          </w:p>
        </w:tc>
        <w:tc>
          <w:tcPr>
            <w:tcW w:w="1660" w:type="dxa"/>
            <w:vAlign w:val="bottom"/>
            <w:tcBorders>
              <w:top w:val="single" w:sz="8" w:color="0000EE"/>
              <w:bottom w:val="single" w:sz="8" w:color="0000EE"/>
            </w:tcBorders>
            <w:gridSpan w:val="4"/>
          </w:tcPr>
          <w:p>
            <w:pPr>
              <w:ind w:left="60"/>
              <w:spacing w:after="0" w:line="182" w:lineRule="exact"/>
              <w:rPr>
                <w:sz w:val="20"/>
                <w:szCs w:val="20"/>
                <w:color w:val="auto"/>
              </w:rPr>
            </w:pPr>
            <w:r>
              <w:rPr>
                <w:rFonts w:ascii="Arial" w:cs="Arial" w:eastAsia="Arial" w:hAnsi="Arial"/>
                <w:sz w:val="18"/>
                <w:szCs w:val="18"/>
                <w:color w:val="0000EE"/>
                <w:w w:val="98"/>
              </w:rPr>
              <w:t>II. Other Information</w:t>
            </w:r>
          </w:p>
        </w:tc>
        <w:tc>
          <w:tcPr>
            <w:tcW w:w="920" w:type="dxa"/>
            <w:vAlign w:val="bottom"/>
            <w:tcBorders>
              <w:top w:val="single" w:sz="8" w:color="0000EE"/>
            </w:tcBorders>
            <w:gridSpan w:val="7"/>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1A. Risk Factors</w:t>
            </w:r>
          </w:p>
        </w:tc>
        <w:tc>
          <w:tcPr>
            <w:tcW w:w="42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 Unregistered</w:t>
            </w:r>
          </w:p>
        </w:tc>
        <w:tc>
          <w:tcPr>
            <w:tcW w:w="6060" w:type="dxa"/>
            <w:vAlign w:val="bottom"/>
            <w:gridSpan w:val="15"/>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60" w:type="dxa"/>
            <w:vAlign w:val="bottom"/>
            <w:gridSpan w:val="8"/>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5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6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6. Exhibits</w:t>
            </w:r>
          </w:p>
        </w:tc>
        <w:tc>
          <w:tcPr>
            <w:tcW w:w="5780" w:type="dxa"/>
            <w:vAlign w:val="bottom"/>
            <w:gridSpan w:val="1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60" w:type="dxa"/>
            <w:vAlign w:val="bottom"/>
            <w:gridSpan w:val="17"/>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680" w:type="dxa"/>
            <w:vAlign w:val="bottom"/>
          </w:tcPr>
          <w:p>
            <w:pPr>
              <w:spacing w:after="0"/>
              <w:rPr>
                <w:sz w:val="15"/>
                <w:szCs w:val="15"/>
                <w:color w:val="auto"/>
              </w:rPr>
            </w:pPr>
          </w:p>
        </w:tc>
        <w:tc>
          <w:tcPr>
            <w:tcW w:w="6560" w:type="dxa"/>
            <w:vAlign w:val="bottom"/>
            <w:gridSpan w:val="17"/>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left="40" w:right="59"/>
        <w:spacing w:after="0" w:line="280" w:lineRule="auto"/>
        <w:rPr>
          <w:sz w:val="20"/>
          <w:szCs w:val="20"/>
          <w:color w:val="auto"/>
        </w:rPr>
      </w:pPr>
      <w:r>
        <w:rPr>
          <w:rFonts w:ascii="Arial" w:cs="Arial" w:eastAsia="Arial" w:hAnsi="Arial"/>
          <w:sz w:val="17"/>
          <w:szCs w:val="17"/>
          <w:b w:val="1"/>
          <w:bCs w:val="1"/>
          <w:color w:val="auto"/>
        </w:rPr>
        <w:t>HARMONY BIOSCIENCES HOLDINGS, INC. AND SUBSIDIARIES UNAUDITED CONDENSED CONSOLIDATED BALANCE SHEETS (In thousands, except share and per share data)</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500" w:type="dxa"/>
            <w:vAlign w:val="bottom"/>
          </w:tcPr>
          <w:p>
            <w:pPr>
              <w:spacing w:after="0"/>
              <w:rPr>
                <w:sz w:val="16"/>
                <w:szCs w:val="16"/>
                <w:color w:val="auto"/>
              </w:rPr>
            </w:pP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2026</w:t>
            </w:r>
          </w:p>
        </w:tc>
        <w:tc>
          <w:tcPr>
            <w:tcW w:w="60" w:type="dxa"/>
            <w:vAlign w:val="bottom"/>
          </w:tcPr>
          <w:p>
            <w:pPr>
              <w:spacing w:after="0"/>
              <w:rPr>
                <w:sz w:val="16"/>
                <w:szCs w:val="16"/>
                <w:color w:val="auto"/>
              </w:rPr>
            </w:pPr>
          </w:p>
        </w:tc>
        <w:tc>
          <w:tcPr>
            <w:tcW w:w="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6"/>
                <w:szCs w:val="16"/>
                <w:color w:val="auto"/>
              </w:rPr>
            </w:pPr>
          </w:p>
        </w:tc>
      </w:tr>
      <w:tr>
        <w:trPr>
          <w:trHeight w:val="156"/>
        </w:trPr>
        <w:tc>
          <w:tcPr>
            <w:tcW w:w="65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r>
      <w:tr>
        <w:trPr>
          <w:trHeight w:val="162"/>
        </w:trPr>
        <w:tc>
          <w:tcPr>
            <w:tcW w:w="6500" w:type="dxa"/>
            <w:vAlign w:val="bottom"/>
          </w:tcPr>
          <w:p>
            <w:pPr>
              <w:ind w:left="12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589,398</w:t>
            </w:r>
          </w:p>
        </w:tc>
        <w:tc>
          <w:tcPr>
            <w:tcW w:w="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752,502</w:t>
            </w:r>
          </w:p>
        </w:tc>
        <w:tc>
          <w:tcPr>
            <w:tcW w:w="40" w:type="dxa"/>
            <w:vAlign w:val="bottom"/>
          </w:tcPr>
          <w:p>
            <w:pPr>
              <w:spacing w:after="0"/>
              <w:rPr>
                <w:sz w:val="14"/>
                <w:szCs w:val="14"/>
                <w:color w:val="auto"/>
              </w:rPr>
            </w:pP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51,520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22,838</w:t>
            </w:r>
          </w:p>
        </w:tc>
        <w:tc>
          <w:tcPr>
            <w:tcW w:w="40" w:type="dxa"/>
            <w:vAlign w:val="bottom"/>
          </w:tcPr>
          <w:p>
            <w:pPr>
              <w:spacing w:after="0"/>
              <w:rPr>
                <w:sz w:val="14"/>
                <w:szCs w:val="14"/>
                <w:color w:val="auto"/>
              </w:rPr>
            </w:pP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108,222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96,787</w:t>
            </w:r>
          </w:p>
        </w:tc>
        <w:tc>
          <w:tcPr>
            <w:tcW w:w="40" w:type="dxa"/>
            <w:vAlign w:val="bottom"/>
          </w:tcPr>
          <w:p>
            <w:pPr>
              <w:spacing w:after="0"/>
              <w:rPr>
                <w:sz w:val="14"/>
                <w:szCs w:val="14"/>
                <w:color w:val="auto"/>
              </w:rPr>
            </w:pP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5,281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5,357</w:t>
            </w:r>
          </w:p>
        </w:tc>
        <w:tc>
          <w:tcPr>
            <w:tcW w:w="40" w:type="dxa"/>
            <w:vAlign w:val="bottom"/>
          </w:tcPr>
          <w:p>
            <w:pPr>
              <w:spacing w:after="0"/>
              <w:rPr>
                <w:sz w:val="14"/>
                <w:szCs w:val="14"/>
                <w:color w:val="auto"/>
              </w:rPr>
            </w:pP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16,014</w:t>
            </w:r>
          </w:p>
        </w:tc>
        <w:tc>
          <w:tcPr>
            <w:tcW w:w="40" w:type="dxa"/>
            <w:vAlign w:val="bottom"/>
          </w:tcPr>
          <w:p>
            <w:pPr>
              <w:spacing w:after="0"/>
              <w:rPr>
                <w:sz w:val="14"/>
                <w:szCs w:val="14"/>
                <w:color w:val="auto"/>
              </w:rPr>
            </w:pPr>
          </w:p>
        </w:tc>
      </w:tr>
      <w:tr>
        <w:trPr>
          <w:trHeight w:val="162"/>
        </w:trPr>
        <w:tc>
          <w:tcPr>
            <w:tcW w:w="6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7,595</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13,516</w:t>
            </w:r>
          </w:p>
        </w:tc>
        <w:tc>
          <w:tcPr>
            <w:tcW w:w="40" w:type="dxa"/>
            <w:vAlign w:val="bottom"/>
          </w:tcPr>
          <w:p>
            <w:pPr>
              <w:spacing w:after="0"/>
              <w:rPr>
                <w:sz w:val="14"/>
                <w:szCs w:val="14"/>
                <w:color w:val="auto"/>
              </w:rPr>
            </w:pPr>
          </w:p>
        </w:tc>
      </w:tr>
      <w:tr>
        <w:trPr>
          <w:trHeight w:val="155"/>
        </w:trPr>
        <w:tc>
          <w:tcPr>
            <w:tcW w:w="65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778,817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907,014</w:t>
            </w:r>
          </w:p>
        </w:tc>
        <w:tc>
          <w:tcPr>
            <w:tcW w:w="40" w:type="dxa"/>
            <w:vAlign w:val="bottom"/>
          </w:tcPr>
          <w:p>
            <w:pPr>
              <w:spacing w:after="0"/>
              <w:rPr>
                <w:sz w:val="13"/>
                <w:szCs w:val="13"/>
                <w:color w:val="auto"/>
              </w:rPr>
            </w:pPr>
          </w:p>
        </w:tc>
      </w:tr>
      <w:tr>
        <w:trPr>
          <w:trHeight w:val="156"/>
        </w:trPr>
        <w:tc>
          <w:tcPr>
            <w:tcW w:w="6500" w:type="dxa"/>
            <w:vAlign w:val="bottom"/>
          </w:tcPr>
          <w:p>
            <w:pPr>
              <w:ind w:left="120"/>
              <w:spacing w:after="0" w:line="155" w:lineRule="exact"/>
              <w:rPr>
                <w:sz w:val="20"/>
                <w:szCs w:val="20"/>
                <w:color w:val="auto"/>
              </w:rPr>
            </w:pPr>
            <w:r>
              <w:rPr>
                <w:rFonts w:ascii="Arial" w:cs="Arial" w:eastAsia="Arial" w:hAnsi="Arial"/>
                <w:sz w:val="14"/>
                <w:szCs w:val="14"/>
                <w:color w:val="auto"/>
              </w:rPr>
              <w:t>NONCURRENT ASSETS: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229,555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107,127</w:t>
            </w:r>
          </w:p>
        </w:tc>
        <w:tc>
          <w:tcPr>
            <w:tcW w:w="40" w:type="dxa"/>
            <w:vAlign w:val="bottom"/>
          </w:tcPr>
          <w:p>
            <w:pPr>
              <w:spacing w:after="0"/>
              <w:rPr>
                <w:sz w:val="14"/>
                <w:szCs w:val="14"/>
                <w:color w:val="auto"/>
              </w:rPr>
            </w:pP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83,457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89,418</w:t>
            </w:r>
          </w:p>
        </w:tc>
        <w:tc>
          <w:tcPr>
            <w:tcW w:w="40" w:type="dxa"/>
            <w:vAlign w:val="bottom"/>
          </w:tcPr>
          <w:p>
            <w:pPr>
              <w:spacing w:after="0"/>
              <w:rPr>
                <w:sz w:val="14"/>
                <w:szCs w:val="14"/>
                <w:color w:val="auto"/>
              </w:rPr>
            </w:pP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153,562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149,699</w:t>
            </w:r>
          </w:p>
        </w:tc>
        <w:tc>
          <w:tcPr>
            <w:tcW w:w="40" w:type="dxa"/>
            <w:vAlign w:val="bottom"/>
          </w:tcPr>
          <w:p>
            <w:pPr>
              <w:spacing w:after="0"/>
              <w:rPr>
                <w:sz w:val="14"/>
                <w:szCs w:val="14"/>
                <w:color w:val="auto"/>
              </w:rPr>
            </w:pPr>
          </w:p>
        </w:tc>
      </w:tr>
      <w:tr>
        <w:trPr>
          <w:trHeight w:val="162"/>
        </w:trPr>
        <w:tc>
          <w:tcPr>
            <w:tcW w:w="6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26,433</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18,373</w:t>
            </w:r>
          </w:p>
        </w:tc>
        <w:tc>
          <w:tcPr>
            <w:tcW w:w="40" w:type="dxa"/>
            <w:vAlign w:val="bottom"/>
          </w:tcPr>
          <w:p>
            <w:pPr>
              <w:spacing w:after="0"/>
              <w:rPr>
                <w:sz w:val="14"/>
                <w:szCs w:val="14"/>
                <w:color w:val="auto"/>
              </w:rPr>
            </w:pPr>
          </w:p>
        </w:tc>
      </w:tr>
      <w:tr>
        <w:trPr>
          <w:trHeight w:val="156"/>
        </w:trPr>
        <w:tc>
          <w:tcPr>
            <w:tcW w:w="65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3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493,007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364,617</w:t>
            </w:r>
          </w:p>
        </w:tc>
        <w:tc>
          <w:tcPr>
            <w:tcW w:w="40" w:type="dxa"/>
            <w:vAlign w:val="bottom"/>
          </w:tcPr>
          <w:p>
            <w:pPr>
              <w:spacing w:after="0"/>
              <w:rPr>
                <w:sz w:val="13"/>
                <w:szCs w:val="13"/>
                <w:color w:val="auto"/>
              </w:rPr>
            </w:pPr>
          </w:p>
        </w:tc>
      </w:tr>
      <w:tr>
        <w:trPr>
          <w:trHeight w:val="195"/>
        </w:trPr>
        <w:tc>
          <w:tcPr>
            <w:tcW w:w="65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1,271,824</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1,271,631</w:t>
            </w:r>
          </w:p>
        </w:tc>
        <w:tc>
          <w:tcPr>
            <w:tcW w:w="40" w:type="dxa"/>
            <w:vAlign w:val="bottom"/>
          </w:tcPr>
          <w:p>
            <w:pPr>
              <w:spacing w:after="0"/>
              <w:rPr>
                <w:sz w:val="17"/>
                <w:szCs w:val="17"/>
                <w:color w:val="auto"/>
              </w:rPr>
            </w:pPr>
          </w:p>
        </w:tc>
      </w:tr>
      <w:tr>
        <w:trPr>
          <w:trHeight w:val="143"/>
        </w:trPr>
        <w:tc>
          <w:tcPr>
            <w:tcW w:w="65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AND STOCKHOLDERS’ EQUITY</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line="143" w:lineRule="exact"/>
              <w:rPr>
                <w:sz w:val="20"/>
                <w:szCs w:val="20"/>
                <w:color w:val="auto"/>
              </w:rPr>
            </w:pPr>
            <w:r>
              <w:rPr>
                <w:rFonts w:ascii="Arial" w:cs="Arial" w:eastAsia="Arial" w:hAnsi="Arial"/>
                <w:sz w:val="14"/>
                <w:szCs w:val="14"/>
                <w:color w:val="auto"/>
              </w:rPr>
              <w:t>​</w:t>
            </w:r>
          </w:p>
        </w:tc>
      </w:tr>
      <w:tr>
        <w:trPr>
          <w:trHeight w:val="162"/>
        </w:trPr>
        <w:tc>
          <w:tcPr>
            <w:tcW w:w="650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28,600</w:t>
            </w:r>
          </w:p>
        </w:tc>
        <w:tc>
          <w:tcPr>
            <w:tcW w:w="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17,693</w:t>
            </w:r>
          </w:p>
        </w:tc>
        <w:tc>
          <w:tcPr>
            <w:tcW w:w="40" w:type="dxa"/>
            <w:vAlign w:val="bottom"/>
          </w:tcPr>
          <w:p>
            <w:pPr>
              <w:spacing w:after="0"/>
              <w:rPr>
                <w:sz w:val="14"/>
                <w:szCs w:val="14"/>
                <w:color w:val="auto"/>
              </w:rPr>
            </w:pP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6,726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18,443</w:t>
            </w:r>
          </w:p>
        </w:tc>
        <w:tc>
          <w:tcPr>
            <w:tcW w:w="40" w:type="dxa"/>
            <w:vAlign w:val="bottom"/>
          </w:tcPr>
          <w:p>
            <w:pPr>
              <w:spacing w:after="0"/>
              <w:rPr>
                <w:sz w:val="14"/>
                <w:szCs w:val="14"/>
                <w:color w:val="auto"/>
              </w:rPr>
            </w:pP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150,107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191,039</w:t>
            </w:r>
          </w:p>
        </w:tc>
        <w:tc>
          <w:tcPr>
            <w:tcW w:w="40" w:type="dxa"/>
            <w:vAlign w:val="bottom"/>
          </w:tcPr>
          <w:p>
            <w:pPr>
              <w:spacing w:after="0"/>
              <w:rPr>
                <w:sz w:val="14"/>
                <w:szCs w:val="14"/>
                <w:color w:val="auto"/>
              </w:rPr>
            </w:pP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40" w:type="dxa"/>
            <w:vAlign w:val="bottom"/>
          </w:tcPr>
          <w:p>
            <w:pPr>
              <w:spacing w:after="0"/>
              <w:rPr>
                <w:sz w:val="14"/>
                <w:szCs w:val="14"/>
                <w:color w:val="auto"/>
              </w:rPr>
            </w:pP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4,957</w:t>
            </w:r>
          </w:p>
        </w:tc>
        <w:tc>
          <w:tcPr>
            <w:tcW w:w="40" w:type="dxa"/>
            <w:vAlign w:val="bottom"/>
          </w:tcPr>
          <w:p>
            <w:pPr>
              <w:spacing w:after="0"/>
              <w:rPr>
                <w:sz w:val="14"/>
                <w:szCs w:val="14"/>
                <w:color w:val="auto"/>
              </w:rPr>
            </w:pPr>
          </w:p>
        </w:tc>
      </w:tr>
      <w:tr>
        <w:trPr>
          <w:trHeight w:val="156"/>
        </w:trPr>
        <w:tc>
          <w:tcPr>
            <w:tcW w:w="65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217,340</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252,132</w:t>
            </w:r>
          </w:p>
        </w:tc>
        <w:tc>
          <w:tcPr>
            <w:tcW w:w="40" w:type="dxa"/>
            <w:vAlign w:val="bottom"/>
          </w:tcPr>
          <w:p>
            <w:pPr>
              <w:spacing w:after="0"/>
              <w:rPr>
                <w:sz w:val="13"/>
                <w:szCs w:val="13"/>
                <w:color w:val="auto"/>
              </w:rPr>
            </w:pPr>
          </w:p>
        </w:tc>
      </w:tr>
      <w:tr>
        <w:trPr>
          <w:trHeight w:val="155"/>
        </w:trPr>
        <w:tc>
          <w:tcPr>
            <w:tcW w:w="650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NONCURRENT LIABILITIES:</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138,814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143,663</w:t>
            </w:r>
          </w:p>
        </w:tc>
        <w:tc>
          <w:tcPr>
            <w:tcW w:w="40" w:type="dxa"/>
            <w:vAlign w:val="bottom"/>
          </w:tcPr>
          <w:p>
            <w:pPr>
              <w:spacing w:after="0"/>
              <w:rPr>
                <w:sz w:val="14"/>
                <w:szCs w:val="14"/>
                <w:color w:val="auto"/>
              </w:rPr>
            </w:pP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5,618</w:t>
            </w:r>
          </w:p>
        </w:tc>
        <w:tc>
          <w:tcPr>
            <w:tcW w:w="40" w:type="dxa"/>
            <w:vAlign w:val="bottom"/>
          </w:tcPr>
          <w:p>
            <w:pPr>
              <w:spacing w:after="0"/>
              <w:rPr>
                <w:sz w:val="14"/>
                <w:szCs w:val="14"/>
                <w:color w:val="auto"/>
              </w:rPr>
            </w:pPr>
          </w:p>
        </w:tc>
      </w:tr>
      <w:tr>
        <w:trPr>
          <w:trHeight w:val="156"/>
        </w:trPr>
        <w:tc>
          <w:tcPr>
            <w:tcW w:w="65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144,135</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149,281</w:t>
            </w:r>
          </w:p>
        </w:tc>
        <w:tc>
          <w:tcPr>
            <w:tcW w:w="40" w:type="dxa"/>
            <w:vAlign w:val="bottom"/>
          </w:tcPr>
          <w:p>
            <w:pPr>
              <w:spacing w:after="0"/>
              <w:rPr>
                <w:sz w:val="13"/>
                <w:szCs w:val="13"/>
                <w:color w:val="auto"/>
              </w:rPr>
            </w:pPr>
          </w:p>
        </w:tc>
      </w:tr>
      <w:tr>
        <w:trPr>
          <w:trHeight w:val="155"/>
        </w:trPr>
        <w:tc>
          <w:tcPr>
            <w:tcW w:w="650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3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361,475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401,413</w:t>
            </w:r>
          </w:p>
        </w:tc>
        <w:tc>
          <w:tcPr>
            <w:tcW w:w="40" w:type="dxa"/>
            <w:vAlign w:val="bottom"/>
          </w:tcPr>
          <w:p>
            <w:pPr>
              <w:spacing w:after="0"/>
              <w:rPr>
                <w:sz w:val="13"/>
                <w:szCs w:val="13"/>
                <w:color w:val="auto"/>
              </w:rPr>
            </w:pPr>
          </w:p>
        </w:tc>
      </w:tr>
      <w:tr>
        <w:trPr>
          <w:trHeight w:val="155"/>
        </w:trPr>
        <w:tc>
          <w:tcPr>
            <w:tcW w:w="6500" w:type="dxa"/>
            <w:vAlign w:val="bottom"/>
          </w:tcPr>
          <w:p>
            <w:pPr>
              <w:ind w:left="120"/>
              <w:spacing w:after="0" w:line="155" w:lineRule="exact"/>
              <w:rPr>
                <w:sz w:val="20"/>
                <w:szCs w:val="20"/>
                <w:color w:val="auto"/>
              </w:rPr>
            </w:pPr>
            <w:r>
              <w:rPr>
                <w:rFonts w:ascii="Arial" w:cs="Arial" w:eastAsia="Arial" w:hAnsi="Arial"/>
                <w:sz w:val="14"/>
                <w:szCs w:val="14"/>
                <w:color w:val="auto"/>
              </w:rPr>
              <w:t>COMMITMENTS AND CONTINGENCIES (Note 13)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r>
      <w:tr>
        <w:trPr>
          <w:trHeight w:val="162"/>
        </w:trPr>
        <w:tc>
          <w:tcPr>
            <w:tcW w:w="6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STOCKHOLDERS’ EQUITY:</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r>
      <w:tr>
        <w:trPr>
          <w:trHeight w:val="153"/>
        </w:trPr>
        <w:tc>
          <w:tcPr>
            <w:tcW w:w="650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March 31, 2026 and</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December 31, 2025, respectively; 57,867,389 and 57,726,170 shares issued and outstanding at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500" w:type="dxa"/>
            <w:vAlign w:val="bottom"/>
          </w:tcPr>
          <w:p>
            <w:pPr>
              <w:ind w:left="220"/>
              <w:spacing w:after="0"/>
              <w:rPr>
                <w:sz w:val="20"/>
                <w:szCs w:val="20"/>
                <w:color w:val="auto"/>
              </w:rPr>
            </w:pPr>
            <w:r>
              <w:rPr>
                <w:rFonts w:ascii="Arial" w:cs="Arial" w:eastAsia="Arial" w:hAnsi="Arial"/>
                <w:sz w:val="14"/>
                <w:szCs w:val="14"/>
                <w:color w:val="auto"/>
              </w:rPr>
              <w:t>March 31, 2026 and December 31, 2025, respectively</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717,370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708,968</w:t>
            </w:r>
          </w:p>
        </w:tc>
        <w:tc>
          <w:tcPr>
            <w:tcW w:w="40" w:type="dxa"/>
            <w:vAlign w:val="bottom"/>
          </w:tcPr>
          <w:p>
            <w:pPr>
              <w:spacing w:after="0"/>
              <w:rPr>
                <w:sz w:val="14"/>
                <w:szCs w:val="14"/>
                <w:color w:val="auto"/>
              </w:rPr>
            </w:pP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Accumulated other comprehensive (loss) income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346</w:t>
            </w:r>
          </w:p>
        </w:tc>
        <w:tc>
          <w:tcPr>
            <w:tcW w:w="40" w:type="dxa"/>
            <w:vAlign w:val="bottom"/>
          </w:tcPr>
          <w:p>
            <w:pPr>
              <w:spacing w:after="0"/>
              <w:rPr>
                <w:sz w:val="14"/>
                <w:szCs w:val="14"/>
                <w:color w:val="auto"/>
              </w:rPr>
            </w:pPr>
          </w:p>
        </w:tc>
      </w:tr>
      <w:tr>
        <w:trPr>
          <w:trHeight w:val="162"/>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earnings</w:t>
            </w: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193,391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160,903</w:t>
            </w:r>
          </w:p>
        </w:tc>
        <w:tc>
          <w:tcPr>
            <w:tcW w:w="40" w:type="dxa"/>
            <w:vAlign w:val="bottom"/>
          </w:tcPr>
          <w:p>
            <w:pPr>
              <w:spacing w:after="0"/>
              <w:rPr>
                <w:sz w:val="14"/>
                <w:szCs w:val="14"/>
                <w:color w:val="auto"/>
              </w:rPr>
            </w:pPr>
          </w:p>
        </w:tc>
      </w:tr>
      <w:tr>
        <w:trPr>
          <w:trHeight w:val="155"/>
        </w:trPr>
        <w:tc>
          <w:tcPr>
            <w:tcW w:w="650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910,349</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870,218</w:t>
            </w:r>
          </w:p>
        </w:tc>
        <w:tc>
          <w:tcPr>
            <w:tcW w:w="40" w:type="dxa"/>
            <w:vAlign w:val="bottom"/>
          </w:tcPr>
          <w:p>
            <w:pPr>
              <w:spacing w:after="0"/>
              <w:rPr>
                <w:sz w:val="13"/>
                <w:szCs w:val="13"/>
                <w:color w:val="auto"/>
              </w:rPr>
            </w:pPr>
          </w:p>
        </w:tc>
      </w:tr>
      <w:tr>
        <w:trPr>
          <w:trHeight w:val="156"/>
        </w:trPr>
        <w:tc>
          <w:tcPr>
            <w:tcW w:w="65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1,271,824</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1,271,631</w:t>
            </w:r>
          </w:p>
        </w:tc>
        <w:tc>
          <w:tcPr>
            <w:tcW w:w="40" w:type="dxa"/>
            <w:vAlign w:val="bottom"/>
          </w:tcPr>
          <w:p>
            <w:pPr>
              <w:spacing w:after="0"/>
              <w:rPr>
                <w:sz w:val="13"/>
                <w:szCs w:val="13"/>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86"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60" w:right="79"/>
        <w:spacing w:after="0" w:line="250" w:lineRule="auto"/>
        <w:rPr>
          <w:sz w:val="20"/>
          <w:szCs w:val="20"/>
          <w:color w:val="auto"/>
        </w:rPr>
      </w:pPr>
      <w:r>
        <w:rPr>
          <w:rFonts w:ascii="Arial" w:cs="Arial" w:eastAsia="Arial" w:hAnsi="Arial"/>
          <w:sz w:val="18"/>
          <w:szCs w:val="18"/>
          <w:b w:val="1"/>
          <w:bCs w:val="1"/>
          <w:color w:val="auto"/>
        </w:rPr>
        <w:t>HARMONY BIOSCIENCES HOLDINGS, INC. AND SUBSIDIARIES UNAUDITED CONDENSED CONSOLIDATED STATEMENTS OF OPERATIONS AND COMPREHENSIVE INCOME (In thousands, except share and per share data)</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60" w:type="dxa"/>
            <w:vAlign w:val="bottom"/>
            <w:vMerge w:val="restart"/>
          </w:tcPr>
          <w:p>
            <w:pPr>
              <w:ind w:left="56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7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tcBorders>
            <w:gridSpan w:val="2"/>
          </w:tcPr>
          <w:p>
            <w:pPr>
              <w:jc w:val="right"/>
              <w:ind w:right="227"/>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215,387</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184,733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44,512</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170,875</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152,739</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gridSpan w:val="2"/>
          </w:tcPr>
          <w:p>
            <w:pPr>
              <w:jc w:val="right"/>
              <w:ind w:right="467"/>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69,383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31,694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30,711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32,507</w:t>
            </w:r>
          </w:p>
        </w:tc>
        <w:tc>
          <w:tcPr>
            <w:tcW w:w="3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133,584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96,494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37,291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5,757</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39,687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57,177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(7,199)</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32,488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45,560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Unrealized (loss) income on investments</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(759)</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31,729</w:t>
            </w: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45,739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9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83"/>
        </w:trPr>
        <w:tc>
          <w:tcPr>
            <w:tcW w:w="5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0.56</w:t>
            </w:r>
          </w:p>
        </w:tc>
        <w:tc>
          <w:tcPr>
            <w:tcW w:w="58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0.55</w:t>
            </w:r>
          </w:p>
        </w:tc>
        <w:tc>
          <w:tcPr>
            <w:tcW w:w="58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57,819,060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57,309,938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20"/>
              <w:spacing w:after="0"/>
              <w:rPr>
                <w:sz w:val="20"/>
                <w:szCs w:val="20"/>
                <w:color w:val="auto"/>
              </w:rPr>
            </w:pPr>
            <w:r>
              <w:rPr>
                <w:rFonts w:ascii="Arial" w:cs="Arial" w:eastAsia="Arial" w:hAnsi="Arial"/>
                <w:sz w:val="18"/>
                <w:szCs w:val="18"/>
                <w:color w:val="auto"/>
              </w:rPr>
              <w:t>Weighted average number of shares of common stock - diluted</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58,776,297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58,524,566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r>
      <w:tr>
        <w:trPr>
          <w:trHeight w:val="171"/>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  Shares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 Amount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(loss)</w:t>
            </w:r>
          </w:p>
        </w:tc>
        <w:tc>
          <w:tcPr>
            <w:tcW w:w="2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earnings</w:t>
            </w:r>
          </w:p>
        </w:tc>
        <w:tc>
          <w:tcPr>
            <w:tcW w:w="3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70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2025</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57,726,170</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708,968</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346</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160,903</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870,218</w:t>
            </w:r>
          </w:p>
        </w:tc>
      </w:tr>
      <w:tr>
        <w:trPr>
          <w:trHeight w:val="162"/>
        </w:trPr>
        <w:tc>
          <w:tcPr>
            <w:tcW w:w="2700" w:type="dxa"/>
            <w:vAlign w:val="bottom"/>
            <w:gridSpan w:val="2"/>
          </w:tcPr>
          <w:p>
            <w:pPr>
              <w:ind w:left="2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32,488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32,488</w:t>
            </w:r>
          </w:p>
        </w:tc>
      </w:tr>
      <w:tr>
        <w:trPr>
          <w:trHeight w:val="162"/>
        </w:trPr>
        <w:tc>
          <w:tcPr>
            <w:tcW w:w="2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r>
      <w:tr>
        <w:trPr>
          <w:trHeight w:val="153"/>
        </w:trPr>
        <w:tc>
          <w:tcPr>
            <w:tcW w:w="270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Restricted stock unit tax withholding,</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1"/>
        </w:trPr>
        <w:tc>
          <w:tcPr>
            <w:tcW w:w="2700" w:type="dxa"/>
            <w:vAlign w:val="bottom"/>
            <w:gridSpan w:val="2"/>
          </w:tcPr>
          <w:p>
            <w:pPr>
              <w:ind w:left="220"/>
              <w:spacing w:after="0"/>
              <w:rPr>
                <w:sz w:val="20"/>
                <w:szCs w:val="20"/>
                <w:color w:val="auto"/>
              </w:rPr>
            </w:pPr>
            <w:r>
              <w:rPr>
                <w:rFonts w:ascii="Arial" w:cs="Arial" w:eastAsia="Arial" w:hAnsi="Arial"/>
                <w:sz w:val="14"/>
                <w:szCs w:val="14"/>
                <w:color w:val="auto"/>
              </w:rPr>
              <w:t>net of stock option exercises</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141,219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(2,218)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(2,218)</w:t>
            </w:r>
          </w:p>
        </w:tc>
      </w:tr>
      <w:tr>
        <w:trPr>
          <w:trHeight w:val="162"/>
        </w:trPr>
        <w:tc>
          <w:tcPr>
            <w:tcW w:w="2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10,620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10,620</w:t>
            </w:r>
          </w:p>
        </w:tc>
      </w:tr>
      <w:tr>
        <w:trPr>
          <w:trHeight w:val="156"/>
        </w:trPr>
        <w:tc>
          <w:tcPr>
            <w:tcW w:w="27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Balance as of March 31, 2026</w:t>
            </w: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57,867,389</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717,370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193,391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910,349</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65"/>
        </w:trPr>
        <w:tc>
          <w:tcPr>
            <w:tcW w:w="2700" w:type="dxa"/>
            <w:vAlign w:val="bottom"/>
            <w:gridSpan w:val="2"/>
          </w:tcPr>
          <w:p>
            <w:pPr>
              <w:ind w:left="25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4"/>
          </w:tcPr>
          <w:p>
            <w:pPr>
              <w:jc w:val="right"/>
              <w:ind w:right="308"/>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4"/>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2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3"/>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700" w:type="dxa"/>
            <w:vAlign w:val="bottom"/>
            <w:gridSpan w:val="2"/>
          </w:tcPr>
          <w:p>
            <w:pPr>
              <w:ind w:left="254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8"/>
              </w:rPr>
              <w:t>Shares</w:t>
            </w:r>
          </w:p>
        </w:tc>
        <w:tc>
          <w:tcPr>
            <w:tcW w:w="800" w:type="dxa"/>
            <w:vAlign w:val="bottom"/>
            <w:gridSpan w:val="5"/>
          </w:tcPr>
          <w:p>
            <w:pPr>
              <w:jc w:val="right"/>
              <w:ind w:right="8"/>
              <w:spacing w:after="0" w:line="155" w:lineRule="exact"/>
              <w:rPr>
                <w:sz w:val="20"/>
                <w:szCs w:val="20"/>
                <w:color w:val="auto"/>
              </w:rPr>
            </w:pPr>
            <w:r>
              <w:rPr>
                <w:rFonts w:ascii="Arial" w:cs="Arial" w:eastAsia="Arial" w:hAnsi="Arial"/>
                <w:sz w:val="14"/>
                <w:szCs w:val="14"/>
                <w:b w:val="1"/>
                <w:bCs w:val="1"/>
                <w:color w:val="auto"/>
              </w:rPr>
              <w:t>​​​ Amount</w:t>
            </w:r>
          </w:p>
        </w:tc>
        <w:tc>
          <w:tcPr>
            <w:tcW w:w="80" w:type="dxa"/>
            <w:vAlign w:val="bottom"/>
          </w:tcPr>
          <w:p>
            <w:pPr>
              <w:spacing w:after="0"/>
              <w:rPr>
                <w:sz w:val="13"/>
                <w:szCs w:val="13"/>
                <w:color w:val="auto"/>
              </w:rPr>
            </w:pPr>
          </w:p>
        </w:tc>
        <w:tc>
          <w:tcPr>
            <w:tcW w:w="2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income</w:t>
            </w:r>
          </w:p>
        </w:tc>
        <w:tc>
          <w:tcPr>
            <w:tcW w:w="28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earnings</w:t>
            </w:r>
          </w:p>
        </w:tc>
        <w:tc>
          <w:tcPr>
            <w:tcW w:w="3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center"/>
              <w:ind w:right="128"/>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2024</w:t>
            </w: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57,144,887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656,872</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2,216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659,155</w:t>
            </w:r>
          </w:p>
        </w:tc>
      </w:tr>
      <w:tr>
        <w:trPr>
          <w:trHeight w:val="162"/>
        </w:trPr>
        <w:tc>
          <w:tcPr>
            <w:tcW w:w="2700" w:type="dxa"/>
            <w:vAlign w:val="bottom"/>
            <w:gridSpan w:val="2"/>
          </w:tcPr>
          <w:p>
            <w:pPr>
              <w:ind w:left="2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45,560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45,560</w:t>
            </w:r>
          </w:p>
        </w:tc>
      </w:tr>
      <w:tr>
        <w:trPr>
          <w:trHeight w:val="162"/>
        </w:trPr>
        <w:tc>
          <w:tcPr>
            <w:tcW w:w="2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Unrealized gain on investments</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153"/>
        </w:trPr>
        <w:tc>
          <w:tcPr>
            <w:tcW w:w="270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Restricted stock unit tax</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2700" w:type="dxa"/>
            <w:vAlign w:val="bottom"/>
            <w:gridSpan w:val="2"/>
          </w:tcPr>
          <w:p>
            <w:pPr>
              <w:ind w:left="220"/>
              <w:spacing w:after="0"/>
              <w:rPr>
                <w:sz w:val="20"/>
                <w:szCs w:val="20"/>
                <w:color w:val="auto"/>
              </w:rPr>
            </w:pPr>
            <w:r>
              <w:rPr>
                <w:rFonts w:ascii="Arial" w:cs="Arial" w:eastAsia="Arial" w:hAnsi="Arial"/>
                <w:sz w:val="14"/>
                <w:szCs w:val="14"/>
                <w:color w:val="auto"/>
              </w:rPr>
              <w:t>withholding, net of stock option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700" w:type="dxa"/>
            <w:vAlign w:val="bottom"/>
            <w:gridSpan w:val="2"/>
          </w:tcPr>
          <w:p>
            <w:pPr>
              <w:ind w:left="220"/>
              <w:spacing w:after="0"/>
              <w:rPr>
                <w:sz w:val="20"/>
                <w:szCs w:val="20"/>
                <w:color w:val="auto"/>
              </w:rPr>
            </w:pPr>
            <w:r>
              <w:rPr>
                <w:rFonts w:ascii="Arial" w:cs="Arial" w:eastAsia="Arial" w:hAnsi="Arial"/>
                <w:sz w:val="14"/>
                <w:szCs w:val="14"/>
                <w:color w:val="auto"/>
              </w:rPr>
              <w:t>exercises</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248,786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3,132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3,132</w:t>
            </w:r>
          </w:p>
        </w:tc>
      </w:tr>
      <w:tr>
        <w:trPr>
          <w:trHeight w:val="162"/>
        </w:trPr>
        <w:tc>
          <w:tcPr>
            <w:tcW w:w="2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12,499</w:t>
            </w:r>
          </w:p>
        </w:tc>
      </w:tr>
      <w:tr>
        <w:trPr>
          <w:trHeight w:val="155"/>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March 31, 2025</w:t>
            </w: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57,393,673</w:t>
            </w: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500" w:type="dxa"/>
            <w:vAlign w:val="bottom"/>
            <w:tcBorders>
              <w:top w:val="single" w:sz="8" w:color="auto"/>
              <w:bottom w:val="single" w:sz="8" w:color="auto"/>
            </w:tcBorders>
            <w:gridSpan w:val="2"/>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672,503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720,525</w:t>
            </w:r>
          </w:p>
        </w:tc>
      </w:tr>
      <w:tr>
        <w:trPr>
          <w:trHeight w:val="20"/>
        </w:trPr>
        <w:tc>
          <w:tcPr>
            <w:tcW w:w="2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60" w:right="379" w:hanging="3045"/>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w:t>
      </w:r>
      <w:r>
        <w:rPr>
          <w:rFonts w:ascii="Arial" w:cs="Arial" w:eastAsia="Arial" w:hAnsi="Arial"/>
          <w:sz w:val="16"/>
          <w:szCs w:val="16"/>
          <w:color w:val="auto"/>
        </w:rPr>
        <w: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23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180" w:type="dxa"/>
            <w:vAlign w:val="bottom"/>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2026</w:t>
            </w:r>
          </w:p>
        </w:tc>
        <w:tc>
          <w:tcPr>
            <w:tcW w:w="4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3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32,488</w:t>
            </w: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45,560</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20"/>
              <w:spacing w:after="0"/>
              <w:rPr>
                <w:sz w:val="20"/>
                <w:szCs w:val="20"/>
                <w:color w:val="auto"/>
              </w:rPr>
            </w:pPr>
            <w:r>
              <w:rPr>
                <w:rFonts w:ascii="Arial" w:cs="Arial" w:eastAsia="Arial" w:hAnsi="Arial"/>
                <w:sz w:val="14"/>
                <w:szCs w:val="14"/>
                <w:color w:val="auto"/>
              </w:rPr>
              <w:t>Acquired in-process research &amp; development (IPR&amp;D) expense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amortization</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20"/>
              <w:spacing w:after="0"/>
              <w:rPr>
                <w:sz w:val="20"/>
                <w:szCs w:val="20"/>
                <w:color w:val="auto"/>
              </w:rPr>
            </w:pPr>
            <w:r>
              <w:rPr>
                <w:rFonts w:ascii="Arial" w:cs="Arial" w:eastAsia="Arial" w:hAnsi="Arial"/>
                <w:sz w:val="14"/>
                <w:szCs w:val="14"/>
                <w:color w:val="auto"/>
              </w:rPr>
              <w:t>Deferred taxes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(3,863)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20"/>
              <w:spacing w:after="0"/>
              <w:rPr>
                <w:sz w:val="20"/>
                <w:szCs w:val="20"/>
                <w:color w:val="auto"/>
              </w:rPr>
            </w:pPr>
            <w:r>
              <w:rPr>
                <w:rFonts w:ascii="Arial" w:cs="Arial" w:eastAsia="Arial" w:hAnsi="Arial"/>
                <w:sz w:val="14"/>
                <w:szCs w:val="14"/>
                <w:color w:val="auto"/>
              </w:rPr>
              <w:t>Other non-cash expenses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467</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20"/>
              <w:spacing w:after="0"/>
              <w:rPr>
                <w:sz w:val="20"/>
                <w:szCs w:val="20"/>
                <w:color w:val="auto"/>
              </w:rPr>
            </w:pPr>
            <w:r>
              <w:rPr>
                <w:rFonts w:ascii="Arial" w:cs="Arial" w:eastAsia="Arial" w:hAnsi="Arial"/>
                <w:sz w:val="14"/>
                <w:szCs w:val="14"/>
                <w:color w:val="auto"/>
              </w:rPr>
              <w:t>Trade receivables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(11,435)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(22,936)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(2,996)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(46,184)</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3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27,760</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33,987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investment securities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(178,995)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27,349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21,622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property and equipment</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Payment of upfront fee related to license agreements</w:t>
            </w: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(32,000)</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3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(183,646)</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repayment of long-term debt</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exercised options</w:t>
            </w:r>
          </w:p>
        </w:tc>
        <w:tc>
          <w:tcPr>
            <w:tcW w:w="3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used in financing activities</w:t>
            </w:r>
          </w:p>
        </w:tc>
        <w:tc>
          <w:tcPr>
            <w:tcW w:w="3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(7,218)</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(DECREASE) INCREASE IN CASH, CASH EQUIVALENTS, AND RESTRICTED CASH</w:t>
            </w:r>
          </w:p>
        </w:tc>
        <w:tc>
          <w:tcPr>
            <w:tcW w:w="3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(163,104)</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35,997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3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752,772</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453,271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360" w:type="dxa"/>
            <w:vAlign w:val="bottom"/>
            <w:shd w:val="clear" w:color="auto" w:fill="CCEEFF"/>
          </w:tcPr>
          <w:p>
            <w:pPr>
              <w:spacing w:after="0"/>
              <w:rPr>
                <w:sz w:val="13"/>
                <w:szCs w:val="13"/>
                <w:color w:val="auto"/>
              </w:rPr>
            </w:pPr>
          </w:p>
        </w:tc>
        <w:tc>
          <w:tcPr>
            <w:tcW w:w="100" w:type="dxa"/>
            <w:vAlign w:val="bottom"/>
            <w:tcBorders>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589,668</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489,268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80" w:type="dxa"/>
            <w:vAlign w:val="bottom"/>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180" w:type="dxa"/>
            <w:vAlign w:val="bottom"/>
          </w:tcPr>
          <w:p>
            <w:pPr>
              <w:ind w:left="220"/>
              <w:spacing w:after="0"/>
              <w:rPr>
                <w:sz w:val="20"/>
                <w:szCs w:val="20"/>
                <w:color w:val="auto"/>
              </w:rPr>
            </w:pPr>
            <w:r>
              <w:rPr>
                <w:rFonts w:ascii="Arial" w:cs="Arial" w:eastAsia="Arial" w:hAnsi="Arial"/>
                <w:sz w:val="14"/>
                <w:szCs w:val="14"/>
                <w:color w:val="auto"/>
              </w:rPr>
              <w:t>Cash paid during the year for income taxes net of refunds received</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 w:right="70"/>
        <w:spacing w:after="0" w:line="257" w:lineRule="auto"/>
        <w:rPr>
          <w:sz w:val="20"/>
          <w:szCs w:val="20"/>
          <w:color w:val="auto"/>
        </w:rPr>
      </w:pPr>
      <w:r>
        <w:rPr>
          <w:rFonts w:ascii="Arial" w:cs="Arial" w:eastAsia="Arial" w:hAnsi="Arial"/>
          <w:sz w:val="18"/>
          <w:szCs w:val="18"/>
          <w:b w:val="1"/>
          <w:bCs w:val="1"/>
          <w:color w:val="auto"/>
        </w:rPr>
        <w:t>HARMONY BIOSCIENCES HOLDINGS, INC. AND SUBSIDIARIES NOTES TO UNAUDITED CONDENSED CONSOLIDATED FINANCIAL STATEMENTS (In thousands, except share and per share data)</w:t>
      </w:r>
    </w:p>
    <w:p>
      <w:pPr>
        <w:spacing w:after="0" w:line="159" w:lineRule="exact"/>
        <w:rPr>
          <w:sz w:val="20"/>
          <w:szCs w:val="20"/>
          <w:color w:val="auto"/>
        </w:rPr>
      </w:pPr>
    </w:p>
    <w:p>
      <w:pPr>
        <w:ind w:left="700" w:right="4399" w:hanging="650"/>
        <w:spacing w:after="0" w:line="485"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42" w:lineRule="auto"/>
        <w:rPr>
          <w:sz w:val="20"/>
          <w:szCs w:val="20"/>
          <w:color w:val="auto"/>
        </w:rPr>
      </w:pPr>
      <w:r>
        <w:rPr>
          <w:rFonts w:ascii="Arial" w:cs="Arial" w:eastAsia="Arial" w:hAnsi="Arial"/>
          <w:sz w:val="18"/>
          <w:szCs w:val="18"/>
          <w:color w:val="auto"/>
        </w:rPr>
        <w:t>Harmony Biosciences Holdings, Inc., and its consolidated subsidiaries (the “Company” or “Harmony”),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subsidiaries, Harmony Biosciences, LLC, and Harmony Biosciences Management, Inc. The Company is headquartered in Plymouth Meeting, Pennsylvania.</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and rare epilepsy, and we are harnessing scientific insights and pioneering approaches to advance meaningful treatments that help patients thrive.</w:t>
      </w:r>
    </w:p>
    <w:p>
      <w:pPr>
        <w:spacing w:after="0" w:line="163" w:lineRule="exact"/>
        <w:rPr>
          <w:sz w:val="20"/>
          <w:szCs w:val="20"/>
          <w:color w:val="auto"/>
        </w:rPr>
      </w:pPr>
    </w:p>
    <w:p>
      <w:pPr>
        <w:jc w:val="both"/>
        <w:ind w:left="60" w:right="59" w:firstLine="648"/>
        <w:spacing w:after="0" w:line="223" w:lineRule="auto"/>
        <w:rPr>
          <w:sz w:val="20"/>
          <w:szCs w:val="20"/>
          <w:color w:val="auto"/>
        </w:rPr>
      </w:pPr>
      <w:r>
        <w:rPr>
          <w:rFonts w:ascii="Arial" w:cs="Arial" w:eastAsia="Arial" w:hAnsi="Arial"/>
          <w:sz w:val="18"/>
          <w:szCs w:val="18"/>
          <w:color w:val="auto"/>
        </w:rPr>
        <w:t>In July 2017, the Company entered into a License Agreement (the “2017 LCA”) with Bioprojet Société Civile de Recherche (“Bioprojet”) whereby the Company acquired the exclusive right to commercialize the pharmaceutical compound pitolisant. Our lead product, WAKIX® (pitolisant) (“WAKIX”), is a first-in-class therapy with a novel mechanism of action designed to enhance histamine signaling in the brain by binding to H</w:t>
      </w:r>
      <w:r>
        <w:rPr>
          <w:rFonts w:ascii="Arial" w:cs="Arial" w:eastAsia="Arial" w:hAnsi="Arial"/>
          <w:sz w:val="26"/>
          <w:szCs w:val="26"/>
          <w:color w:val="auto"/>
          <w:vertAlign w:val="subscript"/>
        </w:rPr>
        <w:t>3</w:t>
      </w:r>
    </w:p>
    <w:p>
      <w:pPr>
        <w:jc w:val="both"/>
        <w:ind w:left="60" w:right="59"/>
        <w:spacing w:after="0" w:line="237" w:lineRule="auto"/>
        <w:rPr>
          <w:sz w:val="20"/>
          <w:szCs w:val="20"/>
          <w:color w:val="auto"/>
        </w:rPr>
      </w:pPr>
      <w:r>
        <w:rPr>
          <w:rFonts w:ascii="Arial" w:cs="Arial" w:eastAsia="Arial" w:hAnsi="Arial"/>
          <w:sz w:val="18"/>
          <w:szCs w:val="18"/>
          <w:color w:val="auto"/>
        </w:rPr>
        <w:t>receptors. Since its initial FDA approval in 2019 for excessive daytime sleepiness (“EDS”) in adult patients with narcolepsy, WAKIX has subsequently been approved for cataplexy in adult patients in 2020, and EDS and cataplexy in pediatric patients six years and older in 2024 and 2026, respectively. Beyond narcolepsy, we are also advancing late-stage clinical programs exploring pitolisant in Prader-Willi syndrome (“PWS”) and continue to grow our impact in other rare neurological diseases. In July 2022, the Company entered into a License and Commercialization Agreement (the “2022 LCA”) with Bioprojet whereby we obtained exclusive rights to manufacture, develop and commercialize one or more next generation pitolisant based products in the United States and Latin America. Two of the next generations formulations, Pitolisant Gastro-Resistant (“Pitolisant GR”) and Pitolisant High-Dose (“Pitolisant HD”) are currently in clinical development.</w:t>
      </w:r>
    </w:p>
    <w:p>
      <w:pPr>
        <w:spacing w:after="0" w:line="16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Along with nurturing the growth of our original pipeline, our innovation strategy includes targeted business development that strengthens our foundation and strategically extends our patient reach as we look to expand our portfolio to new diseases beyond histaminergic science.</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April 2024, we expanded into orexin science through a sublicense agreement with Bioprojet for an orexin 2 receptor agonist (“BP-205”) in preclinical development for narcolepsy and other potential indications. Under the sublicense agreement the Company obtained the exclusive right to develop, manufacture and commercialize BP-205 in the United States and Latin American territories, which are rights originally licensed from Teijin Pharma, the innovator of BP-205. We further broadened our portfolio into rare epilepsy when the Company acquired Epygenix Therapeutics, Inc. (“Epygenix”) in April 2024. As a result, the Company now has an exclusive license relating to the use of clemizole hydrochloride, initially for the treatment of Dravet Syndrome (“DS”) and Lennox-Gastaut Syndrome (“LGS”), and a liquid formulation of lorcaserin for the treatment of developmental and epileptic encephalopathies.</w:t>
      </w:r>
    </w:p>
    <w:p>
      <w:pPr>
        <w:spacing w:after="0" w:line="183"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June 2025, we entered into a research collaboration, option and license agreement (the “CiRC Agreement”) with CiRC Biosciences, Inc. (“CiRC”), a related party. Under this agreement, Harmony and CiRC will collaborate on the research and development of two discovery-stage candidates, CBS105 for treatment-resistant narcolepsy and CBS104 for refractory epilepsy (together, the “Candidates”), using cell replacement therapy for the treatment of refractory epilepsies and treatment-resistant narcolepsy.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exploring an opportunity to evaluate a novel amorphous form of pitolisant targeting larger CNS indications. Our current efforts are focused on formulation optimization with new modes of delivery and towards a Phase 1 PK study.</w:t>
      </w:r>
    </w:p>
    <w:p>
      <w:pPr>
        <w:spacing w:after="0" w:line="169"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retained earnings of $193,391 and $160,903, as of March 31, 2026, and December 31, 2025, respectively. As of March 31, 2026, the Company had cash, cash equivalents and investments of $870,473.</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believes that its existing cash, cash equivalents and investments on hand as of March 31, 2026, as well as additional cash generated from operating and financing activities will meet its operational liquidity needs and fund potential investing activities for at least the next twelve months from the date of issuance of these unaudited condensed consolidated financial statements.</w:t>
      </w:r>
    </w:p>
    <w:p>
      <w:pPr>
        <w:spacing w:after="0" w:line="174" w:lineRule="exact"/>
        <w:rPr>
          <w:sz w:val="20"/>
          <w:szCs w:val="20"/>
          <w:color w:val="auto"/>
        </w:rPr>
      </w:pPr>
    </w:p>
    <w:p>
      <w:pPr>
        <w:ind w:left="700" w:right="4179" w:hanging="650"/>
        <w:spacing w:after="0" w:line="485"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36"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March 31, 2026, the unaudited condensed consolidated statements of cash flows for the three months ended March 31, 2026, and 2025, and the unaudited condensed consolidated statements of operations and comprehensive income and the unaudited condensed consolidated statements of stockholders’ equity for the three months ended March 31, 2026, and 2025, are unaudited. The balance sheet as of December 31, 2025, was derived from audited financial statements as of and for the year ended December 31, 2025. The unaudited interim condensed consolidated financial statements have been prepared on the same basis as the audited annual financial statements as of and for the year ended December 31, 2025, and, in the opinion of management, reflect all adjustments, which include only normal recurring adjustments, necessary for the fair presentation of the Company’s financial position as of March 31, 2026, and the results of its operations and its cash flows for the three months ended March 31, 2026, and 2025.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2025.</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clinical trial results of the Company’s product candidates; the Company’s ability to obtain regulatory approval to market its products; competition from products manufactured and sold or being developed by other companies, including generic competition; the price of, and demand for, the Company’s products, if approved; the Company’s ability to negotiate favorable licensing or other manufacturing and marketing agreements for its product candidates; and the Company’s ability to raise capital.</w:t>
      </w:r>
    </w:p>
    <w:p>
      <w:pPr>
        <w:spacing w:after="0" w:line="185"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currently has one commercialized product, WAKIX, and there can be no assurance that the Company’s research and development efforts will result in successfully commercialized products in addition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preparation of financial statements in conformity with GAAP requires the Company to make estimates and assumptions that affect the reported amounts and disclosures in the unaudited condensed consolidated financial statements, including the notes thereto, and elsewhere in this report. Actual results may differ significantly from estimates, which include rebates payable pursuant to commercial and government contracts, accrued research and development expenses, stock-based compensation expense and income taxes.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has determined it operates in a single operating segment, rare neurological diseases and, therefore, has one reportable segment. The Company holds all its tangible assets, conducts its operations, and generates its revenue in the United States.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Company’s unaudited condensed consolidated financial statements include cash, cash equivalents, accounts payable, and accrued liabilities, all of which are short term in nature and, accordingly, approximate fair value.</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69" w:lineRule="exact"/>
        <w:rPr>
          <w:sz w:val="20"/>
          <w:szCs w:val="20"/>
          <w:color w:val="auto"/>
        </w:rPr>
      </w:pPr>
    </w:p>
    <w:p>
      <w:pPr>
        <w:ind w:left="700" w:right="739"/>
        <w:spacing w:after="0" w:line="271"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54"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54"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5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other pricing sources. The Company did not classify any assets or liabilities as Level 3 as of March 31, 2026, or December 31, 2025.</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and the statements of cash flows.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460" w:type="dxa"/>
            <w:vAlign w:val="bottom"/>
            <w:gridSpan w:val="3"/>
          </w:tcPr>
          <w:p>
            <w:pPr>
              <w:ind w:left="22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00" w:type="dxa"/>
            <w:vAlign w:val="bottom"/>
          </w:tcPr>
          <w:p>
            <w:pPr>
              <w:spacing w:after="0"/>
              <w:rPr>
                <w:sz w:val="12"/>
                <w:szCs w:val="12"/>
                <w:color w:val="auto"/>
              </w:rPr>
            </w:pPr>
          </w:p>
        </w:tc>
        <w:tc>
          <w:tcPr>
            <w:tcW w:w="36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19"/>
              <w:spacing w:after="0" w:line="147" w:lineRule="exact"/>
              <w:rPr>
                <w:sz w:val="20"/>
                <w:szCs w:val="20"/>
                <w:color w:val="auto"/>
              </w:rPr>
            </w:pPr>
            <w:r>
              <w:rPr>
                <w:rFonts w:ascii="Arial" w:cs="Arial" w:eastAsia="Arial" w:hAnsi="Arial"/>
                <w:sz w:val="14"/>
                <w:szCs w:val="14"/>
                <w:b w:val="1"/>
                <w:bCs w:val="1"/>
                <w:color w:val="auto"/>
              </w:rPr>
              <w:t>March 31,</w:t>
            </w:r>
          </w:p>
        </w:tc>
        <w:tc>
          <w:tcPr>
            <w:tcW w:w="1240" w:type="dxa"/>
            <w:vAlign w:val="bottom"/>
            <w:tcBorders>
              <w:top w:val="single" w:sz="8" w:color="auto"/>
            </w:tcBorders>
            <w:gridSpan w:val="3"/>
          </w:tcPr>
          <w:p>
            <w:pPr>
              <w:jc w:val="right"/>
              <w:spacing w:after="0" w:line="147"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589,398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752,502</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 included in other noncurrent assets</w:t>
            </w:r>
          </w:p>
        </w:tc>
        <w:tc>
          <w:tcPr>
            <w:tcW w:w="3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64"/>
        </w:trPr>
        <w:tc>
          <w:tcPr>
            <w:tcW w:w="630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589,668</w:t>
            </w:r>
          </w:p>
        </w:tc>
        <w:tc>
          <w:tcPr>
            <w:tcW w:w="4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752,772</w:t>
            </w:r>
          </w:p>
        </w:tc>
        <w:tc>
          <w:tcPr>
            <w:tcW w:w="0" w:type="dxa"/>
            <w:vAlign w:val="bottom"/>
          </w:tcPr>
          <w:p>
            <w:pPr>
              <w:spacing w:after="0"/>
              <w:rPr>
                <w:sz w:val="1"/>
                <w:szCs w:val="1"/>
                <w:color w:val="auto"/>
              </w:rPr>
            </w:pP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46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Interest income earned on cash and investment balances, accretion of the discount on investments in debt securities, amortization of premiums and realized gains and losses, if any, are recorded in interest income on the unaudited condensed consolidated statement of operations and comprehensive income. Realized gains and losses that result from the sale of investments are determined on a specific identification basis.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Substantially all of the Company’s cash and money market funds are held in six financial institutions. Due to their size, the Company believes these financial institutions represent minimal credit risk. Deposits may exceed the amount of insurance provided on such deposits by the Federal Deposit Insurance Corporation for U.S. institutions. The Company believes that it is not exposed to significant credit risk due to the financial position of the depository institutions in which those deposits are held.</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is subject to credit risk from its trade receivables related to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for uncollectible amounts, if necessary. As of March 31, 2026, three customers accounted for 100% of gross accounts receivable; Accredo Health Group, Inc. (“Accredo”), which accounted for 41% of gross accounts receivable; Caremark LLC (“CVS Caremark”), which accounted for 33% of gross accounts receivable; and PANTHERx Specialty Pharmacy LLC (“Pantherx”), which accounted for 26% of gross accounts receivable. As of December 31, 2025, three customers accounted for 100% of gross accounts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receivable; Accredo, which accounted for 45% of gross accounts receivable, CVS Caremark, which accounted for 36% of gross accounts receivable; and PantherX, which accounted for 19% of gross accounts receivable.</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the three months ended March 31, 2026, three customers accounted for 100% of gross product revenue; CVS Caremark accounted for 37% of gross product revenue; Accredo accounted for 36% of gross product revenue; and Pantherx accounted for 27% of gross product revenue. For the three months ended March 31, 2025, three customers accounted for 100% of gross product revenue; CVS Caremark accounted for 40% of gross product revenue; Accredo accounted for 35% of gross product revenue; and Pantherx accounted for 25% of gross product revenue.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 depends on two suppliers of the active pharmaceutical ingredient (“API”) for its commercial product, WAKIX, and single API suppliers for each of its potential product candidates.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 xml:space="preserve">Business combinations and asset acquisitions are accounted for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 xml:space="preserve">In December 2023, the FASB issued Accounting Standards Update (“ASU”) No 2023-09,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(Topic 740): Improvements to Income Tax Disclosures” </w:t>
      </w:r>
      <w:r>
        <w:rPr>
          <w:rFonts w:ascii="Arial" w:cs="Arial" w:eastAsia="Arial" w:hAnsi="Arial"/>
          <w:sz w:val="18"/>
          <w:szCs w:val="18"/>
          <w:color w:val="auto"/>
        </w:rPr>
        <w:t>(“ASU 2023-09”). ASU 2023-09 expands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in the rate reconciliation and requires disclosure of income taxes paid by jurisdiction. ASU 2023-09 is effective for fiscal years beginning after December 15, 2024. Early adoption was permitted. The Company adopted this guidance in the fourth quarter of 2025 on a prospective basis. This pronouncement addresses disclosures only and had no impact on its consolidated financial results.</w:t>
      </w:r>
    </w:p>
    <w:p>
      <w:pPr>
        <w:spacing w:after="0" w:line="165"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Targeted Improvements to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Internal-Use Software</w:t>
      </w:r>
      <w:r>
        <w:rPr>
          <w:rFonts w:ascii="Arial" w:cs="Arial" w:eastAsia="Arial" w:hAnsi="Arial"/>
          <w:sz w:val="18"/>
          <w:szCs w:val="18"/>
          <w:color w:val="auto"/>
        </w:rPr>
        <w:t>. ASU 2025-06 makes targeted improvements to accounting for and disclosure of</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under ASC 350-40. This ASU is effective for all entities for annual reporting periods beginning after December 15, 2027, and interim reporting periods within those annual reporting periods. The guidance may be adopted prospectively, retrospectively, or via a modified prospective transition method. Early adoption is permitted. The Company early adopted this guidance in the first quarter of 2026 on a prospective basis. This pronouncement did not have a material impact on its unaudited condensed consolidated financial statements during the three months ended March 31, 2026.</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ASU 2024-03 requires disclosure, in the notes to the financial statements, of specified information about certain costs and expenses, including amounts of purchases of inventory, employee compensation, depreciation, and intangible asset amortization included in each relevant expense caption, as well as a qualitative description of amounts remaining in relevant expense captions that are not separately disaggregated quantitatively. ASU 2024-03 also requires disclosure of the total amount of selling expenses and, in annual periods, an entity’s definition of selling expenses. ASU 2024-03 is effective for fiscal years beginning after December 15, 2026, and interim periods within fiscal years beginning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after December 15, 2027. The guidance may be applied prospectively or retrospectively. Early adoption is permitted. The Company is currently evaluating the impact that ASU 2024-03 will have on the Company’s consolidated financial statements.</w:t>
      </w:r>
    </w:p>
    <w:p>
      <w:pPr>
        <w:spacing w:after="0" w:line="3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234"/>
        </w:trPr>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91"/>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12,931</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12,920</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31,157</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7,447</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7,443</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51,565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51,520</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198,705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198,342</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31,213</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229,923</w:t>
            </w:r>
          </w:p>
        </w:tc>
        <w:tc>
          <w:tcPr>
            <w:tcW w:w="1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229,555</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12"/>
        </w:trPr>
        <w:tc>
          <w:tcPr>
            <w:tcW w:w="5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35"/>
        </w:trPr>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91"/>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7,558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7,565</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r>
      <w:tr>
        <w:trPr>
          <w:trHeight w:val="236"/>
        </w:trPr>
        <w:tc>
          <w:tcPr>
            <w:tcW w:w="5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22,819</w:t>
            </w:r>
          </w:p>
        </w:tc>
        <w:tc>
          <w:tcPr>
            <w:tcW w:w="1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22,838</w:t>
            </w:r>
          </w:p>
        </w:tc>
      </w:tr>
      <w:tr>
        <w:trPr>
          <w:trHeight w:val="197"/>
        </w:trPr>
        <w:tc>
          <w:tcPr>
            <w:tcW w:w="5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88,626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88,874</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106,800</w:t>
            </w:r>
          </w:p>
        </w:tc>
        <w:tc>
          <w:tcPr>
            <w:tcW w:w="1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107,127</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in its unaudited condensed consolidated balance sheet. The investments classified as noncurrent have original maturity dates ranging from 1-2 years. The Company did not have any available-for-sale debt security investments in a continuous unrealized loss position of greater than 12 months as of March 31, 2026, and December 31, 2025, respectively.</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March 31, 2026, or December 31, 2025.</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2026</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December 31, 2025</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1000" w:type="dxa"/>
            <w:vAlign w:val="bottom"/>
            <w:gridSpan w:val="6"/>
          </w:tcPr>
          <w:p>
            <w:pPr>
              <w:ind w:left="160"/>
              <w:spacing w:after="0"/>
              <w:rPr>
                <w:sz w:val="20"/>
                <w:szCs w:val="20"/>
                <w:color w:val="auto"/>
              </w:rPr>
            </w:pPr>
            <w:r>
              <w:rPr>
                <w:rFonts w:ascii="Arial" w:cs="Arial" w:eastAsia="Arial" w:hAnsi="Arial"/>
                <w:sz w:val="14"/>
                <w:szCs w:val="14"/>
                <w:b w:val="1"/>
                <w:bCs w:val="1"/>
                <w:color w:val="auto"/>
              </w:rPr>
              <w:t>Level 1</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$ 191,291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191,291</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$ 225,605</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225,605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229,499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229,499</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104,147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gridSpan w:val="5"/>
          </w:tcPr>
          <w:p>
            <w:pPr>
              <w:jc w:val="right"/>
              <w:ind w:right="2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38,656</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$ 472,366</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191,291</w:t>
            </w: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281,075</w:t>
            </w:r>
          </w:p>
        </w:tc>
        <w:tc>
          <w:tcPr>
            <w:tcW w:w="220" w:type="dxa"/>
            <w:vAlign w:val="bottom"/>
          </w:tcPr>
          <w:p>
            <w:pPr>
              <w:spacing w:after="0"/>
              <w:rPr>
                <w:sz w:val="17"/>
                <w:szCs w:val="17"/>
                <w:color w:val="auto"/>
              </w:rPr>
            </w:pPr>
          </w:p>
        </w:tc>
        <w:tc>
          <w:tcPr>
            <w:tcW w:w="9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$ 355,570</w:t>
            </w:r>
          </w:p>
        </w:tc>
        <w:tc>
          <w:tcPr>
            <w:tcW w:w="160" w:type="dxa"/>
            <w:vAlign w:val="bottom"/>
          </w:tcPr>
          <w:p>
            <w:pPr>
              <w:spacing w:after="0"/>
              <w:rPr>
                <w:sz w:val="17"/>
                <w:szCs w:val="17"/>
                <w:color w:val="auto"/>
              </w:rPr>
            </w:pPr>
          </w:p>
        </w:tc>
        <w:tc>
          <w:tcPr>
            <w:tcW w:w="7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225,605</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6. INVENTORY</w:t>
            </w: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0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920" w:type="dxa"/>
            <w:vAlign w:val="bottom"/>
            <w:gridSpan w:val="2"/>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1000" w:type="dxa"/>
            <w:vAlign w:val="bottom"/>
            <w:gridSpan w:val="6"/>
          </w:tcPr>
          <w:p>
            <w:pPr>
              <w:ind w:left="480"/>
              <w:spacing w:after="0"/>
              <w:rPr>
                <w:sz w:val="20"/>
                <w:szCs w:val="20"/>
                <w:color w:val="auto"/>
              </w:rPr>
            </w:pPr>
            <w:r>
              <w:rPr>
                <w:rFonts w:ascii="Arial" w:cs="Arial" w:eastAsia="Arial" w:hAnsi="Arial"/>
                <w:sz w:val="14"/>
                <w:szCs w:val="14"/>
                <w:b w:val="1"/>
                <w:bCs w:val="1"/>
                <w:color w:val="auto"/>
              </w:rPr>
              <w:t>As of</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gridSpan w:val="3"/>
          </w:tcPr>
          <w:p>
            <w:pPr>
              <w:jc w:val="right"/>
              <w:ind w:right="62"/>
              <w:spacing w:after="0" w:line="147" w:lineRule="exact"/>
              <w:rPr>
                <w:sz w:val="20"/>
                <w:szCs w:val="20"/>
                <w:color w:val="auto"/>
              </w:rPr>
            </w:pPr>
            <w:r>
              <w:rPr>
                <w:rFonts w:ascii="Arial" w:cs="Arial" w:eastAsia="Arial" w:hAnsi="Arial"/>
                <w:sz w:val="14"/>
                <w:szCs w:val="14"/>
                <w:b w:val="1"/>
                <w:bCs w:val="1"/>
                <w:color w:val="auto"/>
              </w:rPr>
              <w:t>March 31,</w:t>
            </w: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5"/>
          </w:tcPr>
          <w:p>
            <w:pPr>
              <w:jc w:val="right"/>
              <w:spacing w:after="0" w:line="147"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rPr>
              <w:t>2026</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Work in process</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3,461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Finished goods</w:t>
            </w:r>
          </w:p>
        </w:tc>
        <w:tc>
          <w:tcPr>
            <w:tcW w:w="8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1,984</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Inventory, gross</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5,445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Reserve for excess inventory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4"/>
          </w:tcPr>
          <w:p>
            <w:pPr>
              <w:jc w:val="right"/>
              <w:ind w:right="108"/>
              <w:spacing w:after="0" w:line="202" w:lineRule="exact"/>
              <w:rPr>
                <w:sz w:val="20"/>
                <w:szCs w:val="20"/>
                <w:color w:val="auto"/>
              </w:rPr>
            </w:pPr>
            <w:r>
              <w:rPr>
                <w:rFonts w:ascii="Arial" w:cs="Arial" w:eastAsia="Arial" w:hAnsi="Arial"/>
                <w:sz w:val="18"/>
                <w:szCs w:val="18"/>
                <w:color w:val="auto"/>
              </w:rPr>
              <w:t>(164)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108"/>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5,281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INTANGIBLE ASSETS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August 2019, the Company received FDA approval of WAKIX for the treatment of EDS in adult patients with narcolepsy. This event triggered a milestone payment of $75,000 under the provisions of the 2017 LCA which the Company capitalized as an intangible asset. The Company determined a useful life of 10 years for the intangible asset, and, as of March 31, 2026, the remaining useful life was 3.5 years.</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the intangible asset, and, as of March 31, 2026, the remaining useful life was 3.5 years.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the intangible asset, and, as of March 31, 2026, the remaining useful life was 3.5 years.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Amortization expense was $5,961 for each of the three months ended March 31, 2026, and 2025, respectively, and is recorded in general and administrative on the unaudited condensed consolidated statements of operations and comprehensive income.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61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9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r>
      <w:tr>
        <w:trPr>
          <w:trHeight w:val="203"/>
        </w:trPr>
        <w:tc>
          <w:tcPr>
            <w:tcW w:w="6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2026 (excluding the three months ended March 31, 2026)</w:t>
            </w:r>
          </w:p>
        </w:tc>
        <w:tc>
          <w:tcPr>
            <w:tcW w:w="1900" w:type="dxa"/>
            <w:vAlign w:val="bottom"/>
            <w:gridSpan w:val="2"/>
            <w:shd w:val="clear" w:color="auto" w:fill="CCEEFF"/>
          </w:tcPr>
          <w:p>
            <w:pPr>
              <w:jc w:val="right"/>
              <w:ind w:right="147"/>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17,884</w:t>
            </w:r>
          </w:p>
        </w:tc>
      </w:tr>
      <w:tr>
        <w:trPr>
          <w:trHeight w:val="203"/>
        </w:trPr>
        <w:tc>
          <w:tcPr>
            <w:tcW w:w="6160" w:type="dxa"/>
            <w:vAlign w:val="bottom"/>
          </w:tcPr>
          <w:p>
            <w:pPr>
              <w:ind w:left="100"/>
              <w:spacing w:after="0" w:line="202" w:lineRule="exact"/>
              <w:rPr>
                <w:sz w:val="20"/>
                <w:szCs w:val="20"/>
                <w:color w:val="auto"/>
              </w:rPr>
            </w:pPr>
            <w:r>
              <w:rPr>
                <w:rFonts w:ascii="Arial" w:cs="Arial" w:eastAsia="Arial" w:hAnsi="Arial"/>
                <w:sz w:val="18"/>
                <w:szCs w:val="18"/>
                <w:color w:val="auto"/>
              </w:rPr>
              <w:t>2027</w:t>
            </w: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2028</w:t>
            </w: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160" w:type="dxa"/>
            <w:vAlign w:val="bottom"/>
          </w:tcPr>
          <w:p>
            <w:pPr>
              <w:ind w:left="100"/>
              <w:spacing w:after="0" w:line="202" w:lineRule="exact"/>
              <w:rPr>
                <w:sz w:val="20"/>
                <w:szCs w:val="20"/>
                <w:color w:val="auto"/>
              </w:rPr>
            </w:pPr>
            <w:r>
              <w:rPr>
                <w:rFonts w:ascii="Arial" w:cs="Arial" w:eastAsia="Arial" w:hAnsi="Arial"/>
                <w:sz w:val="18"/>
                <w:szCs w:val="18"/>
                <w:color w:val="auto"/>
              </w:rPr>
              <w:t>2029</w:t>
            </w: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17,883</w:t>
            </w:r>
          </w:p>
        </w:tc>
      </w:tr>
      <w:tr>
        <w:trPr>
          <w:trHeight w:val="203"/>
        </w:trPr>
        <w:tc>
          <w:tcPr>
            <w:tcW w:w="6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2030</w:t>
            </w: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6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83,457</w:t>
            </w:r>
          </w:p>
        </w:tc>
      </w:tr>
      <w:tr>
        <w:trPr>
          <w:trHeight w:val="20"/>
        </w:trPr>
        <w:tc>
          <w:tcPr>
            <w:tcW w:w="6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gross carrying amount and net book value of the intangible asset was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4380" w:type="dxa"/>
            <w:vAlign w:val="bottom"/>
          </w:tcPr>
          <w:p>
            <w:pPr>
              <w:spacing w:after="0"/>
              <w:rPr>
                <w:sz w:val="12"/>
                <w:szCs w:val="12"/>
                <w:color w:val="auto"/>
              </w:rPr>
            </w:pPr>
          </w:p>
        </w:tc>
        <w:tc>
          <w:tcPr>
            <w:tcW w:w="24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March 31,</w:t>
            </w:r>
          </w:p>
        </w:tc>
        <w:tc>
          <w:tcPr>
            <w:tcW w:w="1120" w:type="dxa"/>
            <w:vAlign w:val="bottom"/>
            <w:tcBorders>
              <w:top w:val="single" w:sz="8" w:color="auto"/>
            </w:tcBorders>
            <w:gridSpan w:val="3"/>
          </w:tcPr>
          <w:p>
            <w:pPr>
              <w:jc w:val="right"/>
              <w:spacing w:after="0" w:line="147"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2026</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r>
      <w:tr>
        <w:trPr>
          <w:trHeight w:val="196"/>
        </w:trPr>
        <w:tc>
          <w:tcPr>
            <w:tcW w:w="4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24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0" w:type="dxa"/>
            <w:vAlign w:val="bottom"/>
          </w:tcPr>
          <w:p>
            <w:pPr>
              <w:spacing w:after="0"/>
              <w:rPr>
                <w:sz w:val="17"/>
                <w:szCs w:val="17"/>
                <w:color w:val="auto"/>
              </w:rPr>
            </w:pPr>
          </w:p>
        </w:tc>
      </w:tr>
      <w:tr>
        <w:trPr>
          <w:trHeight w:val="203"/>
        </w:trPr>
        <w:tc>
          <w:tcPr>
            <w:tcW w:w="4380" w:type="dxa"/>
            <w:vAlign w:val="bottom"/>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(131,543)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(125,582)</w:t>
            </w:r>
          </w:p>
        </w:tc>
        <w:tc>
          <w:tcPr>
            <w:tcW w:w="20" w:type="dxa"/>
            <w:vAlign w:val="bottom"/>
          </w:tcPr>
          <w:p>
            <w:pPr>
              <w:spacing w:after="0"/>
              <w:rPr>
                <w:sz w:val="17"/>
                <w:szCs w:val="17"/>
                <w:color w:val="auto"/>
              </w:rPr>
            </w:pPr>
          </w:p>
        </w:tc>
      </w:tr>
      <w:tr>
        <w:trPr>
          <w:trHeight w:val="196"/>
        </w:trPr>
        <w:tc>
          <w:tcPr>
            <w:tcW w:w="43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24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83,457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89,418</w:t>
            </w:r>
          </w:p>
        </w:tc>
        <w:tc>
          <w:tcPr>
            <w:tcW w:w="2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right="3199" w:hanging="650"/>
        <w:spacing w:after="0" w:line="485" w:lineRule="auto"/>
        <w:tabs>
          <w:tab w:leader="none" w:pos="2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 AND ASSET PURCHASE AGREEMENTS Bioprojet Agreements</w:t>
      </w:r>
    </w:p>
    <w:p>
      <w:pPr>
        <w:jc w:val="both"/>
        <w:ind w:left="60" w:right="59" w:firstLine="648"/>
        <w:spacing w:after="0" w:line="237" w:lineRule="auto"/>
        <w:rPr>
          <w:sz w:val="20"/>
          <w:szCs w:val="20"/>
          <w:color w:val="auto"/>
        </w:rPr>
      </w:pPr>
      <w:r>
        <w:rPr>
          <w:rFonts w:ascii="Arial" w:cs="Arial" w:eastAsia="Arial" w:hAnsi="Arial"/>
          <w:sz w:val="18"/>
          <w:szCs w:val="18"/>
          <w:color w:val="auto"/>
        </w:rPr>
        <w:t>In July 2017, Harmony entered into the 2017 LCA with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$ 2,000 payment was paid in October 2020 and a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w:t>
      </w:r>
    </w:p>
    <w:p>
      <w:pPr>
        <w:spacing w:after="0" w:line="188"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Harmony entered into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w:t>
      </w:r>
    </w:p>
    <w:p>
      <w:pPr>
        <w:spacing w:after="0" w:line="18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April 2024, the Company announced that it entered into a sublicense agreement with Bioprojet for an orexin-2 receptor agonist (the “Licensed Compound”) to be evaluated for the treatment of narcolepsy and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an Investigational Medicinal Product Dossier (“IMPD”) Application currently anticipated in the second half of 2025. Under the Sublicense, the Company paid Bioprojet an upfront license fee of $25,500, which the Company recognized as an IPR&amp;D charge recorded in research and development within the consolidated statements of operations and comprehensive income for the year ended December 31, 2024. In November 2025, the Company achieved a clinical milestone for BP-205 that triggered a $4,250 payment to Bioprojet under the Sublicense, which was paid in December 2025. The Company will also be obligated to pay up to $123,250 upon achievement of development and regulatory milestones and up to $240,000 upon achievement of sales-based milestones, as well as royalty rates in the mid-teens on any sales of product using the Licensed Compound in the Licensed Territories.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In March 2023, the Company achieved a preclinical milestone, which triggered a $750 payment under the provisions of the APA. In September 2024, the Company achieved a milestone for preclinical proof-of-concept, which triggered a $1,000 payment under the provisions of the APA. There are additional payments due under the APA upon the achievement of certain milestones including $19,000 for development milestones, $44,000 for regulatory milestones and $110,000 for sales milestones.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CiRC Agreement</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 xml:space="preserve">In June 2025, the Company entered into a research collaboration, option and license agreement (the “CiRC Agreement”) with a related party, CiRC Biosciences, Inc. (“CiRC”). Under this agreement, the Company and CiRC will collaborate on the research and development of two discovery-stage candidates (together the “Candidates”) using cell replacement therapy for treatment of refractory epilepsies and treatment-resistant narcolepsy. In connection with the CiRC Agreement, the Company paid CiRC an upfront fee of $15,000, which was recognized as an IPR&amp;D charge recorded in research and development within the audited consolidated statements of operations and comprehensive income for the year ended December 31, 2025. The Company will also be obligated to pay $2,000 to CiRC upon the achievement of certain research milestones for each of the Candidates. In addition, the Company has an option to obtain an exclusive license for each of the Candidates that would grant the Company global rights to develop, manufacture and commercialize each Candidate. Upon exercise of each option, the Company would be obligated to pay an option exercise fee of $8,000, or $16,000 in the aggregate if the options related to both Candidates were to be exercised, and the Company would be obligated upon achievement to pay future development, regulatory and sales-based milestones, as well as royalties on sales of any product derived from the Candidates. Refer to Note 18,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for further discussion of related party considerations for the CiRC Agreement.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Novitium Agreement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January 2026, the Company entered into a license agreement ( the “Novitium License Agreement”) with Novitium Pharma LLC (“Novitium”), which includes an exclusive license to additional intellectual property that will expand the intellectual property estate of the Company, as well as a co-exclusive license, under which the Company and Novitium intend to develop a novel formulation of pitolisant in broad CNS indications outside of sleep/wake. Pursuant to the Novitium License Agreement, the Company paid an upfront license fee of $15,000, which was recognized as an IPR&amp;D charge recorded in research and development within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unaudited condensed consolidated statements of operations and comprehensive income for the three months ended March 31, 2026, and will also be obligated to pay $10,000 upon the achievement of certain development milestones, as well as low single-digit royalties on net sales of current and future pitolisant based products.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MSN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February 25, 2026 (the “MSN Effective Date”), the Company entered into a license agreement (the “MSN License Agreement”) with MSN Laboratories Private Limited (“MSN”), which includes an exclusive, royalty-bearing license, with the right to grant sublicenses, to additional intellectual property, including pending licensed patents, under which the Company intends to develop a new formulation of pitolisant in broad CNS indications outside of sleep/wake. Pursuant to the MSN License Agreement, the Company paid an upfront license fee of $17,000, which was recognized as an IPR&amp;D charge recorded in research and development within the unaudited condensed consolidated statements of operations and comprehensive income for the three months ended March 31, 2026. In addition, the Company will be obligated to pay $25,000 upon approval of the pending licensed patents by the United States Patent and Trademark Office (“USPTO”), which amount the Company must deposit into an escrow account within nine months from the MSN Effective Date, and which will be returned to the Company if approval by the USPTO does not occur by November 25, 2027. In addition, the Company will be obligated to pay low single-digit royalties on net sales of future products that include a new formulation of pitolisant.</w:t>
      </w:r>
    </w:p>
    <w:p>
      <w:pPr>
        <w:spacing w:after="0" w:line="167"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incurred $41,906 and $29,557 for the three months ended March 31, 2026, and 2025, respectively, for sales-based, trademark and tiered royalties recognized as cost of product sold. As of March 31, 2026, and December 31, 2025, the Company had accrued $41,906 and $65,819, respectively, for sales-based, trademark and tiered royalties.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consisted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As of</w:t>
            </w:r>
          </w:p>
        </w:tc>
        <w:tc>
          <w:tcPr>
            <w:tcW w:w="820" w:type="dxa"/>
            <w:vAlign w:val="bottom"/>
          </w:tcPr>
          <w:p>
            <w:pPr>
              <w:spacing w:after="0"/>
              <w:rPr>
                <w:sz w:val="14"/>
                <w:szCs w:val="14"/>
                <w:color w:val="auto"/>
              </w:rPr>
            </w:pPr>
          </w:p>
        </w:tc>
      </w:tr>
      <w:tr>
        <w:trPr>
          <w:trHeight w:val="146"/>
        </w:trPr>
        <w:tc>
          <w:tcPr>
            <w:tcW w:w="4740" w:type="dxa"/>
            <w:vAlign w:val="bottom"/>
          </w:tcPr>
          <w:p>
            <w:pPr>
              <w:spacing w:after="0"/>
              <w:rPr>
                <w:sz w:val="12"/>
                <w:szCs w:val="12"/>
                <w:color w:val="auto"/>
              </w:rPr>
            </w:pPr>
          </w:p>
        </w:tc>
        <w:tc>
          <w:tcPr>
            <w:tcW w:w="2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15"/>
              <w:spacing w:after="0" w:line="147" w:lineRule="exact"/>
              <w:rPr>
                <w:sz w:val="20"/>
                <w:szCs w:val="20"/>
                <w:color w:val="auto"/>
              </w:rPr>
            </w:pPr>
            <w:r>
              <w:rPr>
                <w:rFonts w:ascii="Arial" w:cs="Arial" w:eastAsia="Arial" w:hAnsi="Arial"/>
                <w:sz w:val="14"/>
                <w:szCs w:val="14"/>
                <w:b w:val="1"/>
                <w:bCs w:val="1"/>
                <w:color w:val="auto"/>
              </w:rPr>
              <w:t>March 31,</w:t>
            </w:r>
          </w:p>
        </w:tc>
        <w:tc>
          <w:tcPr>
            <w:tcW w:w="1200" w:type="dxa"/>
            <w:vAlign w:val="bottom"/>
            <w:tcBorders>
              <w:top w:val="single" w:sz="8" w:color="auto"/>
            </w:tcBorders>
            <w:gridSpan w:val="4"/>
          </w:tcPr>
          <w:p>
            <w:pPr>
              <w:jc w:val="right"/>
              <w:spacing w:after="0" w:line="147"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December 31,</w:t>
            </w:r>
          </w:p>
        </w:tc>
      </w:tr>
      <w:tr>
        <w:trPr>
          <w:trHeight w:val="171"/>
        </w:trPr>
        <w:tc>
          <w:tcPr>
            <w:tcW w:w="474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2025</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w:t>
            </w:r>
          </w:p>
        </w:tc>
        <w:tc>
          <w:tcPr>
            <w:tcW w:w="19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41,906</w:t>
            </w:r>
          </w:p>
        </w:tc>
        <w:tc>
          <w:tcPr>
            <w:tcW w:w="2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65,819</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77,448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76,304</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3,153</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10,246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12,193</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Legal and professional fees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11,797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29,999</w:t>
            </w:r>
          </w:p>
        </w:tc>
      </w:tr>
      <w:tr>
        <w:trPr>
          <w:trHeight w:val="202"/>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9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1,420</w:t>
            </w:r>
          </w:p>
        </w:tc>
      </w:tr>
      <w:tr>
        <w:trPr>
          <w:trHeight w:val="196"/>
        </w:trPr>
        <w:tc>
          <w:tcPr>
            <w:tcW w:w="4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150,107</w:t>
            </w:r>
          </w:p>
        </w:tc>
        <w:tc>
          <w:tcPr>
            <w:tcW w:w="200" w:type="dxa"/>
            <w:vAlign w:val="bottom"/>
            <w:gridSpan w:val="2"/>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191,039</w:t>
            </w:r>
          </w:p>
        </w:tc>
      </w:tr>
      <w:tr>
        <w:trPr>
          <w:trHeight w:val="20"/>
        </w:trPr>
        <w:tc>
          <w:tcPr>
            <w:tcW w:w="4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July 2023, the Company entered into a Credit Agreement (the “TLA Credit Agreement”) with JPMorgan Chase Bank, N.A., as “Administrative Agent”, and certain lenders, which was subsequently amended in September 2023. The TLA Credit Agreement, as amended, provides for a five-year senior secured term loan (the “TLA Term Loan”) in an aggregate principal amount of $200,000.</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repayment schedule for the TLA Term Loan consists of quarterly $3,750 principal payments, which commenced on December 31, 2023, increasing to quarterly $5,000 principal payments beginning on December 31, 2025, with a $115,000 payment due on the maturity date of July 26, 2028. The TLA Term Loan bears interest at a per annum rate equal to, at the Company’s option, (i) a base rate plus a specified margin ranging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net cash received related to the TLA Term Loan as a result of the transactions, less debt issuance costs of $ 2,997, was $197,003. The debt issuance costs related to the TLA Term Loan will be amortized as additional interest expense over the loan term of the TLA Credit Agreement. The fair value of the TLA Term Loan as of March 31, 2026, was $156,408.</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consisted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2025</w:t>
            </w: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 amount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165,000</w:t>
            </w: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(1,337)</w:t>
            </w: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debt, net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158,814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163,663</w:t>
            </w: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196"/>
        </w:trPr>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138,814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143,663</w:t>
            </w:r>
          </w:p>
        </w:tc>
      </w:tr>
      <w:tr>
        <w:trPr>
          <w:trHeight w:val="20"/>
        </w:trPr>
        <w:tc>
          <w:tcPr>
            <w:tcW w:w="5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Future minimum payments relating to long-term debt, net as of March 31, 2026, for the periods indicated below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 (excluding the three months ended March 31, 2026)</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7440" w:type="dxa"/>
            <w:vAlign w:val="bottom"/>
          </w:tcPr>
          <w:p>
            <w:pPr>
              <w:ind w:left="120"/>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2028</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7440" w:type="dxa"/>
            <w:vAlign w:val="bottom"/>
          </w:tcPr>
          <w:p>
            <w:pPr>
              <w:ind w:left="120"/>
              <w:spacing w:after="0"/>
              <w:rPr>
                <w:sz w:val="20"/>
                <w:szCs w:val="20"/>
                <w:color w:val="auto"/>
              </w:rPr>
            </w:pPr>
            <w:r>
              <w:rPr>
                <w:rFonts w:ascii="Arial" w:cs="Arial" w:eastAsia="Arial" w:hAnsi="Arial"/>
                <w:sz w:val="18"/>
                <w:szCs w:val="18"/>
                <w:color w:val="auto"/>
              </w:rPr>
              <w:t>2029</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2030</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4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160,000</w:t>
            </w: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Interest expense related to the Company’s long-term debt, net, is included in interest expense within the unaudited condensed consolidated statements of operations and comprehensive income and consisted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r>
      <w:tr>
        <w:trPr>
          <w:trHeight w:val="155"/>
        </w:trPr>
        <w:tc>
          <w:tcPr>
            <w:tcW w:w="7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2026</w:t>
            </w:r>
          </w:p>
        </w:tc>
        <w:tc>
          <w:tcPr>
            <w:tcW w:w="380" w:type="dxa"/>
            <w:vAlign w:val="bottom"/>
            <w:gridSpan w:val="2"/>
          </w:tcPr>
          <w:p>
            <w:pPr>
              <w:jc w:val="right"/>
              <w:ind w:right="9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35"/>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7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on principal balance</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3,083</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3,670</w:t>
            </w:r>
          </w:p>
        </w:tc>
      </w:tr>
      <w:tr>
        <w:trPr>
          <w:trHeight w:val="202"/>
        </w:trPr>
        <w:tc>
          <w:tcPr>
            <w:tcW w:w="70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Amortization of deferred financing costs</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w:t>
            </w:r>
          </w:p>
        </w:tc>
      </w:tr>
      <w:tr>
        <w:trPr>
          <w:trHeight w:val="196"/>
        </w:trPr>
        <w:tc>
          <w:tcPr>
            <w:tcW w:w="70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term loan interest expense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3,234</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3,836</w:t>
            </w: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As of March 31, 2026, the Company had an event of default, which dated back to July 2025, related to a nonfinancial covenant due to a delay in a subsidiary joining the TLA Credit Agreement as a guarantor. On May 4, 2026, the Company entered into a Waiver and Consent Agreement with the Administrative Agent and certain lenders, whereby the event of default was waived. The Company has made all required principal and interest payments on time in connection with the TLA Credit Agreement and is in compliance with all covenants as of May 7, 2026, the date of issuance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June 2018, the Company entered into an operating lease for three office suites of approximately fifteen thousand square feet, seven thousand square feet and thirteen thousand square feet in Plymouth Meeting, PA, which was set to expire in November 2025. In November 2025, the Company entered into an operating lease amendment (the “PM Lease Amendment”) extending the lease through March 31, 2031. The terms of the PM Lease Amendment provide for fixed rental payments on a monthly basis and on a graduated scale. Additionally, the terms of the PM Lease Amendment provide the Company with an option to extend the lease for two additional five-year periods and an option to early terminate the lease effective on the forty-first month, which options were not considered in the determination of the operating lease right-of-use asset (“ROU asset”) or operating lease liability as neither option is reasonably certain to be exercised by the Company.</w:t>
      </w:r>
    </w:p>
    <w:p>
      <w:pPr>
        <w:spacing w:after="0" w:line="183"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also leases a fleet of automobiles that are primarily used by its sales force and are classified as operating leases.</w:t>
      </w:r>
    </w:p>
    <w:p>
      <w:pPr>
        <w:spacing w:after="0" w:line="154"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approximately 5 years, some of which may include the option to extend or terminate the leases.</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recorded operating lease costs of $499 and $467 for the three months ended March 31, 2026, and 2025, respectively.</w:t>
      </w:r>
    </w:p>
    <w:p>
      <w:pPr>
        <w:spacing w:after="0" w:line="15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March 31, 2026, the weighted-average remaining lease term for operating leases was 4.4 years and the weighted-average discount rate for operating leases was 7.60%.</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tcPr>
          <w:p>
            <w:pPr>
              <w:ind w:left="1520"/>
              <w:spacing w:after="0"/>
              <w:rPr>
                <w:sz w:val="20"/>
                <w:szCs w:val="20"/>
                <w:color w:val="auto"/>
              </w:rPr>
            </w:pPr>
            <w:r>
              <w:rPr>
                <w:rFonts w:ascii="Arial" w:cs="Arial" w:eastAsia="Arial" w:hAnsi="Arial"/>
                <w:sz w:val="14"/>
                <w:szCs w:val="14"/>
                <w:b w:val="1"/>
                <w:bCs w:val="1"/>
                <w:color w:val="auto"/>
              </w:rPr>
              <w:t>Leases</w:t>
            </w:r>
          </w:p>
        </w:tc>
        <w:tc>
          <w:tcPr>
            <w:tcW w:w="2880" w:type="dxa"/>
            <w:vAlign w:val="bottom"/>
          </w:tcPr>
          <w:p>
            <w:pPr>
              <w:ind w:left="106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33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880" w:type="dxa"/>
            <w:vAlign w:val="bottom"/>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5,388</w:t>
            </w:r>
          </w:p>
        </w:tc>
        <w:tc>
          <w:tcPr>
            <w:tcW w:w="80" w:type="dxa"/>
            <w:vAlign w:val="bottom"/>
          </w:tcPr>
          <w:p>
            <w:pPr>
              <w:spacing w:after="0"/>
              <w:rPr>
                <w:sz w:val="17"/>
                <w:szCs w:val="17"/>
                <w:color w:val="auto"/>
              </w:rPr>
            </w:pPr>
          </w:p>
        </w:tc>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5,344</w:t>
            </w:r>
          </w:p>
        </w:tc>
      </w:tr>
      <w:tr>
        <w:trPr>
          <w:trHeight w:val="203"/>
        </w:trPr>
        <w:tc>
          <w:tcPr>
            <w:tcW w:w="3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88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1,267</w:t>
            </w:r>
          </w:p>
        </w:tc>
        <w:tc>
          <w:tcPr>
            <w:tcW w:w="80" w:type="dxa"/>
            <w:vAlign w:val="bottom"/>
          </w:tcPr>
          <w:p>
            <w:pPr>
              <w:spacing w:after="0"/>
              <w:rPr>
                <w:sz w:val="17"/>
                <w:szCs w:val="17"/>
                <w:color w:val="auto"/>
              </w:rPr>
            </w:pPr>
          </w:p>
        </w:tc>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1,073</w:t>
            </w:r>
          </w:p>
        </w:tc>
      </w:tr>
      <w:tr>
        <w:trPr>
          <w:trHeight w:val="203"/>
        </w:trPr>
        <w:tc>
          <w:tcPr>
            <w:tcW w:w="3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4,528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4,512</w:t>
            </w:r>
          </w:p>
        </w:tc>
      </w:tr>
      <w:tr>
        <w:trPr>
          <w:trHeight w:val="196"/>
        </w:trPr>
        <w:tc>
          <w:tcPr>
            <w:tcW w:w="332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8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5,795</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5,585</w:t>
            </w:r>
          </w:p>
        </w:tc>
      </w:tr>
      <w:tr>
        <w:trPr>
          <w:trHeight w:val="20"/>
        </w:trPr>
        <w:tc>
          <w:tcPr>
            <w:tcW w:w="3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2025</w:t>
            </w:r>
          </w:p>
        </w:tc>
      </w:tr>
      <w:tr>
        <w:trPr>
          <w:trHeight w:val="196"/>
        </w:trPr>
        <w:tc>
          <w:tcPr>
            <w:tcW w:w="6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430</w:t>
            </w:r>
          </w:p>
        </w:tc>
        <w:tc>
          <w:tcPr>
            <w:tcW w:w="200" w:type="dxa"/>
            <w:vAlign w:val="bottom"/>
            <w:tcBorders>
              <w:top w:val="single" w:sz="8" w:color="CCEEFF"/>
            </w:tcBorders>
            <w:shd w:val="clear" w:color="auto" w:fill="CCEEFF"/>
          </w:tcPr>
          <w:p>
            <w:pPr>
              <w:spacing w:after="0"/>
              <w:rPr>
                <w:sz w:val="17"/>
                <w:szCs w:val="17"/>
                <w:color w:val="auto"/>
              </w:rPr>
            </w:pPr>
          </w:p>
        </w:tc>
      </w:tr>
      <w:tr>
        <w:trPr>
          <w:trHeight w:val="239"/>
        </w:trPr>
        <w:tc>
          <w:tcPr>
            <w:tcW w:w="600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March 31, 2026,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r>
      <w:tr>
        <w:trPr>
          <w:trHeight w:val="203"/>
        </w:trPr>
        <w:tc>
          <w:tcPr>
            <w:tcW w:w="6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 (excluding the three months ended March 31, 2026)</w:t>
            </w:r>
          </w:p>
        </w:tc>
        <w:tc>
          <w:tcPr>
            <w:tcW w:w="192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1,236</w:t>
            </w:r>
          </w:p>
        </w:tc>
      </w:tr>
      <w:tr>
        <w:trPr>
          <w:trHeight w:val="203"/>
        </w:trPr>
        <w:tc>
          <w:tcPr>
            <w:tcW w:w="6160" w:type="dxa"/>
            <w:vAlign w:val="bottom"/>
          </w:tcPr>
          <w:p>
            <w:pPr>
              <w:ind w:left="120"/>
              <w:spacing w:after="0" w:line="202" w:lineRule="exact"/>
              <w:rPr>
                <w:sz w:val="20"/>
                <w:szCs w:val="20"/>
                <w:color w:val="auto"/>
              </w:rPr>
            </w:pPr>
            <w:r>
              <w:rPr>
                <w:rFonts w:ascii="Arial" w:cs="Arial" w:eastAsia="Arial" w:hAnsi="Arial"/>
                <w:sz w:val="18"/>
                <w:szCs w:val="18"/>
                <w:color w:val="auto"/>
              </w:rPr>
              <w:t>2027</w:t>
            </w: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1,476</w:t>
            </w:r>
          </w:p>
        </w:tc>
      </w:tr>
      <w:tr>
        <w:trPr>
          <w:trHeight w:val="203"/>
        </w:trPr>
        <w:tc>
          <w:tcPr>
            <w:tcW w:w="6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2028</w:t>
            </w: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1,406</w:t>
            </w:r>
          </w:p>
        </w:tc>
      </w:tr>
      <w:tr>
        <w:trPr>
          <w:trHeight w:val="203"/>
        </w:trPr>
        <w:tc>
          <w:tcPr>
            <w:tcW w:w="6160" w:type="dxa"/>
            <w:vAlign w:val="bottom"/>
          </w:tcPr>
          <w:p>
            <w:pPr>
              <w:ind w:left="120"/>
              <w:spacing w:after="0" w:line="202" w:lineRule="exact"/>
              <w:rPr>
                <w:sz w:val="20"/>
                <w:szCs w:val="20"/>
                <w:color w:val="auto"/>
              </w:rPr>
            </w:pPr>
            <w:r>
              <w:rPr>
                <w:rFonts w:ascii="Arial" w:cs="Arial" w:eastAsia="Arial" w:hAnsi="Arial"/>
                <w:sz w:val="18"/>
                <w:szCs w:val="18"/>
                <w:color w:val="auto"/>
              </w:rPr>
              <w:t>2029</w:t>
            </w: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r>
      <w:tr>
        <w:trPr>
          <w:trHeight w:val="203"/>
        </w:trPr>
        <w:tc>
          <w:tcPr>
            <w:tcW w:w="6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2030</w:t>
            </w: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1,215</w:t>
            </w:r>
          </w:p>
        </w:tc>
      </w:tr>
      <w:tr>
        <w:trPr>
          <w:trHeight w:val="202"/>
        </w:trPr>
        <w:tc>
          <w:tcPr>
            <w:tcW w:w="61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1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w:t>
            </w:r>
          </w:p>
        </w:tc>
      </w:tr>
      <w:tr>
        <w:trPr>
          <w:trHeight w:val="196"/>
        </w:trPr>
        <w:tc>
          <w:tcPr>
            <w:tcW w:w="6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6,844</w:t>
            </w:r>
          </w:p>
        </w:tc>
      </w:tr>
      <w:tr>
        <w:trPr>
          <w:trHeight w:val="21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5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r>
      <w:tr>
        <w:trPr>
          <w:trHeight w:val="196"/>
        </w:trPr>
        <w:tc>
          <w:tcPr>
            <w:tcW w:w="61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15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5,795</w:t>
            </w:r>
          </w:p>
        </w:tc>
      </w:tr>
      <w:tr>
        <w:trPr>
          <w:trHeight w:val="20"/>
        </w:trPr>
        <w:tc>
          <w:tcPr>
            <w:tcW w:w="6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Legal Proceedings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color w:val="212529"/>
        </w:rPr>
        <w:t>time to time, the Company is subject to claims and suits arising in the ordinary course of</w:t>
      </w:r>
      <w:r>
        <w:rPr>
          <w:rFonts w:ascii="Arial" w:cs="Arial" w:eastAsia="Arial" w:hAnsi="Arial"/>
          <w:sz w:val="18"/>
          <w:szCs w:val="18"/>
          <w:color w:val="auto"/>
        </w:rPr>
        <w:t xml:space="preserve"> </w:t>
      </w:r>
      <w:r>
        <w:rPr>
          <w:rFonts w:ascii="Arial" w:cs="Arial" w:eastAsia="Arial" w:hAnsi="Arial"/>
          <w:sz w:val="18"/>
          <w:szCs w:val="18"/>
          <w:color w:val="212529"/>
        </w:rPr>
        <w:t>business. The Company accrues such liabilities when they are known, if they are deemed probable and can be reasonably estimated. Accruals may be adjusted from time to time, as appropriate, in light of new information. The amount of loss incurred in relation to matters for which an accrual has been established may be higher or lower than the amounts accrued. Any expenses, fines, fees, penalties, judgments or settlements that might be incurred by the Company in connection with proceedings could have a material adverse effect on the Company’s results of operations and financial condition. As of March 31, 2026, there were no material claims or lawsuits outstanding other than the Abbreviated New Drug Application (“ANDA”) litigation discussed below</w:t>
      </w:r>
      <w:r>
        <w:rPr>
          <w:rFonts w:ascii="Arial" w:cs="Arial" w:eastAsia="Arial" w:hAnsi="Arial"/>
          <w:sz w:val="18"/>
          <w:szCs w:val="18"/>
          <w:color w:val="000000"/>
        </w:rPr>
        <w:t>.</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ANDA Litigation</w:t>
      </w:r>
    </w:p>
    <w:p>
      <w:pPr>
        <w:spacing w:after="0" w:line="198"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212529"/>
        </w:rPr>
        <w:t xml:space="preserve">In September 2023, the Company and its licensor, Bioprojet, received notice from Lupin Limited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“Lupin Notice Letter”) that Lupin has submitted ANDA No. 218846 (the “Lupin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U.S. Patent Nos. 8,486,947 (“’947 patent”) and 8,207,197 (“’197 patent”). The ’947 patent and the ‘197 patent are listed with respect to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in the FDA’s Orange Book and will expire in September 2029 and March 2030, respectively. The Lupin Notice Letter asserts that their generic product will not infringe the ’947 patent and the ‘197 patent and/or that the ’947 patent and the ‘197 patent are invalid or unenforceable. In November 2023, we, Bioprojet and Bioprojet’s wholly owned subsidiary, Bioprojet Pharma SAS (“Bioprojet Pharma”), filed a complaint for patent infringement of the ’947 patent and the ‘197 patent against Lupin and certain of their affiliates and agents in the United States District Court for the District of Delaware in response to the filing of their respective ANDAs with the FDA. In December 2024, the Company and Bioprojet received further notice from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(the “Second Lupin Notice Letter”) that Lupin has submitted the Lupin ANDA to the FDA and is seeking regulatory approval to market a generic version of WAKIX</w:t>
      </w:r>
      <w:r>
        <w:rPr>
          <w:rFonts w:ascii="Arial" w:cs="Arial" w:eastAsia="Arial" w:hAnsi="Arial"/>
          <w:sz w:val="20"/>
          <w:szCs w:val="20"/>
          <w:color w:val="212529"/>
          <w:vertAlign w:val="superscript"/>
        </w:rPr>
        <w:t>®</w:t>
      </w:r>
      <w:r>
        <w:rPr>
          <w:rFonts w:ascii="Arial" w:cs="Arial" w:eastAsia="Arial" w:hAnsi="Arial"/>
          <w:sz w:val="18"/>
          <w:szCs w:val="18"/>
          <w:color w:val="212529"/>
        </w:rPr>
        <w:t xml:space="preserve"> before the expiration of the ‘947 patent and the ‘197 patent. The Second Lupin Notice Letter asserts that its generic product will not infringe the ’947 patent and the ‘197 patent and/or that the ’947 patent and the ‘197 patent are invalid or unenforceable. In January 2025, we, Bioprojet and Bioprojet Pharma filed a complaint in the United States District Court for the District of Delaware for patent infringement of the ’947 patent and the ‘197 patent against Lupin. I</w:t>
      </w:r>
      <w:r>
        <w:rPr>
          <w:rFonts w:ascii="Arial" w:cs="Arial" w:eastAsia="Arial" w:hAnsi="Arial"/>
          <w:sz w:val="18"/>
          <w:szCs w:val="18"/>
          <w:color w:val="000000"/>
        </w:rPr>
        <w:t>n June 2025,</w:t>
      </w:r>
      <w:r>
        <w:rPr>
          <w:rFonts w:ascii="Arial" w:cs="Arial" w:eastAsia="Arial" w:hAnsi="Arial"/>
          <w:sz w:val="18"/>
          <w:szCs w:val="18"/>
          <w:color w:val="212529"/>
        </w:rPr>
        <w:t xml:space="preserve"> </w:t>
      </w:r>
      <w:r>
        <w:rPr>
          <w:rFonts w:ascii="Arial" w:cs="Arial" w:eastAsia="Arial" w:hAnsi="Arial"/>
          <w:sz w:val="18"/>
          <w:szCs w:val="18"/>
          <w:color w:val="000000"/>
        </w:rPr>
        <w:t>the Company reached an agreement with Lupin to resolve the dispute over Lupin’s ANDA to market a generic version of WAKIX. Under the terms of the settlement agreement, the litigation between the parties in the United States District Court for the District of Delaware will be dismissed, and Lupin will have a license to sell its generic product beginning July 2030 if WAKIX receives pediatric exclusivity, or earlier under certain circumstances.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212529"/>
        </w:rPr>
        <w:t xml:space="preserve">In September 2023, the Company and Bioprojet received notice from Novugen Pharma Sdn. Bhd. (“Novugen”)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“Novugen Notice Letter”) that Novugen had submitted ANDA No. 218834 (the “Novugen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’947 patent and ’197 patent. The Novugen Notice Letter asserts that their generic product will not infringe the ’947 patent and the ‘197 patent and/or that the ’947 patent and the ‘197 patent are invalid or unenforceable. In November 2023, we, Bioprojet and Bioprojet’s wholly owned subsidiary, Bioprojet Pharma SAS (“Bioprojet Pharma”), filed a complaint for patent infringement of the ’947 patent and the ‘197 patent against Novugen and certain of their affiliates and agents in the United States District Court for the District of Delaware in response to the filing of their respective ANDAs with the FDA. In October 2024, the Company reached an agreement with Novugen Pharma to resolve the dispute over Novugen’s ANDA for a generic pitolisant hydrochloride product. Under the terms of the settlement agreement, the litigation between the parties in the United States District Court for the District of Delaware was ended on November 4, 2024, and Novugen will have a license to sell its generic product beginning July 2030 if WAKIX receives pediatric exclusivity, or earlier under certain circumstances.</w:t>
      </w:r>
    </w:p>
    <w:p>
      <w:pPr>
        <w:spacing w:after="0" w:line="23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212529"/>
        </w:rPr>
        <w:t xml:space="preserve">In October 2023, the Company and Bioprojet received notice from Novitium,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“Novitium Notice Letter”), that Novitium has submitted ANDA No. 218495 (the “Novitium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U.S. Patent No. 8,354,430 (the “’430 patent”), which is also listed with respect to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in the FDA’s Orange Book and will expire in February 2026. The Novitium Notice Letter asserts that its generic product will not infringe the ‘430 patent, ’947 patent and the ‘197 patent and/or that the ‘430 patent, ’947 patent and the ‘197 patent are invalid or unenforceable. In November 2023, the Company, Bioprojet and Bioprojet Pharma filed a complaint for patent infringement of the ’947 patent and the ‘197 patent against Novitium and certain of their affiliates and agents and for patent infringement of the ’430 patent against Novitium and certain of their affiliates and agents in the United States District Court for the District of Delaware in response to their filing of their respective ANDAs with the FDA. </w:t>
      </w:r>
      <w:r>
        <w:rPr>
          <w:rFonts w:ascii="Arial" w:cs="Arial" w:eastAsia="Arial" w:hAnsi="Arial"/>
          <w:sz w:val="18"/>
          <w:szCs w:val="18"/>
          <w:color w:val="000000"/>
        </w:rPr>
        <w:t>In January 2026, the Company reached an</w:t>
      </w:r>
      <w:r>
        <w:rPr>
          <w:rFonts w:ascii="Arial" w:cs="Arial" w:eastAsia="Arial" w:hAnsi="Arial"/>
          <w:sz w:val="18"/>
          <w:szCs w:val="18"/>
          <w:color w:val="212529"/>
        </w:rPr>
        <w:t xml:space="preserve"> </w:t>
      </w:r>
      <w:r>
        <w:rPr>
          <w:rFonts w:ascii="Arial" w:cs="Arial" w:eastAsia="Arial" w:hAnsi="Arial"/>
          <w:sz w:val="18"/>
          <w:szCs w:val="18"/>
          <w:color w:val="000000"/>
        </w:rPr>
        <w:t>agreement with Novitium to resolve the dispute over Novitium’s ANDA to market a generic version of WAKIX. Under the terms of the settlement agreement, the litigation between the parties in the United States District Court for the District of Delaware will be dismissed, and Novitium will have a license to sell its generic product beginning July 2030 if WAKIX receives pediatric exclusivity, or earlier under certain circumstances.</w:t>
      </w:r>
    </w:p>
    <w:p>
      <w:pPr>
        <w:spacing w:after="0" w:line="17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212529"/>
        </w:rPr>
        <w:t xml:space="preserve">In October 2023, the Company and Bioprojet received notice from Zenara Pharma Pvt. Ltd. (“Zenara”),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“Zenara Notice Letter”), that Zenara has submitted ANDA No. 218796 (the “Zenara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’430 patent, ’947 patent and the ’197 patent. The Zenara Notice Letter asserts that its generic product will not infringe the ‘430 patent, ’947 patent and the ‘197 patent and/or that the ‘430 patent, ’947 patent and the ‘197 patent are invalid or unenforceable. In November 2023, the Company, Bioprojet and Bioprojet Pharma filed a complaint for patent infringement of the ’947 patent and the ‘197 patent against Zenara and certain of their affiliates and agents and for patent infringement of the ’430 patent against Zenara and certain of their affiliates and agents in the United States District Court for the District of Delaware in response to their filing of their respective ANDAs with the FDA. </w:t>
      </w:r>
      <w:r>
        <w:rPr>
          <w:rFonts w:ascii="Arial" w:cs="Arial" w:eastAsia="Arial" w:hAnsi="Arial"/>
          <w:sz w:val="18"/>
          <w:szCs w:val="18"/>
          <w:color w:val="000000"/>
        </w:rPr>
        <w:t>In January 2026, the</w:t>
      </w:r>
      <w:r>
        <w:rPr>
          <w:rFonts w:ascii="Arial" w:cs="Arial" w:eastAsia="Arial" w:hAnsi="Arial"/>
          <w:sz w:val="18"/>
          <w:szCs w:val="18"/>
          <w:color w:val="212529"/>
        </w:rPr>
        <w:t xml:space="preserve"> </w:t>
      </w:r>
      <w:r>
        <w:rPr>
          <w:rFonts w:ascii="Arial" w:cs="Arial" w:eastAsia="Arial" w:hAnsi="Arial"/>
          <w:sz w:val="18"/>
          <w:szCs w:val="18"/>
          <w:color w:val="000000"/>
        </w:rPr>
        <w:t>Company reached an agreement with Hikma (to whom Zenara transferred its ANDA) to resolve the dispute over Hikma’s ANDA to market a generic version of WAKIX. Under the terms of the settlement agreement, the litigation between the parties in the United States District Court for the District of Delaware will be dismissed, and Hikma will have a license to sell its generic product beginning March 2030 if WAKIX receives pediatric exclusivity, or earlier under certain circumstances.</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212529"/>
        </w:rPr>
        <w:t xml:space="preserve">In October 2023, the Company and Bioprojet received notice from AET Pharma US, Inc. (“AET”),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“AET Notice Letter”), that AET has submitted ANDA No. 218892 (the “AET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’947 patent and the ’197 patent. AET’s Notice Letter asserts that AET’s generic product will not infringe the ’947 patent and the ‘197 patent and/or that ’947 patent and the ‘197 patent are invalid or unenforceable. In November 2023, the Company, Bioprojet and Bioprojet Pharma filed a complaint for patent infringement of the ’947 patent and the ‘197 patent against AET and certain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212529"/>
        </w:rPr>
        <w:t xml:space="preserve">of their affiliates and agents in the United States District Court for the District of Delaware in response to their filing of their respective ANDAs with the FDA. In August 2024, the Company and Bioprojet received further notice from AET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(the “Second AET Notice Letter”) that AET has submitted the AET ANDA to the FDA and is seeking regulatory approval to market a generic version of WAKIX</w:t>
      </w:r>
      <w:r>
        <w:rPr>
          <w:rFonts w:ascii="Arial" w:cs="Arial" w:eastAsia="Arial" w:hAnsi="Arial"/>
          <w:sz w:val="20"/>
          <w:szCs w:val="20"/>
          <w:color w:val="212529"/>
          <w:vertAlign w:val="superscript"/>
        </w:rPr>
        <w:t>®</w:t>
      </w:r>
      <w:r>
        <w:rPr>
          <w:rFonts w:ascii="Arial" w:cs="Arial" w:eastAsia="Arial" w:hAnsi="Arial"/>
          <w:sz w:val="18"/>
          <w:szCs w:val="18"/>
          <w:color w:val="212529"/>
        </w:rPr>
        <w:t xml:space="preserve"> before the expiration of the ‘947 patent and the ‘197 patent. The Second AET Notice Letter asserts that its generic product will not infringe the ’947 patent and the ‘197 patent and/or that the ’947 patent and the ‘197 patent are invalid or unenforceable. In August 2024, we, Bioprojet and Bioprojet Pharma filed a complaint in the United States District Court for the District of Delaware for patent infringement of the ’947 patent and the ‘197 patent against AET.</w:t>
      </w:r>
    </w:p>
    <w:p>
      <w:pPr>
        <w:spacing w:after="0" w:line="171"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212529"/>
        </w:rPr>
        <w:t xml:space="preserve">In October 2023, the Company and Bioprojet received notice from Annora Pharma Private Limited (“Annora”),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“Annora Notice Letter”), that Annora has submitted ANDA No. 218832 (the “Annora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’430 patent, the ’947 patent and the ’197 patent. The Annora Notice Letter asserts that its generic product will not infringe the ‘430 patent, ’947 patent and the ‘197 patent and/or that the ‘430 patent, ’947 patent and the ‘197 patent are invalid or unenforceable. In November 2023, the Company, Bioprojet and Bioprojet Pharma filed a complaint for patent infringement of the ’947 patent and the ‘197 patent against Annora and certain of their affiliates and agents and for patent infringement of the ’430 patent against Annora and certain of their affiliates and agents in the United States District Court for the District of Delaware in response to their filing of their respective ANDAs with the FDA. </w:t>
      </w:r>
      <w:r>
        <w:rPr>
          <w:rFonts w:ascii="Arial" w:cs="Arial" w:eastAsia="Arial" w:hAnsi="Arial"/>
          <w:sz w:val="18"/>
          <w:szCs w:val="18"/>
          <w:color w:val="000000"/>
        </w:rPr>
        <w:t>In March 2025, the Company reached an agreement with Annora to resolve the dispute over Annora’s</w:t>
      </w:r>
      <w:r>
        <w:rPr>
          <w:rFonts w:ascii="Arial" w:cs="Arial" w:eastAsia="Arial" w:hAnsi="Arial"/>
          <w:sz w:val="18"/>
          <w:szCs w:val="18"/>
          <w:color w:val="212529"/>
        </w:rPr>
        <w:t xml:space="preserve"> </w:t>
      </w:r>
      <w:r>
        <w:rPr>
          <w:rFonts w:ascii="Arial" w:cs="Arial" w:eastAsia="Arial" w:hAnsi="Arial"/>
          <w:sz w:val="18"/>
          <w:szCs w:val="18"/>
          <w:color w:val="000000"/>
        </w:rPr>
        <w:t xml:space="preserve">ANDA for a generic pitolisant hydrochloride product. Under the terms of the settlement agreement, the litigation between the parties in the United States District Court for the District of Delaware was ended on March 31, 2025, and Annora will have a license to sell its generic product beginning July 2030 if WAKIX receives pediatric exclusivity, or earlier under certain </w:t>
      </w:r>
      <w:r>
        <w:rPr>
          <w:rFonts w:ascii="Arial" w:cs="Arial" w:eastAsia="Arial" w:hAnsi="Arial"/>
          <w:sz w:val="18"/>
          <w:szCs w:val="18"/>
          <w:color w:val="212529"/>
        </w:rPr>
        <w:t>circumstances.</w:t>
      </w:r>
    </w:p>
    <w:p>
      <w:pPr>
        <w:spacing w:after="0" w:line="66" w:lineRule="exact"/>
        <w:rPr>
          <w:sz w:val="20"/>
          <w:szCs w:val="20"/>
          <w:color w:val="auto"/>
        </w:rPr>
      </w:pPr>
    </w:p>
    <w:p>
      <w:pPr>
        <w:jc w:val="both"/>
        <w:ind w:left="60" w:right="59" w:firstLine="648"/>
        <w:spacing w:after="0" w:line="230" w:lineRule="auto"/>
        <w:rPr>
          <w:sz w:val="20"/>
          <w:szCs w:val="20"/>
          <w:color w:val="auto"/>
        </w:rPr>
      </w:pPr>
      <w:r>
        <w:rPr>
          <w:rFonts w:ascii="Arial" w:cs="Arial" w:eastAsia="Arial" w:hAnsi="Arial"/>
          <w:sz w:val="18"/>
          <w:szCs w:val="18"/>
          <w:color w:val="212529"/>
        </w:rPr>
        <w:t>In October 2023, MSN Pharmaceuticals Inc. (“MSN Pharma”) sent correspondence to the Company and Bioprojet stating that MSN Pharma has submitted ANDA No. 218873 (the “MSN ANDA”) to the FDA and is seeking regulatory approval to market a generic version of WAKIX</w:t>
      </w:r>
      <w:r>
        <w:rPr>
          <w:rFonts w:ascii="Arial" w:cs="Arial" w:eastAsia="Arial" w:hAnsi="Arial"/>
          <w:sz w:val="26"/>
          <w:szCs w:val="26"/>
          <w:color w:val="212529"/>
          <w:vertAlign w:val="superscript"/>
        </w:rPr>
        <w:t>®</w:t>
      </w:r>
      <w:r>
        <w:rPr>
          <w:rFonts w:ascii="Arial" w:cs="Arial" w:eastAsia="Arial" w:hAnsi="Arial"/>
          <w:sz w:val="18"/>
          <w:szCs w:val="18"/>
          <w:color w:val="212529"/>
        </w:rPr>
        <w:t>. In December 2023, MSN Laboratories Private Limited (“MSN”) filed a declaratory judgment action in the United States District Court for the Eastern District of Virginia against Bioprojet claiming that the ‘430 patent, the ’947 patent and the ‘197 patent will not be infringed by MSN’s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and that the ‘947 patent is invalid. In December 2023, we, Bioprojet and Bioprojet Pharma filed a complaint in the United States District Court for the District of Delaware for patent infringement of the ‘430 patent, the ’947 patent and the ‘197 patent against MSN and MSN Pharma. In January 2024, the declaratory judgment action was transferred from the United States District Court for the Eastern District of Virginia to the United States District Court for the District of Delaware. </w:t>
      </w:r>
      <w:r>
        <w:rPr>
          <w:rFonts w:ascii="Arial" w:cs="Arial" w:eastAsia="Arial" w:hAnsi="Arial"/>
          <w:sz w:val="18"/>
          <w:szCs w:val="18"/>
          <w:color w:val="000000"/>
        </w:rPr>
        <w:t>In January 2026, the</w:t>
      </w:r>
      <w:r>
        <w:rPr>
          <w:rFonts w:ascii="Arial" w:cs="Arial" w:eastAsia="Arial" w:hAnsi="Arial"/>
          <w:sz w:val="18"/>
          <w:szCs w:val="18"/>
          <w:color w:val="212529"/>
        </w:rPr>
        <w:t xml:space="preserve"> </w:t>
      </w:r>
      <w:r>
        <w:rPr>
          <w:rFonts w:ascii="Arial" w:cs="Arial" w:eastAsia="Arial" w:hAnsi="Arial"/>
          <w:sz w:val="18"/>
          <w:szCs w:val="18"/>
          <w:color w:val="000000"/>
        </w:rPr>
        <w:t>Company reached an agreement with MSN to resolve the dispute over MSN’s ANDA to market a generic version of WAKIX. Under the terms of the settlement agreement, the litigation between the parties in the United States District Court for the District of Delaware will be dismissed. The remaining terms of the settlement agreement remain confidential.</w:t>
      </w:r>
    </w:p>
    <w:p>
      <w:pPr>
        <w:spacing w:after="0" w:line="17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212529"/>
        </w:rPr>
        <w:t>In April 2024, the United States District Court for the District of Delaware issued a scheduling order consolidating the cases described above for all purposes up to and including trial (the “Scheduling Order”). The Scheduling Order set March 27, 2025, as the date for the hearing on claim construction and scheduled a bench trial that began on February 17, 2026, and concluded on February 19, 2026. Opening post-trial briefs were filed on April 9, 2026. Rebuttal briefs are due May 7, 2026, and reply briefs are due May 21, 2026.</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resolution of any ANDA litigation matter against the Company could have a significant negative effect on the Company’s results of operations.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6399" w:hanging="650"/>
        <w:spacing w:after="0" w:line="513" w:lineRule="auto"/>
        <w:tabs>
          <w:tab w:leader="none" w:pos="35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 Program</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the Company’s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months ended March 31, 2026, and 2025, no shares of common stock were repurchased by the Company under the October 2023 Repurchase Program. As of March 31, 2026, the remaining amount of common stock authorized for repurchases was $150,000.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STOCK INCENTIVE PLAN AND STOCK-BASED COMPENSATION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2020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Stock Appreciation Rights (“SARs”), restricted stock, dividend equivalents, restricted stock units (“RSUs”) and other stock or cash-based awards.</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 options and SARs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March 31, 2026, there were 7,333,147 shares of common stock available for issuance under the 2020 Plan. The number of shares that may be issued under the 2020 Plan automatically increases on January 1 of each year in an amount equal to the lesser of (i) 4.0% of the shares of the Company’s common stock outstanding on December 31 of the preceding year or (ii) an amount determined by the Company’s board of directors.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SARs or restricted stock. Following the adoption of the 2020 Plan, no further grants have been, or will be, made under the 2017 Plan. However, the 2017 Plan will continue to govern the terms and conditions of outstanding awards granted under 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summarizes stock option activity for the three months ended March 31, 2026:</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gridSpan w:val="2"/>
          </w:tcPr>
          <w:p>
            <w:pPr>
              <w:ind w:left="480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Weighted-</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940" w:type="dxa"/>
            <w:vAlign w:val="bottom"/>
            <w:gridSpan w:val="2"/>
          </w:tcPr>
          <w:p>
            <w:pPr>
              <w:ind w:left="480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Awards</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Price</w:t>
            </w:r>
          </w:p>
        </w:tc>
        <w:tc>
          <w:tcPr>
            <w:tcW w:w="96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   Term</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2025</w:t>
            </w:r>
          </w:p>
        </w:tc>
        <w:tc>
          <w:tcPr>
            <w:tcW w:w="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7,861,925</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Awards issued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9"/>
              </w:rPr>
              <w:t>1,042,150</w:t>
            </w:r>
          </w:p>
        </w:tc>
        <w:tc>
          <w:tcPr>
            <w:tcW w:w="4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36.76</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(32,731)</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10.85</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(103,790)</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35.80</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outstanding—March 31, 2026</w:t>
            </w:r>
          </w:p>
        </w:tc>
        <w:tc>
          <w:tcPr>
            <w:tcW w:w="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8,767,554</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34.00</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300" w:type="dxa"/>
            <w:vAlign w:val="bottom"/>
            <w:tcBorders>
              <w:top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16,301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8"/>
                <w:szCs w:val="18"/>
                <w:color w:val="auto"/>
              </w:rPr>
              <w:t>Awards exercisable—March 31, 2026</w:t>
            </w: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5,994,578</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gridSpan w:val="2"/>
          </w:tcPr>
          <w:p>
            <w:pPr>
              <w:ind w:left="120"/>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33.43</w:t>
            </w:r>
          </w:p>
        </w:tc>
        <w:tc>
          <w:tcPr>
            <w:tcW w:w="160" w:type="dxa"/>
            <w:vAlign w:val="bottom"/>
            <w:tcBorders>
              <w:bottom w:val="single" w:sz="8" w:color="CCEEFF"/>
            </w:tcBorders>
            <w:vMerge w:val="continue"/>
          </w:tcPr>
          <w:p>
            <w:pPr>
              <w:spacing w:after="0"/>
              <w:rPr>
                <w:sz w:val="19"/>
                <w:szCs w:val="19"/>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16,201</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Awards unvested—March 31, 2026</w:t>
            </w:r>
          </w:p>
        </w:tc>
        <w:tc>
          <w:tcPr>
            <w:tcW w:w="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2,772,976</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ind w:left="120"/>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35.25</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9.0</w:t>
            </w:r>
          </w:p>
        </w:tc>
        <w:tc>
          <w:tcPr>
            <w:tcW w:w="2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weighted-average grant-date fair value of stock options granted during the three months ended March 31, 2026, and 2025 was $23.38 and $ 25.50, respectively. The total intrinsic value of stock options exercised for the three months ended March 31, 2026, and 2025, was $594 and $2,157, respectively.</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three months ended March 31, 2026:</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64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Weighted-</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640" w:type="dxa"/>
            <w:vAlign w:val="bottom"/>
            <w:gridSpan w:val="2"/>
          </w:tcPr>
          <w:p>
            <w:pPr>
              <w:ind w:left="840"/>
              <w:spacing w:after="0"/>
              <w:rPr>
                <w:sz w:val="20"/>
                <w:szCs w:val="20"/>
                <w:color w:val="auto"/>
              </w:rPr>
            </w:pPr>
            <w:r>
              <w:rPr>
                <w:rFonts w:ascii="Arial" w:cs="Arial" w:eastAsia="Arial" w:hAnsi="Arial"/>
                <w:sz w:val="14"/>
                <w:szCs w:val="14"/>
                <w:b w:val="1"/>
                <w:bCs w:val="1"/>
                <w:color w:val="auto"/>
              </w:rPr>
              <w:t>​​​ Awards</w:t>
            </w:r>
          </w:p>
        </w:tc>
        <w:tc>
          <w:tcPr>
            <w:tcW w:w="28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ind w:right="33"/>
              <w:spacing w:after="0"/>
              <w:rPr>
                <w:sz w:val="20"/>
                <w:szCs w:val="20"/>
                <w:color w:val="auto"/>
              </w:rPr>
            </w:pPr>
            <w:r>
              <w:rPr>
                <w:rFonts w:ascii="Arial" w:cs="Arial" w:eastAsia="Arial" w:hAnsi="Arial"/>
                <w:sz w:val="14"/>
                <w:szCs w:val="14"/>
                <w:b w:val="1"/>
                <w:bCs w:val="1"/>
                <w:color w:val="auto"/>
              </w:rPr>
              <w:t>Price</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   Term</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2025</w:t>
            </w:r>
          </w:p>
        </w:tc>
        <w:tc>
          <w:tcPr>
            <w:tcW w:w="9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33,471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9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outstanding—March 31, 2026</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33,471</w:t>
            </w:r>
          </w:p>
        </w:tc>
        <w:tc>
          <w:tcPr>
            <w:tcW w:w="2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8.72</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Pr>
          <w:p>
            <w:pPr>
              <w:ind w:left="20"/>
              <w:spacing w:after="0" w:line="183" w:lineRule="exact"/>
              <w:rPr>
                <w:sz w:val="20"/>
                <w:szCs w:val="20"/>
                <w:color w:val="auto"/>
              </w:rPr>
            </w:pPr>
            <w:r>
              <w:rPr>
                <w:rFonts w:ascii="Arial" w:cs="Arial" w:eastAsia="Arial" w:hAnsi="Arial"/>
                <w:sz w:val="18"/>
                <w:szCs w:val="18"/>
                <w:color w:val="auto"/>
              </w:rPr>
              <w:t>Awards exercisable—March 31, 2026</w:t>
            </w:r>
          </w:p>
        </w:tc>
        <w:tc>
          <w:tcPr>
            <w:tcW w:w="920" w:type="dxa"/>
            <w:vAlign w:val="bottom"/>
            <w:vMerge w:val="continue"/>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33,471</w:t>
            </w:r>
          </w:p>
        </w:tc>
        <w:tc>
          <w:tcPr>
            <w:tcW w:w="280" w:type="dxa"/>
            <w:vAlign w:val="bottom"/>
            <w:gridSpan w:val="2"/>
          </w:tcPr>
          <w:p>
            <w:pPr>
              <w:ind w:left="180"/>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8.72</w:t>
            </w:r>
          </w:p>
        </w:tc>
        <w:tc>
          <w:tcPr>
            <w:tcW w:w="160" w:type="dxa"/>
            <w:vAlign w:val="bottom"/>
            <w:vMerge w:val="continue"/>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2.9</w:t>
            </w:r>
          </w:p>
        </w:tc>
        <w:tc>
          <w:tcPr>
            <w:tcW w:w="8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three months ended March 31, 2026:</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900" w:type="dxa"/>
            <w:vAlign w:val="bottom"/>
            <w:gridSpan w:val="2"/>
          </w:tcPr>
          <w:p>
            <w:pPr>
              <w:ind w:left="67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r>
      <w:tr>
        <w:trPr>
          <w:trHeight w:val="162"/>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6900" w:type="dxa"/>
            <w:vAlign w:val="bottom"/>
            <w:gridSpan w:val="2"/>
          </w:tcPr>
          <w:p>
            <w:pPr>
              <w:ind w:left="67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 Fair Value</w:t>
            </w: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2025</w:t>
            </w: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796,498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34.47</w:t>
            </w:r>
          </w:p>
        </w:tc>
      </w:tr>
      <w:tr>
        <w:trPr>
          <w:trHeight w:val="202"/>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Awards issued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472,250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36.76</w:t>
            </w:r>
          </w:p>
        </w:tc>
      </w:tr>
      <w:tr>
        <w:trPr>
          <w:trHeight w:val="203"/>
        </w:trPr>
        <w:tc>
          <w:tcPr>
            <w:tcW w:w="6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(180,279)</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34.77</w:t>
            </w: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Awards forfeited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(39,554)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35.30</w:t>
            </w:r>
          </w:p>
        </w:tc>
      </w:tr>
      <w:tr>
        <w:trPr>
          <w:trHeight w:val="196"/>
        </w:trPr>
        <w:tc>
          <w:tcPr>
            <w:tcW w:w="68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outstanding—March 31, 2026</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1,048,915</w:t>
            </w:r>
          </w:p>
        </w:tc>
        <w:tc>
          <w:tcPr>
            <w:tcW w:w="30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35.42</w:t>
            </w: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weighted-average per share fair value of awards issued under the 2020 Plan during the three months ended March 31, 2026, and 2025 was $36.76 and $38.25,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4"/>
                <w:szCs w:val="14"/>
                <w:b w:val="1"/>
                <w:bCs w:val="1"/>
                <w:color w:val="auto"/>
              </w:rPr>
              <w:t>As of</w:t>
            </w:r>
          </w:p>
        </w:tc>
      </w:tr>
      <w:tr>
        <w:trPr>
          <w:trHeight w:val="155"/>
        </w:trPr>
        <w:tc>
          <w:tcPr>
            <w:tcW w:w="4160" w:type="dxa"/>
            <w:vAlign w:val="bottom"/>
          </w:tcPr>
          <w:p>
            <w:pPr>
              <w:spacing w:after="0"/>
              <w:rPr>
                <w:sz w:val="13"/>
                <w:szCs w:val="13"/>
                <w:color w:val="auto"/>
              </w:rPr>
            </w:pPr>
          </w:p>
        </w:tc>
        <w:tc>
          <w:tcPr>
            <w:tcW w:w="1860" w:type="dxa"/>
            <w:vAlign w:val="bottom"/>
          </w:tcPr>
          <w:p>
            <w:pPr>
              <w:ind w:left="1780"/>
              <w:spacing w:after="0" w:line="155"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March 31, 2026</w:t>
            </w:r>
            <w:r>
              <w:rPr>
                <w:rFonts w:ascii="Arial" w:cs="Arial" w:eastAsia="Arial" w:hAnsi="Arial"/>
                <w:sz w:val="14"/>
                <w:szCs w:val="14"/>
                <w:color w:val="auto"/>
              </w:rPr>
              <w:t xml:space="preserve">  ​​​</w:t>
            </w:r>
          </w:p>
        </w:tc>
        <w:tc>
          <w:tcPr>
            <w:tcW w:w="148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December 31, 2025</w:t>
            </w:r>
          </w:p>
        </w:tc>
      </w:tr>
      <w:tr>
        <w:trPr>
          <w:trHeight w:val="196"/>
        </w:trPr>
        <w:tc>
          <w:tcPr>
            <w:tcW w:w="41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8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60" w:type="dxa"/>
            <w:vAlign w:val="bottom"/>
            <w:tcBorders>
              <w:top w:val="single" w:sz="8" w:color="CCEEFF"/>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87"/>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260" w:type="dxa"/>
            <w:vAlign w:val="bottom"/>
            <w:gridSpan w:val="3"/>
          </w:tcPr>
          <w:p>
            <w:pPr>
              <w:jc w:val="right"/>
              <w:ind w:right="19"/>
              <w:spacing w:after="0" w:line="202" w:lineRule="exact"/>
              <w:rPr>
                <w:sz w:val="20"/>
                <w:szCs w:val="20"/>
                <w:color w:val="auto"/>
              </w:rPr>
            </w:pPr>
            <w:r>
              <w:rPr>
                <w:rFonts w:ascii="Arial" w:cs="Arial" w:eastAsia="Arial" w:hAnsi="Arial"/>
                <w:sz w:val="18"/>
                <w:szCs w:val="18"/>
                <w:color w:val="auto"/>
              </w:rPr>
              <w:t>66.49 - 66.65 %</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69.03 - 71.43 %</w:t>
            </w:r>
          </w:p>
        </w:tc>
      </w:tr>
      <w:tr>
        <w:trPr>
          <w:trHeight w:val="203"/>
        </w:trPr>
        <w:tc>
          <w:tcPr>
            <w:tcW w:w="4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3260" w:type="dxa"/>
            <w:vAlign w:val="bottom"/>
            <w:gridSpan w:val="3"/>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3.84 - 3.97 %</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3.72 - 4.44 %</w:t>
            </w: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Lack of marketability discount</w:t>
            </w:r>
          </w:p>
        </w:tc>
        <w:tc>
          <w:tcPr>
            <w:tcW w:w="3260" w:type="dxa"/>
            <w:vAlign w:val="bottom"/>
            <w:gridSpan w:val="3"/>
          </w:tcPr>
          <w:p>
            <w:pPr>
              <w:jc w:val="right"/>
              <w:ind w:right="19"/>
              <w:spacing w:after="0" w:line="202" w:lineRule="exact"/>
              <w:rPr>
                <w:sz w:val="20"/>
                <w:szCs w:val="20"/>
                <w:color w:val="auto"/>
              </w:rPr>
            </w:pPr>
            <w:r>
              <w:rPr>
                <w:rFonts w:ascii="Arial" w:cs="Arial" w:eastAsia="Arial" w:hAnsi="Arial"/>
                <w:sz w:val="18"/>
                <w:szCs w:val="18"/>
                <w:color w:val="auto"/>
              </w:rPr>
              <w:t>0.00 %</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4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3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1.3 - 6.1</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1.4 - 6.1</w:t>
            </w:r>
          </w:p>
        </w:tc>
        <w:tc>
          <w:tcPr>
            <w:tcW w:w="180" w:type="dxa"/>
            <w:vAlign w:val="bottom"/>
            <w:shd w:val="clear" w:color="auto" w:fill="CCEEFF"/>
          </w:tcPr>
          <w:p>
            <w:pPr>
              <w:spacing w:after="0"/>
              <w:rPr>
                <w:sz w:val="17"/>
                <w:szCs w:val="17"/>
                <w:color w:val="auto"/>
              </w:rPr>
            </w:pPr>
          </w:p>
        </w:tc>
      </w:tr>
    </w:tbl>
    <w:p>
      <w:pPr>
        <w:spacing w:after="0" w:line="3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Stock-based compensation expense for the three months ended March 31, 2026, and 2025, was recorded in the unaudited condensed consolidated statements of operations and comprehensive income in the following line items: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4780" w:type="dxa"/>
            <w:vAlign w:val="bottom"/>
          </w:tcPr>
          <w:p>
            <w:pPr>
              <w:spacing w:after="0"/>
              <w:rPr>
                <w:sz w:val="13"/>
                <w:szCs w:val="13"/>
                <w:color w:val="auto"/>
              </w:rPr>
            </w:pPr>
          </w:p>
        </w:tc>
        <w:tc>
          <w:tcPr>
            <w:tcW w:w="2160" w:type="dxa"/>
            <w:vAlign w:val="bottom"/>
            <w:gridSpan w:val="2"/>
          </w:tcPr>
          <w:p>
            <w:pPr>
              <w:ind w:left="184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2026</w:t>
            </w:r>
          </w:p>
        </w:tc>
        <w:tc>
          <w:tcPr>
            <w:tcW w:w="42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4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 expense</w:t>
            </w:r>
          </w:p>
        </w:tc>
        <w:tc>
          <w:tcPr>
            <w:tcW w:w="1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2,302</w:t>
            </w: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 expense</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2,744</w:t>
            </w:r>
          </w:p>
        </w:tc>
      </w:tr>
      <w:tr>
        <w:trPr>
          <w:trHeight w:val="203"/>
        </w:trPr>
        <w:tc>
          <w:tcPr>
            <w:tcW w:w="4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 expense</w:t>
            </w:r>
          </w:p>
        </w:tc>
        <w:tc>
          <w:tcPr>
            <w:tcW w:w="19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6,148</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7,404</w:t>
            </w:r>
          </w:p>
        </w:tc>
      </w:tr>
      <w:tr>
        <w:trPr>
          <w:trHeight w:val="196"/>
        </w:trPr>
        <w:tc>
          <w:tcPr>
            <w:tcW w:w="4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10,308</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12,450</w:t>
            </w:r>
          </w:p>
        </w:tc>
      </w:tr>
      <w:tr>
        <w:trPr>
          <w:trHeight w:val="20"/>
        </w:trPr>
        <w:tc>
          <w:tcPr>
            <w:tcW w:w="4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Stock-based compensation expense related to options and RSUs issued under the 2017 Plan and 2020 Plan is included in stockholder’s equity, and a liability for SARs is included in other non-current liabilities, in the Company’s unaudited condensed consolidated balance sheet. As of March 31, 2026, the total unrecognized stock-based compensation expense was $57,995 and $33,769 for stock options and RSUs,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respectively. These amounts will be recognized in the Company’s consolidated statement of operations over a weighted average period of 3.0 years and 3.1 years for stock options and RSUs, respectively.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2020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automatically increases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There were no shares issued under the ESPP for the three months ended March 31, 2026, and 2025, respectively. The discount on the ESPP was $89 and $60 for the three months ended March 31, 2026, and 2025, respectively, and is recorded within stock-based compensation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SEGMENT INFORMATION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has one reportable segment: rare neurological diseases. The rare neurological diseases segment consists of the Company’s commercial product, WAKIX, and its potential product candidates that focus on patients living with rare neurological diseases who have unmet needs. The Company currently derives all of its revenue from sales of WAKIX, which is used in the treatment of EDS and cataplexy in adult patients with narcolepsy and the treatment of EDS in pediatric patients six years and older with narcolepsy and manages its business activities on a consolidated basis.</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The accounting policies of the rare neurological diseases segment are consistent with those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and the measure of segment assets is reported on the consolidated balance sheets as total assets. The Company’s CODM is the chief executive officer. The CODM assesses performance of the rare neurological diseases segment using net income as reported in the consolidated statements of operations and comprehensive income. Net income is assessed by the CODM to make decisions on how to allocate resources, such as reinvesting profits into the rare neurological diseases segment or pursuing potential investing activities.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segment revenue and significant segment expenses for the three months ended March 31, 2026, and 2025:</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342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product revenue</w:t>
            </w: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215,387</w:t>
            </w:r>
          </w:p>
        </w:tc>
        <w:tc>
          <w:tcPr>
            <w:tcW w:w="3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184,733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Less:</w:t>
            </w: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product sold (a)</w:t>
            </w: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44,505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(b)</w:t>
            </w: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35,018</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32,238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Sales and marketing (c)</w:t>
            </w: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29,899</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 (d)</w:t>
            </w: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20,398</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17,878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5,968</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10,308</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3,234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(5,757)</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7,199</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segment items (e)</w:t>
            </w:r>
          </w:p>
        </w:tc>
        <w:tc>
          <w:tcPr>
            <w:tcW w:w="3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32,127</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net income</w:t>
            </w:r>
          </w:p>
        </w:tc>
        <w:tc>
          <w:tcPr>
            <w:tcW w:w="3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32,488</w:t>
            </w:r>
          </w:p>
        </w:tc>
        <w:tc>
          <w:tcPr>
            <w:tcW w:w="3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20" w:type="dxa"/>
            <w:vAlign w:val="bottom"/>
            <w:vMerge w:val="restart"/>
          </w:tcPr>
          <w:p>
            <w:pPr>
              <w:jc w:val="right"/>
              <w:ind w:right="209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4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40" w:hanging="315"/>
        <w:spacing w:after="0"/>
        <w:tabs>
          <w:tab w:leader="none" w:pos="1040" w:val="left"/>
        </w:tabs>
        <w:numPr>
          <w:ilvl w:val="1"/>
          <w:numId w:val="8"/>
        </w:numPr>
        <w:rPr>
          <w:rFonts w:ascii="Arial" w:cs="Arial" w:eastAsia="Arial" w:hAnsi="Arial"/>
          <w:sz w:val="14"/>
          <w:szCs w:val="14"/>
          <w:color w:val="auto"/>
        </w:rPr>
      </w:pPr>
      <w:r>
        <w:rPr>
          <w:rFonts w:ascii="Arial" w:cs="Arial" w:eastAsia="Arial" w:hAnsi="Arial"/>
          <w:sz w:val="14"/>
          <w:szCs w:val="14"/>
          <w:color w:val="auto"/>
        </w:rPr>
        <w:t>Cost of product sold excluding depreciation.</w:t>
      </w:r>
    </w:p>
    <w:p>
      <w:pPr>
        <w:spacing w:after="0" w:line="15" w:lineRule="exact"/>
        <w:rPr>
          <w:rFonts w:ascii="Arial" w:cs="Arial" w:eastAsia="Arial" w:hAnsi="Arial"/>
          <w:sz w:val="14"/>
          <w:szCs w:val="14"/>
          <w:color w:val="auto"/>
        </w:rPr>
      </w:pPr>
    </w:p>
    <w:p>
      <w:pPr>
        <w:ind w:left="1040" w:hanging="315"/>
        <w:spacing w:after="0"/>
        <w:tabs>
          <w:tab w:leader="none" w:pos="1040" w:val="left"/>
        </w:tabs>
        <w:numPr>
          <w:ilvl w:val="1"/>
          <w:numId w:val="8"/>
        </w:numPr>
        <w:rPr>
          <w:rFonts w:ascii="Arial" w:cs="Arial" w:eastAsia="Arial" w:hAnsi="Arial"/>
          <w:sz w:val="14"/>
          <w:szCs w:val="14"/>
          <w:color w:val="auto"/>
        </w:rPr>
      </w:pPr>
      <w:r>
        <w:rPr>
          <w:rFonts w:ascii="Arial" w:cs="Arial" w:eastAsia="Arial" w:hAnsi="Arial"/>
          <w:sz w:val="14"/>
          <w:szCs w:val="14"/>
          <w:color w:val="auto"/>
        </w:rPr>
        <w:t>Research and development excluding stock-based compensation and IPR&amp;D.</w:t>
      </w:r>
    </w:p>
    <w:p>
      <w:pPr>
        <w:spacing w:after="0" w:line="1" w:lineRule="exact"/>
        <w:rPr>
          <w:rFonts w:ascii="Arial" w:cs="Arial" w:eastAsia="Arial" w:hAnsi="Arial"/>
          <w:sz w:val="14"/>
          <w:szCs w:val="14"/>
          <w:color w:val="auto"/>
        </w:rPr>
      </w:pPr>
    </w:p>
    <w:p>
      <w:pPr>
        <w:ind w:left="1040" w:hanging="315"/>
        <w:spacing w:after="0"/>
        <w:tabs>
          <w:tab w:leader="none" w:pos="1040" w:val="left"/>
        </w:tabs>
        <w:numPr>
          <w:ilvl w:val="1"/>
          <w:numId w:val="8"/>
        </w:numPr>
        <w:rPr>
          <w:rFonts w:ascii="Arial" w:cs="Arial" w:eastAsia="Arial" w:hAnsi="Arial"/>
          <w:sz w:val="14"/>
          <w:szCs w:val="14"/>
          <w:color w:val="auto"/>
        </w:rPr>
      </w:pPr>
      <w:r>
        <w:rPr>
          <w:rFonts w:ascii="Arial" w:cs="Arial" w:eastAsia="Arial" w:hAnsi="Arial"/>
          <w:sz w:val="14"/>
          <w:szCs w:val="14"/>
          <w:color w:val="auto"/>
        </w:rPr>
        <w:t>Sales and marketing excluding stock-based compensation.</w:t>
      </w:r>
    </w:p>
    <w:p>
      <w:pPr>
        <w:spacing w:after="0" w:line="1" w:lineRule="exact"/>
        <w:rPr>
          <w:rFonts w:ascii="Arial" w:cs="Arial" w:eastAsia="Arial" w:hAnsi="Arial"/>
          <w:sz w:val="14"/>
          <w:szCs w:val="14"/>
          <w:color w:val="auto"/>
        </w:rPr>
      </w:pPr>
    </w:p>
    <w:p>
      <w:pPr>
        <w:ind w:left="1040" w:hanging="315"/>
        <w:spacing w:after="0"/>
        <w:tabs>
          <w:tab w:leader="none" w:pos="1040" w:val="left"/>
        </w:tabs>
        <w:numPr>
          <w:ilvl w:val="1"/>
          <w:numId w:val="8"/>
        </w:numPr>
        <w:rPr>
          <w:rFonts w:ascii="Arial" w:cs="Arial" w:eastAsia="Arial" w:hAnsi="Arial"/>
          <w:sz w:val="14"/>
          <w:szCs w:val="14"/>
          <w:color w:val="auto"/>
        </w:rPr>
      </w:pPr>
      <w:r>
        <w:rPr>
          <w:rFonts w:ascii="Arial" w:cs="Arial" w:eastAsia="Arial" w:hAnsi="Arial"/>
          <w:sz w:val="14"/>
          <w:szCs w:val="14"/>
          <w:color w:val="auto"/>
        </w:rPr>
        <w:t>General and administrative excluding stock-based compensation and amortization.</w:t>
      </w:r>
    </w:p>
    <w:p>
      <w:pPr>
        <w:spacing w:after="0" w:line="1" w:lineRule="exact"/>
        <w:rPr>
          <w:rFonts w:ascii="Arial" w:cs="Arial" w:eastAsia="Arial" w:hAnsi="Arial"/>
          <w:sz w:val="14"/>
          <w:szCs w:val="14"/>
          <w:color w:val="auto"/>
        </w:rPr>
      </w:pPr>
    </w:p>
    <w:p>
      <w:pPr>
        <w:ind w:left="1040" w:hanging="315"/>
        <w:spacing w:after="0"/>
        <w:tabs>
          <w:tab w:leader="none" w:pos="1040" w:val="left"/>
        </w:tabs>
        <w:numPr>
          <w:ilvl w:val="1"/>
          <w:numId w:val="8"/>
        </w:numPr>
        <w:rPr>
          <w:rFonts w:ascii="Arial" w:cs="Arial" w:eastAsia="Arial" w:hAnsi="Arial"/>
          <w:sz w:val="14"/>
          <w:szCs w:val="14"/>
          <w:color w:val="auto"/>
        </w:rPr>
      </w:pPr>
      <w:r>
        <w:rPr>
          <w:rFonts w:ascii="Arial" w:cs="Arial" w:eastAsia="Arial" w:hAnsi="Arial"/>
          <w:sz w:val="14"/>
          <w:szCs w:val="14"/>
          <w:color w:val="auto"/>
        </w:rPr>
        <w:t>Other segment items include other expense, net and IPR&amp;D charges.</w:t>
      </w:r>
    </w:p>
    <w:p>
      <w:pPr>
        <w:spacing w:after="0" w:line="179" w:lineRule="exact"/>
        <w:rPr>
          <w:rFonts w:ascii="Arial" w:cs="Arial" w:eastAsia="Arial" w:hAnsi="Arial"/>
          <w:sz w:val="14"/>
          <w:szCs w:val="14"/>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Basic earnings per share is calculated by dividing net income by the weighted average number of shares of common stock outstanding. Diluted net income per share of common is computed under the treasury stock method by using the weighted average number of shares of common stock outstanding, plus, for periods with net income, the potential dilutive effects of stock options, stock appreciation rights and restricted stock units.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980" w:type="dxa"/>
            <w:vAlign w:val="bottom"/>
            <w:gridSpan w:val="6"/>
          </w:tcPr>
          <w:p>
            <w:pPr>
              <w:jc w:val="right"/>
              <w:ind w:right="113"/>
              <w:spacing w:after="0"/>
              <w:rPr>
                <w:sz w:val="20"/>
                <w:szCs w:val="20"/>
                <w:color w:val="auto"/>
              </w:rPr>
            </w:pPr>
            <w:r>
              <w:rPr>
                <w:rFonts w:ascii="Arial" w:cs="Arial" w:eastAsia="Arial" w:hAnsi="Arial"/>
                <w:sz w:val="14"/>
                <w:szCs w:val="14"/>
                <w:b w:val="1"/>
                <w:bCs w:val="1"/>
                <w:color w:val="auto"/>
              </w:rPr>
              <w:t>​​​  Three Months Ended March 31,</w:t>
            </w:r>
          </w:p>
        </w:tc>
        <w:tc>
          <w:tcPr>
            <w:tcW w:w="4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2026</w:t>
            </w:r>
          </w:p>
        </w:tc>
        <w:tc>
          <w:tcPr>
            <w:tcW w:w="32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Numerator</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32,488</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45,560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Denominator</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20" w:type="dxa"/>
            <w:vAlign w:val="bottom"/>
          </w:tcPr>
          <w:p>
            <w:pPr>
              <w:ind w:left="120"/>
              <w:spacing w:after="0" w:line="202" w:lineRule="exact"/>
              <w:rPr>
                <w:sz w:val="20"/>
                <w:szCs w:val="20"/>
                <w:color w:val="auto"/>
              </w:rPr>
            </w:pPr>
            <w:r>
              <w:rPr>
                <w:rFonts w:ascii="Arial" w:cs="Arial" w:eastAsia="Arial" w:hAnsi="Arial"/>
                <w:sz w:val="18"/>
                <w:szCs w:val="18"/>
                <w:color w:val="auto"/>
              </w:rPr>
              <w:t>Net income per share of common stock - basic</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0.56</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0.79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per share of common stock- diluted</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0.55</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0.78</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2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57,819,060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57,309,938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Weighted average number of shares of common stock - diluted</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58,776,297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58,524,566</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right="239" w:firstLine="698"/>
        <w:spacing w:after="0" w:line="255" w:lineRule="auto"/>
        <w:rPr>
          <w:sz w:val="20"/>
          <w:szCs w:val="20"/>
          <w:color w:val="auto"/>
        </w:rPr>
      </w:pPr>
      <w:r>
        <w:rPr>
          <w:rFonts w:ascii="Arial" w:cs="Arial" w:eastAsia="Arial" w:hAnsi="Arial"/>
          <w:sz w:val="18"/>
          <w:szCs w:val="18"/>
          <w:color w:val="auto"/>
        </w:rPr>
        <w:t>Securities outstanding and included in the computation above, utilizing the treasury stock method are as follows:</w:t>
      </w:r>
    </w:p>
    <w:tbl>
      <w:tblPr>
        <w:tblLayout w:type="fixed"/>
        <w:tblInd w:w="40" w:type="dxa"/>
        <w:tblCellMar>
          <w:top w:w="0" w:type="dxa"/>
          <w:left w:w="0" w:type="dxa"/>
          <w:bottom w:w="0" w:type="dxa"/>
          <w:right w:w="0" w:type="dxa"/>
        </w:tblCellMar>
      </w:tblPr>
      <w:tr>
        <w:trPr>
          <w:trHeight w:val="160"/>
        </w:trPr>
        <w:tc>
          <w:tcPr>
            <w:tcW w:w="5560" w:type="dxa"/>
            <w:vAlign w:val="bottom"/>
          </w:tcPr>
          <w:p>
            <w:pPr>
              <w:spacing w:after="0"/>
              <w:rPr>
                <w:sz w:val="13"/>
                <w:szCs w:val="13"/>
                <w:color w:val="auto"/>
              </w:rPr>
            </w:pPr>
          </w:p>
        </w:tc>
        <w:tc>
          <w:tcPr>
            <w:tcW w:w="3340" w:type="dxa"/>
            <w:vAlign w:val="bottom"/>
            <w:gridSpan w:val="5"/>
          </w:tcPr>
          <w:p>
            <w:pPr>
              <w:jc w:val="right"/>
              <w:ind w:right="119"/>
              <w:spacing w:after="0" w:line="159" w:lineRule="exact"/>
              <w:rPr>
                <w:sz w:val="20"/>
                <w:szCs w:val="20"/>
                <w:color w:val="auto"/>
              </w:rPr>
            </w:pPr>
            <w:r>
              <w:rPr>
                <w:rFonts w:ascii="Arial" w:cs="Arial" w:eastAsia="Arial" w:hAnsi="Arial"/>
                <w:sz w:val="14"/>
                <w:szCs w:val="14"/>
                <w:b w:val="1"/>
                <w:bCs w:val="1"/>
                <w:color w:val="auto"/>
              </w:rPr>
              <w:t>​​​  Three Months Ended March 31,</w:t>
            </w:r>
          </w:p>
        </w:tc>
      </w:tr>
      <w:tr>
        <w:trPr>
          <w:trHeight w:val="155"/>
        </w:trPr>
        <w:tc>
          <w:tcPr>
            <w:tcW w:w="5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Borders>
              <w:top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2026</w:t>
            </w:r>
          </w:p>
        </w:tc>
        <w:tc>
          <w:tcPr>
            <w:tcW w:w="34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55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8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957,237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1,214,628</w:t>
            </w:r>
          </w:p>
        </w:tc>
      </w:tr>
    </w:tbl>
    <w:p>
      <w:pPr>
        <w:spacing w:after="0" w:line="184" w:lineRule="exact"/>
        <w:rPr>
          <w:sz w:val="20"/>
          <w:szCs w:val="20"/>
          <w:color w:val="auto"/>
        </w:rPr>
      </w:pPr>
    </w:p>
    <w:p>
      <w:pPr>
        <w:ind w:left="60" w:right="519" w:firstLine="648"/>
        <w:spacing w:after="0" w:line="255" w:lineRule="auto"/>
        <w:rPr>
          <w:sz w:val="20"/>
          <w:szCs w:val="20"/>
          <w:color w:val="auto"/>
        </w:rPr>
      </w:pPr>
      <w:r>
        <w:rPr>
          <w:rFonts w:ascii="Arial" w:cs="Arial" w:eastAsia="Arial" w:hAnsi="Arial"/>
          <w:sz w:val="18"/>
          <w:szCs w:val="18"/>
          <w:color w:val="auto"/>
        </w:rPr>
        <w:t>The following table represents the shares of common stock excluded from the diluted earnings per share calculation because their effect would have been anti-dilutive:</w:t>
      </w:r>
    </w:p>
    <w:p>
      <w:pPr>
        <w:ind w:left="6620"/>
        <w:spacing w:after="0" w:line="237" w:lineRule="auto"/>
        <w:rPr>
          <w:sz w:val="20"/>
          <w:szCs w:val="20"/>
          <w:color w:val="auto"/>
        </w:rPr>
      </w:pPr>
      <w:r>
        <w:rPr>
          <w:rFonts w:ascii="Arial" w:cs="Arial" w:eastAsia="Arial" w:hAnsi="Arial"/>
          <w:sz w:val="14"/>
          <w:szCs w:val="14"/>
          <w:b w:val="1"/>
          <w:bCs w:val="1"/>
          <w:color w:val="auto"/>
        </w:rPr>
        <w:t>Three Months Ended March 31,</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6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36"/>
        </w:trPr>
        <w:tc>
          <w:tcPr>
            <w:tcW w:w="6600" w:type="dxa"/>
            <w:vAlign w:val="bottom"/>
            <w:gridSpan w:val="2"/>
          </w:tcPr>
          <w:p>
            <w:pPr>
              <w:ind w:left="6340"/>
              <w:spacing w:after="0" w:line="135"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39"/>
              <w:spacing w:after="0" w:line="135" w:lineRule="exact"/>
              <w:rPr>
                <w:sz w:val="20"/>
                <w:szCs w:val="20"/>
                <w:color w:val="auto"/>
              </w:rPr>
            </w:pPr>
            <w:r>
              <w:rPr>
                <w:rFonts w:ascii="Arial" w:cs="Arial" w:eastAsia="Arial" w:hAnsi="Arial"/>
                <w:sz w:val="14"/>
                <w:szCs w:val="14"/>
                <w:b w:val="1"/>
                <w:bCs w:val="1"/>
                <w:color w:val="auto"/>
              </w:rPr>
              <w:t>2026</w:t>
            </w:r>
          </w:p>
        </w:tc>
        <w:tc>
          <w:tcPr>
            <w:tcW w:w="3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19"/>
              <w:spacing w:after="0" w:line="135" w:lineRule="exact"/>
              <w:rPr>
                <w:sz w:val="20"/>
                <w:szCs w:val="20"/>
                <w:color w:val="auto"/>
              </w:rPr>
            </w:pPr>
            <w:r>
              <w:rPr>
                <w:rFonts w:ascii="Arial" w:cs="Arial" w:eastAsia="Arial" w:hAnsi="Arial"/>
                <w:sz w:val="14"/>
                <w:szCs w:val="14"/>
                <w:b w:val="1"/>
                <w:bCs w:val="1"/>
                <w:color w:val="auto"/>
              </w:rPr>
              <w:t>2025</w:t>
            </w:r>
          </w:p>
        </w:tc>
      </w:tr>
      <w:tr>
        <w:trPr>
          <w:trHeight w:val="196"/>
        </w:trPr>
        <w:tc>
          <w:tcPr>
            <w:tcW w:w="64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8,892,703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7,752,451</w:t>
            </w: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reconciliation of the differences between the U.S. statutory federal income tax rate of 21.0% and the Company’s effective income tax rate for the three months ended March 31, 2026, after the adoption of ASU 2023-09, is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3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11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ind w:right="560"/>
              <w:spacing w:after="0" w:line="196" w:lineRule="exact"/>
              <w:rPr>
                <w:sz w:val="20"/>
                <w:szCs w:val="20"/>
                <w:color w:val="auto"/>
              </w:rPr>
            </w:pPr>
            <w:r>
              <w:rPr>
                <w:rFonts w:ascii="Arial" w:cs="Arial" w:eastAsia="Arial" w:hAnsi="Arial"/>
                <w:sz w:val="18"/>
                <w:szCs w:val="18"/>
                <w:b w:val="1"/>
                <w:bCs w:val="1"/>
                <w:color w:val="auto"/>
              </w:rPr>
              <w:t>Amount</w:t>
            </w:r>
          </w:p>
        </w:tc>
        <w:tc>
          <w:tcPr>
            <w:tcW w:w="114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rPr>
              <w:t>Percent</w:t>
            </w:r>
          </w:p>
        </w:tc>
        <w:tc>
          <w:tcPr>
            <w:tcW w:w="20" w:type="dxa"/>
            <w:vAlign w:val="bottom"/>
          </w:tcPr>
          <w:p>
            <w:pPr>
              <w:spacing w:after="0"/>
              <w:rPr>
                <w:sz w:val="17"/>
                <w:szCs w:val="17"/>
                <w:color w:val="auto"/>
              </w:rPr>
            </w:pPr>
          </w:p>
        </w:tc>
      </w:tr>
      <w:tr>
        <w:trPr>
          <w:trHeight w:val="196"/>
        </w:trPr>
        <w:tc>
          <w:tcPr>
            <w:tcW w:w="39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statutory rate</w:t>
            </w:r>
          </w:p>
        </w:tc>
        <w:tc>
          <w:tcPr>
            <w:tcW w:w="2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8,334</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 w:type="dxa"/>
            <w:vAlign w:val="bottom"/>
          </w:tcPr>
          <w:p>
            <w:pPr>
              <w:spacing w:after="0"/>
              <w:rPr>
                <w:sz w:val="17"/>
                <w:szCs w:val="17"/>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State income taxes, net of federal tax effect*</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tcPr>
          <w:p>
            <w:pPr>
              <w:ind w:left="560"/>
              <w:spacing w:after="0"/>
              <w:rPr>
                <w:sz w:val="20"/>
                <w:szCs w:val="20"/>
                <w:color w:val="auto"/>
              </w:rPr>
            </w:pPr>
            <w:r>
              <w:rPr>
                <w:rFonts w:ascii="Arial" w:cs="Arial" w:eastAsia="Arial" w:hAnsi="Arial"/>
                <w:sz w:val="18"/>
                <w:szCs w:val="18"/>
                <w:color w:val="auto"/>
              </w:rPr>
              <w:t>Orphan drug credit</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(1,262)</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Research and development credit</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Other nontaxable or nondeductible items</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645"/>
        </w:trPr>
        <w:tc>
          <w:tcPr>
            <w:tcW w:w="3960" w:type="dxa"/>
            <w:vAlign w:val="bottom"/>
          </w:tcPr>
          <w:p>
            <w:pPr>
              <w:spacing w:after="0"/>
              <w:rPr>
                <w:sz w:val="24"/>
                <w:szCs w:val="24"/>
                <w:color w:val="auto"/>
              </w:rPr>
            </w:pPr>
          </w:p>
        </w:tc>
        <w:tc>
          <w:tcPr>
            <w:tcW w:w="2060" w:type="dxa"/>
            <w:vAlign w:val="bottom"/>
          </w:tcPr>
          <w:p>
            <w:pPr>
              <w:jc w:val="right"/>
              <w:ind w:right="1370"/>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9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6120" w:val="left"/>
          <w:tab w:leader="none" w:pos="7040" w:val="left"/>
          <w:tab w:leader="none" w:pos="8360" w:val="left"/>
        </w:tabs>
        <w:rPr>
          <w:sz w:val="20"/>
          <w:szCs w:val="20"/>
          <w:color w:val="auto"/>
        </w:rPr>
      </w:pPr>
      <w:r>
        <w:rPr>
          <w:rFonts w:ascii="Arial" w:cs="Arial" w:eastAsia="Arial" w:hAnsi="Arial"/>
          <w:sz w:val="18"/>
          <w:szCs w:val="18"/>
          <w:color w:val="auto"/>
        </w:rPr>
        <w:t>Effective tax rate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7,199</w:t>
      </w:r>
      <w:r>
        <w:rPr>
          <w:sz w:val="20"/>
          <w:szCs w:val="20"/>
          <w:color w:val="auto"/>
        </w:rPr>
        <w:tab/>
      </w: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-118745</wp:posOffset>
            </wp:positionV>
            <wp:extent cx="564896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State taxes in Illinois made up the majority (greater than 50%) of the tax effect in this category.</w:t>
      </w:r>
    </w:p>
    <w:p>
      <w:pPr>
        <w:spacing w:after="0" w:line="20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reconciliation of the differences between the U.S. statutory federal income tax rate of 21.0% and the Company’s effective tax rate for the three months ended March 31, 2025, prior to the adoption of ASU 2023-09, is as follows:</w:t>
      </w:r>
    </w:p>
    <w:p>
      <w:pPr>
        <w:spacing w:after="0" w:line="192"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6440" w:type="dxa"/>
            <w:vAlign w:val="bottom"/>
            <w:tcBorders>
              <w:bottom w:val="single" w:sz="8" w:color="CCEEFF"/>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2025</w:t>
            </w:r>
          </w:p>
        </w:tc>
        <w:tc>
          <w:tcPr>
            <w:tcW w:w="68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r>
      <w:tr>
        <w:trPr>
          <w:trHeight w:val="196"/>
        </w:trPr>
        <w:tc>
          <w:tcPr>
            <w:tcW w:w="6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income tax rate</w:t>
            </w:r>
          </w:p>
        </w:tc>
        <w:tc>
          <w:tcPr>
            <w:tcW w:w="1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7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60" w:type="dxa"/>
            <w:vAlign w:val="bottom"/>
          </w:tcPr>
          <w:p>
            <w:pPr>
              <w:spacing w:after="0"/>
              <w:rPr>
                <w:sz w:val="17"/>
                <w:szCs w:val="17"/>
                <w:color w:val="auto"/>
              </w:rPr>
            </w:pPr>
          </w:p>
        </w:tc>
      </w:tr>
      <w:tr>
        <w:trPr>
          <w:trHeight w:val="203"/>
        </w:trPr>
        <w:tc>
          <w:tcPr>
            <w:tcW w:w="79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State taxes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7"/>
                <w:szCs w:val="17"/>
                <w:color w:val="auto"/>
              </w:rPr>
            </w:pPr>
          </w:p>
        </w:tc>
      </w:tr>
      <w:tr>
        <w:trPr>
          <w:trHeight w:val="203"/>
        </w:trPr>
        <w:tc>
          <w:tcPr>
            <w:tcW w:w="7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Credits</w:t>
            </w:r>
          </w:p>
        </w:tc>
        <w:tc>
          <w:tcPr>
            <w:tcW w:w="940" w:type="dxa"/>
            <w:vAlign w:val="bottom"/>
            <w:gridSpan w:val="2"/>
          </w:tcPr>
          <w:p>
            <w:pPr>
              <w:jc w:val="right"/>
              <w:ind w:right="176"/>
              <w:spacing w:after="0" w:line="202" w:lineRule="exact"/>
              <w:rPr>
                <w:sz w:val="20"/>
                <w:szCs w:val="20"/>
                <w:color w:val="auto"/>
              </w:rPr>
            </w:pPr>
            <w:r>
              <w:rPr>
                <w:rFonts w:ascii="Arial" w:cs="Arial" w:eastAsia="Arial" w:hAnsi="Arial"/>
                <w:sz w:val="18"/>
                <w:szCs w:val="18"/>
                <w:color w:val="auto"/>
              </w:rPr>
              <w:t>(2.4)</w:t>
            </w:r>
          </w:p>
        </w:tc>
      </w:tr>
      <w:tr>
        <w:trPr>
          <w:trHeight w:val="203"/>
        </w:trPr>
        <w:tc>
          <w:tcPr>
            <w:tcW w:w="79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7"/>
                <w:szCs w:val="17"/>
                <w:color w:val="auto"/>
              </w:rPr>
            </w:pPr>
          </w:p>
        </w:tc>
      </w:tr>
      <w:tr>
        <w:trPr>
          <w:trHeight w:val="196"/>
        </w:trPr>
        <w:tc>
          <w:tcPr>
            <w:tcW w:w="64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w:t>
            </w:r>
          </w:p>
        </w:tc>
        <w:tc>
          <w:tcPr>
            <w:tcW w:w="260" w:type="dxa"/>
            <w:vAlign w:val="bottom"/>
          </w:tcPr>
          <w:p>
            <w:pPr>
              <w:jc w:val="right"/>
              <w:ind w:right="16"/>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6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RELATED-PARTY TRANSACTIONS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Paragon Biosciences, LLC (“Paragon”) is an entity that shares common ownership with the Company. In addition, the Chairman of the Company’s board of directors was the President and owner of the entity. The Company is party to a right of use agreement with Paragon whereby it has access to and the right to use certain office space leased by Paragon in Chicago, Illinois. The Company incurred $73 for each of the three months ended March 31, 2026, and 2025, respectively, of expenses pursuant to the right of use agreement with Paragon, which are included in general and administrative in the unaudited condensed consolidated statements of operations and comprehensive income. As of March 31, 2026, and December 31, 2025, there were no amounts due to or due from Paragon included in the unaudited condensed consolidated balance sheets.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 xml:space="preserve">In June 2025, the Company entered into the CiRC Agreement with CiRC, an entity controlled by Paragon. The Company paid a $ 15,000 upfront payment to CiRC pursuant to the CiRC Agreement which was recorded as an IPR&amp;D charge in research and development in the unaudited condensed consolidated statements of operations and comprehensive income. As of March 31, 2026, and December 31, 2025, there were no amounts due to or due from CiRC under the CiRC agreement. Refer to Note 8, </w:t>
      </w:r>
      <w:r>
        <w:rPr>
          <w:rFonts w:ascii="Arial" w:cs="Arial" w:eastAsia="Arial" w:hAnsi="Arial"/>
          <w:sz w:val="18"/>
          <w:szCs w:val="18"/>
          <w:i w:val="1"/>
          <w:iCs w:val="1"/>
          <w:color w:val="auto"/>
        </w:rPr>
        <w:t>License Agreements</w:t>
      </w:r>
      <w:r>
        <w:rPr>
          <w:rFonts w:ascii="Arial" w:cs="Arial" w:eastAsia="Arial" w:hAnsi="Arial"/>
          <w:sz w:val="18"/>
          <w:szCs w:val="18"/>
          <w:color w:val="auto"/>
        </w:rPr>
        <w:t>, for further discussion regarding the CiRC Agreement.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SUBSEQUENT EVENTS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Patent Infringement Litigation</w:t>
      </w:r>
    </w:p>
    <w:p>
      <w:pPr>
        <w:spacing w:after="0" w:line="198"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On April 20, 2026, the Company, along with its exclusive licensor Novitium, filed a lawsuit against AET Pharma US, Inc., AET Laboratories Private Limited, Alfred E. Tiefenbacher (GmbH &amp; Co. KG), Sandoz Inc., Sandoz Private Limited, and Sandoz GmbH, alleging that the defendants’ actions in connection with the filing of AET’s ANDA No. 218892 infringe one or more claims of U.S. Patent No. 11,623,920. The case was filed in the United States District Court for the District of Delaware, and assigned case no. 26-cv-00453-JLH.</w:t>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In some cases, you can identify forward-looking statements by terms such as “may,” “will,” “should,” “expect,” “plan,” “anticipate,” “could,” “intend,” “target,” “project,” “contemplate,” “believe,” “estimate,” “predict,” “potential,” or “continue” or the negative of these items or similar expressions.</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All of our forward-looking statements are qualified in their entirety by reference to known and unknown risks, uncertainties and other important factors that may cause our actual results, performance or achievements to be materially different from any future results, performance or achievements expressed or implied by the forward-looking statements. These factors include , but are not limited to, risks and uncertainties relating to:</w:t>
      </w:r>
    </w:p>
    <w:p>
      <w:pPr>
        <w:spacing w:after="0" w:line="174"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54" w:lineRule="exact"/>
        <w:rPr>
          <w:rFonts w:ascii="Times New Roman" w:cs="Times New Roman" w:eastAsia="Times New Roman" w:hAnsi="Times New Roman"/>
          <w:sz w:val="18"/>
          <w:szCs w:val="18"/>
          <w:color w:val="auto"/>
        </w:rPr>
      </w:pPr>
    </w:p>
    <w:p>
      <w:pPr>
        <w:ind w:left="1040" w:right="239" w:hanging="315"/>
        <w:spacing w:after="0" w:line="251"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 progress developing the new Pitolisant Gastro-resistant (</w:t>
      </w:r>
      <w:r>
        <w:rPr>
          <w:rFonts w:ascii="Times New Roman" w:cs="Times New Roman" w:eastAsia="Times New Roman" w:hAnsi="Times New Roman"/>
          <w:sz w:val="18"/>
          <w:szCs w:val="18"/>
          <w:color w:val="auto"/>
        </w:rPr>
        <w:t>“</w:t>
      </w:r>
      <w:r>
        <w:rPr>
          <w:rFonts w:ascii="Arial" w:cs="Arial" w:eastAsia="Arial" w:hAnsi="Arial"/>
          <w:sz w:val="18"/>
          <w:szCs w:val="18"/>
          <w:color w:val="auto"/>
        </w:rPr>
        <w:t>Pitolisant GR</w:t>
      </w:r>
      <w:r>
        <w:rPr>
          <w:rFonts w:ascii="Times New Roman" w:cs="Times New Roman" w:eastAsia="Times New Roman" w:hAnsi="Times New Roman"/>
          <w:sz w:val="18"/>
          <w:szCs w:val="18"/>
          <w:color w:val="auto"/>
        </w:rPr>
        <w:t>”</w:t>
      </w:r>
      <w:r>
        <w:rPr>
          <w:rFonts w:ascii="Arial" w:cs="Arial" w:eastAsia="Arial" w:hAnsi="Arial"/>
          <w:sz w:val="18"/>
          <w:szCs w:val="18"/>
          <w:color w:val="auto"/>
        </w:rPr>
        <w:t>) and Pitolisant High Dose (</w:t>
      </w:r>
      <w:r>
        <w:rPr>
          <w:rFonts w:ascii="Times New Roman" w:cs="Times New Roman" w:eastAsia="Times New Roman" w:hAnsi="Times New Roman"/>
          <w:sz w:val="18"/>
          <w:szCs w:val="18"/>
          <w:color w:val="auto"/>
        </w:rPr>
        <w:t>“</w:t>
      </w:r>
      <w:r>
        <w:rPr>
          <w:rFonts w:ascii="Arial" w:cs="Arial" w:eastAsia="Arial" w:hAnsi="Arial"/>
          <w:sz w:val="18"/>
          <w:szCs w:val="18"/>
          <w:color w:val="auto"/>
        </w:rPr>
        <w:t>Pitolisant HD</w:t>
      </w:r>
      <w:r>
        <w:rPr>
          <w:rFonts w:ascii="Times New Roman" w:cs="Times New Roman" w:eastAsia="Times New Roman" w:hAnsi="Times New Roman"/>
          <w:sz w:val="18"/>
          <w:szCs w:val="18"/>
          <w:color w:val="auto"/>
        </w:rPr>
        <w:t>”</w:t>
      </w:r>
      <w:r>
        <w:rPr>
          <w:rFonts w:ascii="Arial" w:cs="Arial" w:eastAsia="Arial" w:hAnsi="Arial"/>
          <w:sz w:val="18"/>
          <w:szCs w:val="18"/>
          <w:color w:val="auto"/>
        </w:rPr>
        <w:t>) formulations, and the development of BP-205, clemizole hydrochloride (</w:t>
      </w:r>
      <w:r>
        <w:rPr>
          <w:rFonts w:ascii="Times New Roman" w:cs="Times New Roman" w:eastAsia="Times New Roman" w:hAnsi="Times New Roman"/>
          <w:sz w:val="18"/>
          <w:szCs w:val="18"/>
          <w:color w:val="auto"/>
        </w:rPr>
        <w:t>“</w:t>
      </w:r>
      <w:r>
        <w:rPr>
          <w:rFonts w:ascii="Arial" w:cs="Arial" w:eastAsia="Arial" w:hAnsi="Arial"/>
          <w:sz w:val="18"/>
          <w:szCs w:val="18"/>
          <w:color w:val="auto"/>
        </w:rPr>
        <w:t>EPX-100</w:t>
      </w:r>
      <w:r>
        <w:rPr>
          <w:rFonts w:ascii="Times New Roman" w:cs="Times New Roman" w:eastAsia="Times New Roman" w:hAnsi="Times New Roman"/>
          <w:sz w:val="18"/>
          <w:szCs w:val="18"/>
          <w:color w:val="auto"/>
        </w:rPr>
        <w:t>”</w:t>
      </w:r>
      <w:r>
        <w:rPr>
          <w:rFonts w:ascii="Arial" w:cs="Arial" w:eastAsia="Arial" w:hAnsi="Arial"/>
          <w:sz w:val="18"/>
          <w:szCs w:val="18"/>
          <w:color w:val="auto"/>
        </w:rPr>
        <w:t>) and other compounds;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acquire and integrate additional products or product candidates with significant commercial potential that are consistent with our commercial objectives;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other risks and uncertainties identified under the </w:t>
      </w:r>
      <w:r>
        <w:rPr>
          <w:rFonts w:ascii="Times New Roman" w:cs="Times New Roman" w:eastAsia="Times New Roman" w:hAnsi="Times New Roman"/>
          <w:sz w:val="18"/>
          <w:szCs w:val="18"/>
          <w:color w:val="auto"/>
        </w:rPr>
        <w:t>“</w:t>
      </w:r>
      <w:r>
        <w:rPr>
          <w:rFonts w:ascii="Arial" w:cs="Arial" w:eastAsia="Arial" w:hAnsi="Arial"/>
          <w:sz w:val="18"/>
          <w:szCs w:val="18"/>
          <w:color w:val="auto"/>
        </w:rPr>
        <w:t>Risk Factors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section or other portions of this report or other of our filings with the SEC, including our Annual Report on Form 10-K for the year ended December 31, 2025.</w:t>
      </w:r>
    </w:p>
    <w:p>
      <w:pPr>
        <w:spacing w:after="0" w:line="16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Further, we have in-licensed from Bioprojet Soci</w:t>
      </w:r>
      <w:r>
        <w:rPr>
          <w:rFonts w:ascii="Times New Roman" w:cs="Times New Roman" w:eastAsia="Times New Roman" w:hAnsi="Times New Roman"/>
          <w:sz w:val="18"/>
          <w:szCs w:val="18"/>
          <w:color w:val="auto"/>
        </w:rPr>
        <w:t>é</w:t>
      </w:r>
      <w:r>
        <w:rPr>
          <w:rFonts w:ascii="Arial" w:cs="Arial" w:eastAsia="Arial" w:hAnsi="Arial"/>
          <w:sz w:val="18"/>
          <w:szCs w:val="18"/>
          <w:color w:val="auto"/>
        </w:rPr>
        <w:t>t</w:t>
      </w:r>
      <w:r>
        <w:rPr>
          <w:rFonts w:ascii="Times New Roman" w:cs="Times New Roman" w:eastAsia="Times New Roman" w:hAnsi="Times New Roman"/>
          <w:sz w:val="18"/>
          <w:szCs w:val="18"/>
          <w:color w:val="auto"/>
        </w:rPr>
        <w:t>é</w:t>
      </w:r>
      <w:r>
        <w:rPr>
          <w:rFonts w:ascii="Arial" w:cs="Arial" w:eastAsia="Arial" w:hAnsi="Arial"/>
          <w:sz w:val="18"/>
          <w:szCs w:val="18"/>
          <w:color w:val="auto"/>
        </w:rPr>
        <w:t xml:space="preserve"> Civile de Recherche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Quarterly Report on Form 10-Q are the property of their respective owners.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Harmony, 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and rare epilepsy, and we are harnessing scientific insights and pioneering approaches to advance meaningful treatments that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help patients thrive. Our operations are conducted by our wholly owned subsidiaries, Harmony Biosciences, LLC and Harmony Biosciences Management, Inc.</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Sleep/Wake Franchise</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designation for the treatment of EDS and cataplexy in patients with narcolepsy in April 2018. In August 2019, WAKIX was approved by the U.S. Food and Drug Administration (the “FDA”) for the treatment of EDS in adult patients with narcolepsy, and its U.S. commercial launch was initiated in November 2019. In October 2020, WAKIX was approved by the FDA for the treatment of cataplexy in adult patients with narcolepsy.</w:t>
      </w:r>
    </w:p>
    <w:p>
      <w:pPr>
        <w:spacing w:after="0" w:line="180"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We believe that pitolisant’s ability to regulate histamine mediated through histamine-3 receptor antagonist and inverse agonist activity gives it the potential to provide therapeutic benefit in other rare neurological diseases.</w:t>
      </w:r>
    </w:p>
    <w:p>
      <w:pPr>
        <w:spacing w:after="0" w:line="47"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focusing our development efforts on other rare neurological disorders in which EDS is a prominent symptom, including Prader-Willi Syndrome (“PWS”) and myotonic dystrophy type 1, otherwise known as dystrophia myotonica (“DM1”). Based on the positive signals from the data from our Phase 2 proof-of-concept signal detection clinical trial to evaluate pitolisant for the treatment of EDS and other key behavioral symptoms in patients with PWS, an End-of-Phase 2 meeting with the FDA was held in June 2023. We aligned with the FDA on the proposed Phase 3 registration study design to support further investigation of pitolisant as a potential treatment to address the unmet medical need for children, adolescents and adults with PWS experiencing EDS, for which there is currently no approved treatment. In October 2023, we received FDA alignment regarding the study design for the Phase 3 TEMPO study in patients with PWS, which has the potential to serve as the registrational trial and support our efforts to seek pediatric exclusivity for pitolisant. In February 2024, the FDA granted Orphan Drug designation to pitolisant for the treatment of PWS. The Phase 3 registrational trial, the TEMPO study, was initiated in the first quarter of 2024. In 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two most prominent non-muscular symptoms in patients with DM1. The safety profile of pitolisant in adult patients with DM1 was consistent with the established safety and tolerability profile of pitolisant with no new safety signals detected and no serious adverse events reported.</w:t>
      </w:r>
    </w:p>
    <w:p>
      <w:pPr>
        <w:spacing w:after="0" w:line="18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In January 2023, Bioprojet received a positive opinion from the EMA’s Committee for Medicinal Products for Human Use (“CHMP”)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In June 2024, we announced that the FDA approved our sNDA for WAKIX for the treatment of EDS in pediatric patients six years of age and older with narcolepsy. In addition, in June 2024, the FDA did not approve our sNDA seeking to expand the WAKIX label for the treatment of pediatric patients with cataplexy. In October 2024, we held a Type A meeting with the FDA to discuss the pediatric cataplexy indication and reached alignment on a path to sNDA resubmission, which was submitted in the third quarter of 2025. In February 2026, the FDA approved WAKIX for the treatment of cataplexy in patients six years and older with narcolepsy.</w:t>
      </w:r>
    </w:p>
    <w:p>
      <w:pPr>
        <w:spacing w:after="0" w:line="183"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remain committed to obtaining pediatric exclusivity for WAKIX. We believe the initiation of the PWS Phase 3 registrational trial, the TEMPO study, and our current data in pediatric narcolepsy, which resulted in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FDA’s approval of WAKIX in its current pediatric indication, are supportive of our efforts in obtaining pediatric exclusivity for WAKIX.</w:t>
      </w:r>
    </w:p>
    <w:p>
      <w:pPr>
        <w:spacing w:after="0" w:line="15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have expanded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Pitolisant GR and Pitolisant HD. Both formulations entered clinical studies in the fourth quarter of 2023. We received data from the Pitolisant GR pilot bioequivalence study, which supports further development of Pitolisant GR. We initiated the pivotal bioequivalence study in the first quarter of 2025. The topline data readout in the fourth quarter of 2025 showed pitolisant GR to be bioequivalent to WAKIX. In addition, we completed a dosing optimization study that supports initiating pitolisant GR at the therapeutic dose of 17.8mg without titration. We are on track to submit an NDA in the second quarter of 2026 and anticipate a PDUFA date for Pitolisant GR in the first quarter of 2027. We received data from the Pitolisant HD pilot pharmacokinetics study in June 2024, which also supports advancing this development program toward pivotal trials. We submitted an Investigational New Drug (“IND”) application for pitolisant HD with the FDA to initiate Phase 3 registrational trials in narcolepsy and idiopathic hypersomnia (“IH”) in the fourth quarter of 2025. After receiving “Study May Proceed” letters from the FDA, the Phase 3 registrational trial in narcolepsy, ONSTRIDE1, and the Phase 3 registrational trial in IH, ONSTRIDE2, were initiated. We anticipate topline data in 2027 and a potential PDUFA date in 2028. Utility patents have been filed for both of these formulations, with the potential for patent protection to the mid-2040’s.</w:t>
      </w:r>
    </w:p>
    <w:p>
      <w:pPr>
        <w:spacing w:after="0" w:line="19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(“BP-205”) to be evaluated for the treatment of narcolepsy and other potential indications (the “Sublicense”). Under the Sublicense, we have obtained the exclusive right to develop, manufacture and commercialize BP-205 in the United States and Latin American territories, which are rights that Bioprojet originally licensed from Teijin Pharma, the innovator of BP-205. In June 2025, we announced positive pre-clinical data demonstrating significant wake-promoting and cataplexy-suppressing effects in a standard transgenic mouse model of narcolepsy type 1, and presented safety data from the three month GLP toxicity studies in two different species. We filed an investigational medicinal product dossier (“IMPD”) with the EMA and began first-in-human studies in the fourth quarter of 2025 with topline data from the single ascending dose part of the study anticipated in 2026. We plan to submit a United States IND in mid-2026 and initiate a sleep-deprived healthy volunteer study in the second half of 2026.</w:t>
      </w:r>
    </w:p>
    <w:p>
      <w:pPr>
        <w:spacing w:after="0" w:line="18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June 2025, we entered into a research collaboration, option and license agreement (the “CiRC Agreement”) with a related party, CiRC Biosciences, Inc. (“CiRC”). Under this agreement, Harmony and CiRC will collaborate on the research and development of two discovery-stage candidates, CBS104 for refractory epilepsy and CBS105 for treatment-resistant narcolepsy (together the “Candidates”), using cell replacement therapy for the treatment of refractory epilepsies and treatment-resistant narcolepsy.</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we acquired HBS-102, a Melanin-concentrating hormone receptor type 1 (MCHR1) antagonist 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final report was received during the third quarter of 2024, and the results are consistent with the expected results. In addition, a 13-week toxicology study has been completed, and we believe the preliminary results are encouraging.</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exploring an opportunity to evaluate a novel amorphous form of pitolisant in larger CNS indications. Our current efforts are focused on formulation optimization with new modes of delivery and towards a Phase 1 PK study.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Rare Epilepsy Franchise</w:t>
      </w:r>
    </w:p>
    <w:p>
      <w:pPr>
        <w:spacing w:after="0" w:line="19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April 2024, we acquired all of the outstanding capital stock of Epygenix Therapeutics, Inc. (“Epygenix”), pursuant to the terms of a stock purchase agreement (the “Epygenix Agreement”). As a result, we now have an exclusive license relating to the use of clemizole (“EPX-100”) for the treatment of Dravet Syndrome (“DS”), Lennox-Gastaut Syndrome (“LGS”) and other developmental and epileptic encephalopathies (“DEEs”). Patients with both conditions often encounter severe refractory epilepsy and extreme co-morbidities or mortality without effective treatments, even with polypharmacy. As such, there is a recognized need for improved treatment options for both conditions. We believe the total addressable market for EPX-100 among patients with DS is approximately 5,000 people based on an estimated current DS prevalence of approximately 8,600 cases and approximately 7,000 diagnosed DS cases. We believe the total addressable market for EPX-100 among patients with LGS is approximately 35,000 people based on an estimated current LGS prevalence of approximately 48,000 cases and 44,000 diagnosed LGS cases. EPX-100 has been granted orphan drug designation and rare pediatric disease designation by the FDA for treatment of both DS and LGS. EPX-100 is currently in two Phase 3 registrational clinical trials, one for each of DS (the ARGUS Study) and LGS (the LIGHTHOUSE Study). We anticipate topline data in 2027 and a potential PDUFA date in 2028. In December 2025, we announced initial open-label extension data from the ARGUS Study, which showed clinically meaningful reductions in seizure activity in participants with DS and a favorable benefit-risk profile.</w:t>
      </w:r>
    </w:p>
    <w:p>
      <w:pPr>
        <w:spacing w:after="0" w:line="17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Additionally, we are currently developing a liquid formulation of lorcaserin, a selective 5HT-2C agonist, for the treatment of DEEs (“EPX-200”), another asset acquired pursuant to the terms of the Epygenix Agreement. EPX-200 is currently in the pre-IND phase.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March 31, 2026, we have continued to see growth in the number of unique healthcare professional (“HCP”) prescribers of WAKIX since it became available in November 2019. There are approximately 9,000 HCPs who treat patients living with narcolepsy, with approximately 4,000 enrolled in oxybate risk-evaluation and mitigation strategies. The average number of patients on WAKIX for the three months ended March 31, 2026, was approximately 8,500. Additionally, as of March 31, 2026, we have secured formulary access for more than 80% of all insured lives (Commercial, Medicare and Medicaid) in the United States.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includes gross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 different customer segments and/or changes in our estimates.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Sold</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Cost of product sold includes manufacturing and distribution costs, the cost of API, FDA program fees, royalties due to third parties on net product sales, freight, shipping, handling, storage costs, and salaries of employees involved with oversight of production. We expect the cost of product sold to increase as we continue to ramp up production in order to meet future demand for WAKIX and diversify our supply chain for WAKIX.</w:t>
      </w:r>
    </w:p>
    <w:p>
      <w:pPr>
        <w:spacing w:after="0" w:line="174"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7"/>
          <w:szCs w:val="17"/>
          <w:color w:val="auto"/>
        </w:rPr>
        <w:t>The shelf life of WAKIX is four years from the date of manufacture, with the earliest expiration of current inventory expected to be May 2027. We regularly review our inventory levels and expect write-offs from time to</w:t>
      </w:r>
    </w:p>
    <w:p>
      <w:pPr>
        <w:sectPr>
          <w:pgSz w:w="11900" w:h="16838" w:orient="portrait"/>
          <w:cols w:equalWidth="0" w:num="1">
            <w:col w:w="9019"/>
          </w:cols>
          <w:pgMar w:left="1440" w:top="512" w:right="1440"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time. We will continue to assess inventory levels in future periods as demand for WAKIX and the rate of inventory turnover evolves. We currently have adequate supply of WAKIX to cover demand into the fourth quarter of 2028, with additional API on-hand inventory to support at least 24 months beyond this time frame.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IH, PWS, and DM1 and the development of our product candidates EPX-100, EPX-200 Pitolisant GR, Pitolisant HD, BP-205 and HBS-102.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and add product candidates to expand our pipeline. Research and development expenses also include:</w:t>
      </w:r>
    </w:p>
    <w:p>
      <w:pPr>
        <w:spacing w:after="0" w:line="180" w:lineRule="exact"/>
        <w:rPr>
          <w:sz w:val="20"/>
          <w:szCs w:val="20"/>
          <w:color w:val="auto"/>
        </w:rPr>
      </w:pPr>
    </w:p>
    <w:p>
      <w:pPr>
        <w:ind w:left="1040" w:right="51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40" w:right="319" w:hanging="315"/>
        <w:spacing w:after="0" w:line="300" w:lineRule="auto"/>
        <w:tabs>
          <w:tab w:leader="none" w:pos="104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direct third-party costs such as expenses incurred under agreements with clinical research organizations (“CROs”), and contract development and manufacturing organizations (“CDMOs”);</w:t>
      </w:r>
    </w:p>
    <w:p>
      <w:pPr>
        <w:spacing w:after="0" w:line="131"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labelling of clinical supplies;</w:t>
      </w:r>
    </w:p>
    <w:p>
      <w:pPr>
        <w:spacing w:after="0" w:line="224" w:lineRule="exact"/>
        <w:rPr>
          <w:rFonts w:ascii="Times New Roman" w:cs="Times New Roman" w:eastAsia="Times New Roman" w:hAnsi="Times New Roman"/>
          <w:sz w:val="18"/>
          <w:szCs w:val="18"/>
          <w:color w:val="auto"/>
        </w:rPr>
      </w:pPr>
    </w:p>
    <w:p>
      <w:pPr>
        <w:ind w:left="1040" w:right="2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associated with the achievement of development and regulatory milestones;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acquired in-process research and development;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 significant portion of our research and development costs are external costs, such as fees paid to CROs and CDMOs, central laboratories, contractors, and consultants in connection with our clinical development programs. Internal expenses primarily relate to personnel who are deployed across multiple programs.</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in the current period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as we advance our current clinical development programs and prepare to seek regulatory approval for additional indications for pitolisant and Pitolisant GR, complete the Phase 3 clinical trials for EPX-100 and Pitolisant HD, and advance the development of BP-205, CBS105 and HBS-102 toward new indications.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product candidates that we move forward for regulatory approval. There are numerous risks and uncertainties associated with developing product candidates, including uncertainty related to:</w:t>
      </w:r>
    </w:p>
    <w:p>
      <w:pPr>
        <w:spacing w:after="0" w:line="154" w:lineRule="exact"/>
        <w:rPr>
          <w:sz w:val="20"/>
          <w:szCs w:val="20"/>
          <w:color w:val="auto"/>
        </w:rPr>
      </w:pPr>
    </w:p>
    <w:p>
      <w:pPr>
        <w:ind w:left="1040" w:right="11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patients six years and older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the treatment of EDS in pediatric patients 6 years of age and older with narcolepsy and to expand our portfolio with the anticipated growth from potential additional indications.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2"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Paragon Agreement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party to a right-of-use agreement with Paragon whereby we have access to and the right to use certain office space leased by Paragon in Chicago, Illinois. We paid fees of $0.1 million to Paragon related to rent for each of the three months ended March 31, 2026, and 2025, respectively.</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Interest expense consists primarily of interest expense on debt facilities, amortization of debt issuance costs and amortization of premiums on our debt securities.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Interest income consists primarily of cash interest earned on our cash and investment balances and accretion of the discount on our investments in debt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right="359" w:firstLine="648"/>
        <w:spacing w:after="0" w:line="255"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tbl>
      <w:tblPr>
        <w:tblLayout w:type="fixed"/>
        <w:tblInd w:w="60" w:type="dxa"/>
        <w:tblCellMar>
          <w:top w:w="0" w:type="dxa"/>
          <w:left w:w="0" w:type="dxa"/>
          <w:bottom w:w="0" w:type="dxa"/>
          <w:right w:w="0" w:type="dxa"/>
        </w:tblCellMar>
      </w:tblPr>
      <w:tr>
        <w:trPr>
          <w:trHeight w:val="160"/>
        </w:trPr>
        <w:tc>
          <w:tcPr>
            <w:tcW w:w="6580" w:type="dxa"/>
            <w:vAlign w:val="bottom"/>
            <w:vMerge w:val="restart"/>
          </w:tcPr>
          <w:p>
            <w:pPr>
              <w:ind w:left="64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2340" w:type="dxa"/>
            <w:vAlign w:val="bottom"/>
            <w:gridSpan w:val="7"/>
          </w:tcPr>
          <w:p>
            <w:pPr>
              <w:jc w:val="center"/>
              <w:ind w:right="10"/>
              <w:spacing w:after="0" w:line="159" w:lineRule="exact"/>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2026</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5"/>
          </w:tcPr>
          <w:p>
            <w:pPr>
              <w:jc w:val="center"/>
              <w:ind w:right="151"/>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24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215,387</w:t>
            </w: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184,733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44,512</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170,875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152,739</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left="75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69,383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31,694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30,711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32,507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133,584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96,494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37,291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5,757</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39,687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57,177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(7,199)</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32,488</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increased by $30.7 million, or 16.6%, for the three months ended March 31, 2026, compared to the same period in 2025. The increase for the three months ended March 31, 2026, was primarily due to a 12.1% increase in the number of units shipped and the impact of a 7% price increase partially offset by higher rebates of approximately 3.7%</w:t>
      </w:r>
      <w:r>
        <w:rPr>
          <w:rFonts w:ascii="Arial" w:cs="Arial" w:eastAsia="Arial" w:hAnsi="Arial"/>
          <w:sz w:val="18"/>
          <w:szCs w:val="18"/>
          <w:color w:val="212529"/>
        </w:rPr>
        <w:t>.</w:t>
      </w:r>
      <w:r>
        <w:rPr>
          <w:rFonts w:ascii="Arial" w:cs="Arial" w:eastAsia="Arial" w:hAnsi="Arial"/>
          <w:sz w:val="18"/>
          <w:szCs w:val="18"/>
          <w:color w:val="auto"/>
        </w:rPr>
        <w:t xml:space="preserve"> The price increase occurred in January 2026.</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Sold</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Cost of product sold increased by $ 12.5 million, or 39.1%, for the three months ended March 31, 2026, compared to the same period in 2025. Cost of product sold as a percentage of net product revenue was 20.7% for the three months ended March 31, 2026, compared to 17.3% for the three months ended March 31, 2025. The increase in cost of product sold was primarily due to higher royalties as a result of the increase in net product revenue of WAKIX. The increase in the cost of product sold as a percentage of net revenue was driven by new royalties related to the Novitium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our research and development expenses: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196"/>
        </w:trPr>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Pitolisant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EPX-100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8,159</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Pitolisant GR and Pitolisant HD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w:t>
            </w: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IPR&amp;D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32,000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32,000</w:t>
            </w: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2,365</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research and development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w:t>
            </w:r>
          </w:p>
        </w:tc>
      </w:tr>
      <w:tr>
        <w:trPr>
          <w:trHeight w:val="196"/>
        </w:trPr>
        <w:tc>
          <w:tcPr>
            <w:tcW w:w="41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69,383</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34,540</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34,843</w:t>
            </w: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increased by $34.8 million, or 100.9%, for the three months ended March 31, 2026, compared to the same period in 2025. The increase for the three months ended March 31, 2026, was primarily driven by IPR&amp;D charges of $32.0 million related to upfront license fee payments that occurred during the three months ended March 31, 2026, a combined $ 7.4 million increase in research and development expenses for EPX-100 and Pitolisant GR and HD as we progressed clinical trials and manufacturing, a $1.0 million increase associated with development of BP-205, a $0.8 million increase in personnel costs associated with higher headcount, a $0.1 million increase in stock compensation associated with new equity awards, and a $0.5 million increase in other research and development expenses offset by a $7.0 million decrease in clinical expenses as we phase out the ZYN002 program in FXS.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Sales and marketing expenses increased by $1.0 million, or 3.2%, for the three months ended March 31, 2026, compared to the same period in 2025. The increase for the three months ended March 31, 2026, was primarily due to a $2.6 million increase in patient engagement and marketing activities and a $0.5 million increase in personnel costs, offset by a $1.1 million decrease in travel and meeting expense and a $1.0 million decrease in stock compensation expense. The increase in patient engagement and marketing activities was driven by our continued growth of WAKIX and the increase in personnel costs was driven primarily by higher headcount.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increased by $1.3 million, or 4.0%, for the three months ended March 31, 2026, compared to the same period in 2025. The increase in the three months ended March 31, 2026, was primarily due to a $2.3 million increase in legal and professional fees, primarily associated with patent lawsuits and a $0.3 million increase in personnel costs associated with higher headcount offset by a $1.3 million decrease in stock compensation.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decreased by $0.6 million, or 15.7%, for the three months ended March 31, 2026, compared to the same period in 2025. The decrease for the three months ended March 31, 2026, was primarily due to lower average outstanding debt balances and lower interest rates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income increased by $0.7 million, or 14.1%, for the three months ended March 31, 2026, compared to the same period in 2025. The increase for the three months ended March 31, 2026, was primarily a result of having higher invested balances compared to the prior year.</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Income tax expense was $7.2 million, representing an 18.1% effective tax rate, for the three months ended March 31, 2026, compared to $ 11.6 million, representing a 20.3% effective tax rate, for the three months ended March 31, 2025. The decrease in our effective tax rate for the three months ended March 31, 2026, was primarily driven by an increase in the benefits from research and development and orphan drug credits. The effective tax rate of 18.1% for the three months ended March 31, 2026, included 1.3% in state income taxes offset by a 4.0% benefit from credits.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March 31, 2026, we had cash, cash equivalents, and investments of $870.5 million, outstanding debt of $160.0 million and retained earnings of $193.4 million.</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believe that our existing cash, cash equivalents and investments on hand as of March 31, 2026, will enable us to meet our operational liquidity needs and fund our potential investing activities for at least the next 12 months. We have based our liquidity and cash flow projections on assumptions that may prove to be incorrect, and we could use our capital resources sooner than we expect.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July 2023, we entered into a Credit Agreement (the “TLA Credit Agreement”) with JPMorgan Chase Bank, N.A., as “Administrative Agent”, and certain lenders, which was subsequently amended in September 2023. The TLA Credit Agreement, as amended, provides for a five-year senior secured term loan (the “TLA Term Loan”) in an aggregate principal amount of $200.0 million.</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the TLA Term Loan consists of $3.8 million quarterly principal payments, which commenced on December 31, 2023, increasing to $5.0 million quarterly principal payments beginning on December 31, 2025, with a $115.0 million payment due on the maturity date of July 26, 2028. The TLA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As of March 31, 2026, the Company had an event of default, which dated back to July 2025, related to a nonfinancial covenant due to a delay in a subsidiary joining the TLA Credit Agreement as a guarantor. On May 4, 2026, the Company entered into a Waiver and Consent Agreement with the Administrative Agent and certain lenders, whereby the event of default was waived. The Company has made all required principal and interest payments on time in connection with the TLA Credit Agreement and is in compliance with all covenants as of May 7, 2026, the date of issuance of these condensed consolidated financial statements.</w:t>
      </w:r>
    </w:p>
    <w:p>
      <w:pPr>
        <w:sectPr>
          <w:pgSz w:w="11900" w:h="16838" w:orient="portrait"/>
          <w:cols w:equalWidth="0" w:num="1">
            <w:col w:w="9019"/>
          </w:cols>
          <w:pgMar w:left="1440" w:top="512"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October 2023, our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months ended March 31, 2026, no shares of common stock were repurchased by the Company under the October 2023 Repurchase Program. As of March 31, 2026, the remaining amount of common stock authorized for repurchases was $150.0 million.</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Bioprojet Agreements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 Clinical Trial Application submission currently anticipated in the second half of 2025. Under the Sublicense, the Company paid Bioprojet an upfront license fee of $25.5 million. In November 2025, we achieved a clinical milestone for BP-205 that triggered a $ 4.3 million payment to Bioprojet under the Sublicense. We will also be obligated to pay up to $123.3 million upon achievement of other development and regulatory milestones and up to $240.0 million upon achievement of certain sales-based milestones, as well as royalty rates in the mid-teens on potential sales in the Licensed Territories.</w:t>
      </w:r>
    </w:p>
    <w:p>
      <w:pPr>
        <w:spacing w:after="0" w:line="2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2021, we entered into an asset purchase agreement with ConSynance Therapeutics, Inc. (the “APA”) to acquire HBS-102, a potential first-in-class molecule with a novel mechanism of action. Under the terms of the APA, we acquired full development and commercialization rights globally, with the exception of Greater China, for $3.5 million. In March 2023, we achieved a preclinical milestone, which triggered a $0.8 million payment under the provisions of the APA, which we recognized as an IPR&amp;D charge recorded in research and development within the consolidated statement of operations and comprehensive income for the year ended December 31, 2023. In September 2024, we achieved a milestone for preclinical proof-of concept, which triggered a $1.0 million payment under the provisions of the APA, which we recognized as an IPR&amp;D charge recorded in research and development within the consolidated statement of operations and comprehensive income for the year ended December 31, 2024. There are additional payments due upon the achievement of certain milestones, including $ 19.0 million for development milestones, $44.0 million for regulatory milestones and $110.0 million for sales milestones.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Epygenix Acquisition</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 April 2024, we acquired Epygenix, pursuant to the terms of a stock purchase agreement. In connection with the closing of the transaction, we paid the former stockholders of Epygenix up front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consideration of $35.0 million less a working capital adjustment. In addition, we will also be obligated to pay up to $130.0 million upon the achievement of development and regulatory milestones and up to $515.0 million upon the achievement of certain sales-based milestones, in each case to Epygenix’s former stockholders. As a result, the Company now has an exclusive license relating to the use of clemizole, initially for the treatment of DS and LGS.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CiRC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June 2025, we entered into a research collaboration, option and license agreement (the “CiRC Agreement”) with a related party, CiRC Biosciences, Inc. (“CiRC”). Under this agreement, we will collaborate on the research and development of two discovery-stage candidates (together the “Candidates”) using cell replacement therapy for the treatment of refractory epilepsies and treatment-resistant narcolepsy. As part of the CiRC Agreement, we paid CiRC an upfront fee of $15.0 million and we will also be obligated to pay $2.0 million upon the achievement of certain research milestones for each of the Candidates. In addition, we have an option to obtain an exclusive license for each of the Candidates that would grant us global rights to develop, manufacture and commercialize that Candidate. We would be obligated to pay an option exercise fee of $8.0 million, or $16.0 million in the aggregate if the options related to both Candidates were exercised, and we would be obligated upon achievement to pay future development, regulatory and sales-based milestones, as well as royalties on sales of any product derived from the Candidates.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Novitium Agreement</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January 2026, we entered into a license agreement (the “Novitium License Agreement”) with Novitium Pharma LLC (“Novitium”), which includes an exclusive license to additional intellectual property that will expand our patent estate, as well as a co-exclusive license, under which we intend to develop a new formulation of pitolisant in broad CNS indications outside of sleep/wake. Pursuant to the Novitium License Agreement, we paid an upfront license fee of $15.0 million, which was recognized as an IPR&amp;D charge recorded in research and development within the unaudited condensed consolidated statements of operations and comprehensive income for the three months ended March 31, 2026, and will also be obligated to pay up to $10.0 million upon the achievement of certain development milestones, as well as low single-digit royalties on net sales of pitolisant based products.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MSN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February 25, 2026 (the “MSN Effective Date”), we entered into a license agreement (the “MSN License Agreement”) with MSN Laboratories Private Limited (“MSN”), which includes an exclusive, royalty-bearing license, with the right to grant sublicenses, to additional intellectual property, including pending licensed patents, under which we intend to develop a new formulation of pitolisant in broad CNS indications outside of sleep/wake. Pursuant to the MSN License Agreement, we paid an upfront license fee of $17.0 million, which was recognized as an IPR&amp;D charge recorded in research and development within the unaudited condensed consolidated statements of operations and comprehensive income for the three months ended March 31, 2026. In addition, we will be obligated to pay $25.0 million upon approval of the pending licensed patents by the United States Patent and Trademark Office (“USPTO”), which amount we must deposit into an escrow account within nine months from the MSN Effective Date, and which will be returned us if approval by the USPTO does not occur by November 25, 2027. In addition, we will be obligated to pay low single-digit royalties on net sales of future products that include a new formulation of pitolisant</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Milestone Payments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November 2025, we achieved a clinical milestone for BP-205 that triggered a $4.3 million payment to Bioprojet under the Sublicense, which was paid in December 2025.</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212529"/>
        </w:rPr>
        <w:t>In September 2025, we achieved a clinical milestone for ZYN002 that triggered a $15.0 million payment to contingent value rights holders per the terms of our acquisition of Zynerba, which was paid in November 2025.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8"/>
          <w:szCs w:val="18"/>
          <w:color w:val="auto"/>
        </w:rPr>
        <w:t>The following table sets forth a summary of our cash flows for the three months ended March 31, 2026, and 2025:</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0" w:type="dxa"/>
            <w:vAlign w:val="bottom"/>
            <w:vMerge w:val="restart"/>
          </w:tcPr>
          <w:p>
            <w:pPr>
              <w:ind w:left="4860"/>
              <w:spacing w:after="0"/>
              <w:rPr>
                <w:sz w:val="20"/>
                <w:szCs w:val="20"/>
                <w:color w:val="auto"/>
              </w:rPr>
            </w:pPr>
            <w:r>
              <w:rPr>
                <w:rFonts w:ascii="Arial" w:cs="Arial" w:eastAsia="Arial" w:hAnsi="Arial"/>
                <w:sz w:val="14"/>
                <w:szCs w:val="14"/>
                <w:b w:val="1"/>
                <w:bCs w:val="1"/>
                <w:color w:val="auto"/>
              </w:rPr>
              <w:t>​​​</w:t>
            </w:r>
          </w:p>
        </w:tc>
        <w:tc>
          <w:tcPr>
            <w:tcW w:w="232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6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Selected cash flow data</w:t>
            </w:r>
          </w:p>
        </w:tc>
        <w:tc>
          <w:tcPr>
            <w:tcW w:w="180" w:type="dxa"/>
            <w:vAlign w:val="bottom"/>
          </w:tcPr>
          <w:p>
            <w:pPr>
              <w:spacing w:after="0"/>
              <w:rPr>
                <w:sz w:val="11"/>
                <w:szCs w:val="11"/>
                <w:color w:val="auto"/>
              </w:rPr>
            </w:pPr>
          </w:p>
        </w:tc>
        <w:tc>
          <w:tcPr>
            <w:tcW w:w="2080" w:type="dxa"/>
            <w:vAlign w:val="bottom"/>
            <w:gridSpan w:val="5"/>
          </w:tcPr>
          <w:p>
            <w:pPr>
              <w:jc w:val="right"/>
              <w:ind w:right="555"/>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27,760</w:t>
            </w:r>
          </w:p>
        </w:tc>
        <w:tc>
          <w:tcPr>
            <w:tcW w:w="80" w:type="dxa"/>
            <w:vAlign w:val="bottom"/>
          </w:tcPr>
          <w:p>
            <w:pPr>
              <w:spacing w:after="0"/>
              <w:rPr>
                <w:sz w:val="17"/>
                <w:szCs w:val="17"/>
                <w:color w:val="auto"/>
              </w:rPr>
            </w:pPr>
          </w:p>
        </w:tc>
        <w:tc>
          <w:tcPr>
            <w:tcW w:w="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33,987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(183,646)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Net cash provided by operating activities for the three months ended March 31, 2026, primarily consisted of net income of $32.5 million adjusted for non-cash items of $10.3 million related to stock-based compensation expense, $32.0 million related to acquired IPR&amp;D, $6.0 million related to intangible amortization and depreciation, offset by $3.9 million related to deferred tax assets. Net working capital excluding cash increased by $49.6 million, primarily driven by increases in accounts receivable due to higher net product revenue in the current period and a decrease in accrued expenses primarily from lower accrued royalties and legal and professional feels offset by an increase in accounts payable due to the timing of payments.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investing activities for the three months ended March 31, 2026, was $183.6 million, which was primarily attributable to $179.0 million in purchases of debt securities and $32.0 million in upfront license fees related to new license agreements, offset by $27.3 million from maturities of investments.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financing activities for the three months ended March 31, 2026, was $7.2 million, which primarily consisted of $5.0 million in principal payments associated with the TLA Credit Agreement and $2.6 million of employee withholding tax payments related to stock-based awards, partially offset by $0.3 million in proceeds from the exercise of stock options.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costs incurred under services type agreements related to the performance of research and development activities, the measurement of compensation expense pursuant to stock-based awards, the calculation of our income tax provision, and the determination of accounting treatment for our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business combinations.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Items Deducted from Gross Product Revenue</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Product revenue is recorded at the product’s list price and is reduced from the product’s list price at the time of recognition for variable consideration that is offered within contracts between us and our customers, payors, and other indirect customers relating to the sale of WAKIX. Components of variable consideration include government (as detailed below) and commercial contracts, commercial co-payment assistance program, and distribution service fees. These deductions are based on the amounts earned, or to be claimed on the related sales, and are classified as a current liability or reduction of receivables in our condensed consolidated balance sheet.</w:t>
      </w:r>
    </w:p>
    <w:p>
      <w:pPr>
        <w:spacing w:after="0" w:line="185"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provides a summary of activity and ending balances of our sales allowances and accruals for the three months ended March 31, 2026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Distribution Fees</w:t>
            </w:r>
          </w:p>
        </w:tc>
        <w:tc>
          <w:tcPr>
            <w:tcW w:w="2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Co-Pay</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&amp; Discounts</w:t>
            </w:r>
          </w:p>
        </w:tc>
        <w:tc>
          <w:tcPr>
            <w:tcW w:w="2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Assistance</w:t>
            </w:r>
          </w:p>
        </w:tc>
        <w:tc>
          <w:tcPr>
            <w:tcW w:w="18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Rebates</w:t>
            </w:r>
          </w:p>
        </w:tc>
        <w:tc>
          <w:tcPr>
            <w:tcW w:w="24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r>
      <w:tr>
        <w:trPr>
          <w:trHeight w:val="183"/>
        </w:trPr>
        <w:tc>
          <w:tcPr>
            <w:tcW w:w="33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Balance as of December 31, 2025</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center"/>
              <w:ind w:left="839"/>
              <w:spacing w:after="0" w:line="183" w:lineRule="exact"/>
              <w:rPr>
                <w:sz w:val="20"/>
                <w:szCs w:val="20"/>
                <w:color w:val="auto"/>
              </w:rPr>
            </w:pPr>
            <w:r>
              <w:rPr>
                <w:rFonts w:ascii="Arial" w:cs="Arial" w:eastAsia="Arial" w:hAnsi="Arial"/>
                <w:sz w:val="16"/>
                <w:szCs w:val="16"/>
                <w:color w:val="auto"/>
                <w:w w:val="99"/>
              </w:rPr>
              <w:t>2,984</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8,424</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center"/>
              <w:ind w:left="179"/>
              <w:spacing w:after="0" w:line="183" w:lineRule="exact"/>
              <w:rPr>
                <w:sz w:val="20"/>
                <w:szCs w:val="20"/>
                <w:color w:val="auto"/>
              </w:rPr>
            </w:pPr>
            <w:r>
              <w:rPr>
                <w:rFonts w:ascii="Arial" w:cs="Arial" w:eastAsia="Arial" w:hAnsi="Arial"/>
                <w:sz w:val="16"/>
                <w:szCs w:val="16"/>
                <w:color w:val="auto"/>
              </w:rPr>
              <w:t>70,015</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center"/>
              <w:ind w:left="79"/>
              <w:spacing w:after="0" w:line="183" w:lineRule="exact"/>
              <w:rPr>
                <w:sz w:val="20"/>
                <w:szCs w:val="20"/>
                <w:color w:val="auto"/>
              </w:rPr>
            </w:pPr>
            <w:r>
              <w:rPr>
                <w:rFonts w:ascii="Arial" w:cs="Arial" w:eastAsia="Arial" w:hAnsi="Arial"/>
                <w:sz w:val="16"/>
                <w:szCs w:val="16"/>
                <w:color w:val="auto"/>
              </w:rPr>
              <w:t>81,423</w:t>
            </w:r>
          </w:p>
        </w:tc>
      </w:tr>
      <w:tr>
        <w:trPr>
          <w:trHeight w:val="189"/>
        </w:trPr>
        <w:tc>
          <w:tcPr>
            <w:tcW w:w="3360" w:type="dxa"/>
            <w:vAlign w:val="bottom"/>
          </w:tcPr>
          <w:p>
            <w:pPr>
              <w:ind w:left="20"/>
              <w:spacing w:after="0"/>
              <w:rPr>
                <w:sz w:val="20"/>
                <w:szCs w:val="20"/>
                <w:color w:val="auto"/>
              </w:rPr>
            </w:pPr>
            <w:r>
              <w:rPr>
                <w:rFonts w:ascii="Arial" w:cs="Arial" w:eastAsia="Arial" w:hAnsi="Arial"/>
                <w:sz w:val="16"/>
                <w:szCs w:val="16"/>
                <w:color w:val="auto"/>
              </w:rPr>
              <w:t>Provision, net</w:t>
            </w:r>
          </w:p>
        </w:tc>
        <w:tc>
          <w:tcPr>
            <w:tcW w:w="160" w:type="dxa"/>
            <w:vAlign w:val="bottom"/>
          </w:tcPr>
          <w:p>
            <w:pPr>
              <w:spacing w:after="0"/>
              <w:rPr>
                <w:sz w:val="16"/>
                <w:szCs w:val="16"/>
                <w:color w:val="auto"/>
              </w:rPr>
            </w:pPr>
          </w:p>
        </w:tc>
        <w:tc>
          <w:tcPr>
            <w:tcW w:w="1480" w:type="dxa"/>
            <w:vAlign w:val="bottom"/>
          </w:tcPr>
          <w:p>
            <w:pPr>
              <w:jc w:val="center"/>
              <w:ind w:left="839"/>
              <w:spacing w:after="0"/>
              <w:rPr>
                <w:sz w:val="20"/>
                <w:szCs w:val="20"/>
                <w:color w:val="auto"/>
              </w:rPr>
            </w:pPr>
            <w:r>
              <w:rPr>
                <w:rFonts w:ascii="Arial" w:cs="Arial" w:eastAsia="Arial" w:hAnsi="Arial"/>
                <w:sz w:val="16"/>
                <w:szCs w:val="16"/>
                <w:color w:val="auto"/>
                <w:w w:val="99"/>
              </w:rPr>
              <w:t>6,825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14,856</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left="179"/>
              <w:spacing w:after="0"/>
              <w:rPr>
                <w:sz w:val="20"/>
                <w:szCs w:val="20"/>
                <w:color w:val="auto"/>
              </w:rPr>
            </w:pPr>
            <w:r>
              <w:rPr>
                <w:rFonts w:ascii="Arial" w:cs="Arial" w:eastAsia="Arial" w:hAnsi="Arial"/>
                <w:sz w:val="16"/>
                <w:szCs w:val="16"/>
                <w:color w:val="auto"/>
              </w:rPr>
              <w:t>65,239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ind w:left="79"/>
              <w:spacing w:after="0"/>
              <w:rPr>
                <w:sz w:val="20"/>
                <w:szCs w:val="20"/>
                <w:color w:val="auto"/>
              </w:rPr>
            </w:pPr>
            <w:r>
              <w:rPr>
                <w:rFonts w:ascii="Arial" w:cs="Arial" w:eastAsia="Arial" w:hAnsi="Arial"/>
                <w:sz w:val="16"/>
                <w:szCs w:val="16"/>
                <w:color w:val="auto"/>
              </w:rPr>
              <w:t>86,920</w:t>
            </w: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Payments/Credits</w:t>
            </w:r>
          </w:p>
        </w:tc>
        <w:tc>
          <w:tcPr>
            <w:tcW w:w="1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center"/>
              <w:ind w:left="719"/>
              <w:spacing w:after="0"/>
              <w:rPr>
                <w:sz w:val="20"/>
                <w:szCs w:val="20"/>
                <w:color w:val="auto"/>
              </w:rPr>
            </w:pPr>
            <w:r>
              <w:rPr>
                <w:rFonts w:ascii="Arial" w:cs="Arial" w:eastAsia="Arial" w:hAnsi="Arial"/>
                <w:sz w:val="16"/>
                <w:szCs w:val="16"/>
                <w:color w:val="auto"/>
              </w:rPr>
              <w:t>(6,909)</w:t>
            </w: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(18,097)</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(60,828)</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(85,834)</w:t>
            </w:r>
          </w:p>
        </w:tc>
      </w:tr>
      <w:tr>
        <w:trPr>
          <w:trHeight w:val="183"/>
        </w:trPr>
        <w:tc>
          <w:tcPr>
            <w:tcW w:w="3360" w:type="dxa"/>
            <w:vAlign w:val="bottom"/>
          </w:tcPr>
          <w:p>
            <w:pPr>
              <w:ind w:left="20"/>
              <w:spacing w:after="0" w:line="183" w:lineRule="exact"/>
              <w:rPr>
                <w:sz w:val="20"/>
                <w:szCs w:val="20"/>
                <w:color w:val="auto"/>
              </w:rPr>
            </w:pPr>
            <w:r>
              <w:rPr>
                <w:rFonts w:ascii="Arial" w:cs="Arial" w:eastAsia="Arial" w:hAnsi="Arial"/>
                <w:sz w:val="16"/>
                <w:szCs w:val="16"/>
                <w:color w:val="auto"/>
              </w:rPr>
              <w:t>Balance as of March 31, 2026</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center"/>
              <w:ind w:left="839"/>
              <w:spacing w:after="0" w:line="183" w:lineRule="exact"/>
              <w:rPr>
                <w:sz w:val="20"/>
                <w:szCs w:val="20"/>
                <w:color w:val="auto"/>
              </w:rPr>
            </w:pPr>
            <w:r>
              <w:rPr>
                <w:rFonts w:ascii="Arial" w:cs="Arial" w:eastAsia="Arial" w:hAnsi="Arial"/>
                <w:sz w:val="16"/>
                <w:szCs w:val="16"/>
                <w:color w:val="auto"/>
                <w:w w:val="99"/>
              </w:rPr>
              <w:t>2,900</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5,183</w:t>
            </w: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center"/>
              <w:ind w:left="179"/>
              <w:spacing w:after="0" w:line="183" w:lineRule="exact"/>
              <w:rPr>
                <w:sz w:val="20"/>
                <w:szCs w:val="20"/>
                <w:color w:val="auto"/>
              </w:rPr>
            </w:pPr>
            <w:r>
              <w:rPr>
                <w:rFonts w:ascii="Arial" w:cs="Arial" w:eastAsia="Arial" w:hAnsi="Arial"/>
                <w:sz w:val="16"/>
                <w:szCs w:val="16"/>
                <w:color w:val="auto"/>
              </w:rPr>
              <w:t>74,426</w:t>
            </w: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center"/>
              <w:ind w:left="79"/>
              <w:spacing w:after="0" w:line="183" w:lineRule="exact"/>
              <w:rPr>
                <w:sz w:val="20"/>
                <w:szCs w:val="20"/>
                <w:color w:val="auto"/>
              </w:rPr>
            </w:pPr>
            <w:r>
              <w:rPr>
                <w:rFonts w:ascii="Arial" w:cs="Arial" w:eastAsia="Arial" w:hAnsi="Arial"/>
                <w:sz w:val="16"/>
                <w:szCs w:val="16"/>
                <w:color w:val="auto"/>
              </w:rPr>
              <w:t>82,509</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Included in these amounts are immaterial adjustments related to prior-year sales due to changes in estimates.</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699" w:firstLine="648"/>
        <w:spacing w:after="0" w:line="271"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w:t>
      </w:r>
    </w:p>
    <w:p>
      <w:pPr>
        <w:sectPr>
          <w:pgSz w:w="11900" w:h="16838" w:orient="portrait"/>
          <w:cols w:equalWidth="0" w:num="1">
            <w:col w:w="9019"/>
          </w:cols>
          <w:pgMar w:left="1440" w:top="512"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is interest income sensitivity, which is affected by changes in the general level of U.S. interest rates. Based on our $472.4 million of investments in money market funds, U.S. treasury notes, corporate bonds and municipal obligations as of March 31, 2026, an immediate 10% change in market interest rates would not have a material impact on the fair market value of our investment portfolio or on our financial position or results of operations.</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March 31, 2026, we had $160.0 million in borrowings outstanding. The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$160.0 million of principal outstanding as of March 31, 2026, an immediate 10% change in the Term SOFR would not have a material impact on our debt-related obligations, financial position or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Inflation may affect us by potentially increasing costs such as labor and our clinical trial costs. We do not believe that inflation had a material effect on our business, financial condition or results of operations for each of the three months ended March 31, 2026, and 2025.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March 31, 2026. Based on that evaluation, our principal executive officer and principal financial officer concluded that, as of March 31, 2026, our disclosure controls and procedures were effective at the reasonable assurance level.</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Refer to Part I, Item I, Note 12 “Commitments and Contingencies,” of this Quarterly Report for a full description of our material pending legal matters.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2025,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 As of March 31, 2026, there have been no material changes from the risk factors previously disclosed in response to Item 1A of Part I of our Annual Report on Form 10-K for the year ended December 31, 2025.</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Discussion of defaults under our TLA Credit Agreement is incorporated by reference from Part I, Item 1, Note 10 – Debt of this Quarterly Report on Form 10-Q, and should be considered an integral part of Part II, Item 3, “Defaults Upon Senior Securities.”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jc w:val="both"/>
        <w:ind w:left="1040" w:right="79" w:hanging="315"/>
        <w:spacing w:after="0" w:line="24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three months ended March 31, 2026, no director or officer (as defined in Rule 16a-1(f) under the Exchange Act) of the Company adopted or terminated a “Rule 10b5-1 trading arrangement” and/or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5"/>
        </w:trPr>
        <w:tc>
          <w:tcPr>
            <w:tcW w:w="980" w:type="dxa"/>
            <w:vAlign w:val="bottom"/>
          </w:tcPr>
          <w:p>
            <w:pPr>
              <w:ind w:left="380"/>
              <w:spacing w:after="0" w:line="155" w:lineRule="exact"/>
              <w:rPr>
                <w:sz w:val="20"/>
                <w:szCs w:val="20"/>
                <w:color w:val="auto"/>
              </w:rPr>
            </w:pPr>
            <w:r>
              <w:rPr>
                <w:rFonts w:ascii="Arial" w:cs="Arial" w:eastAsia="Arial" w:hAnsi="Arial"/>
                <w:sz w:val="14"/>
                <w:szCs w:val="14"/>
                <w:b w:val="1"/>
                <w:bCs w:val="1"/>
                <w:color w:val="auto"/>
              </w:rPr>
              <w:t>No.</w:t>
            </w:r>
          </w:p>
        </w:tc>
        <w:tc>
          <w:tcPr>
            <w:tcW w:w="1780" w:type="dxa"/>
            <w:vAlign w:val="bottom"/>
            <w:gridSpan w:val="5"/>
          </w:tcPr>
          <w:p>
            <w:pPr>
              <w:ind w:left="80"/>
              <w:spacing w:after="0" w:line="155" w:lineRule="exact"/>
              <w:rPr>
                <w:sz w:val="20"/>
                <w:szCs w:val="20"/>
                <w:color w:val="auto"/>
              </w:rPr>
            </w:pPr>
            <w:r>
              <w:rPr>
                <w:rFonts w:ascii="Arial" w:cs="Arial" w:eastAsia="Arial" w:hAnsi="Arial"/>
                <w:sz w:val="14"/>
                <w:szCs w:val="14"/>
                <w:color w:val="auto"/>
              </w:rPr>
              <w:t>​​​</w:t>
            </w:r>
          </w:p>
        </w:tc>
        <w:tc>
          <w:tcPr>
            <w:tcW w:w="3020" w:type="dxa"/>
            <w:vAlign w:val="bottom"/>
            <w:gridSpan w:val="20"/>
          </w:tcPr>
          <w:p>
            <w:pPr>
              <w:ind w:left="40"/>
              <w:spacing w:after="0" w:line="155" w:lineRule="exact"/>
              <w:rPr>
                <w:sz w:val="20"/>
                <w:szCs w:val="20"/>
                <w:color w:val="auto"/>
              </w:rPr>
            </w:pPr>
            <w:r>
              <w:rPr>
                <w:rFonts w:ascii="Arial" w:cs="Arial" w:eastAsia="Arial" w:hAnsi="Arial"/>
                <w:sz w:val="14"/>
                <w:szCs w:val="14"/>
                <w:b w:val="1"/>
                <w:bCs w:val="1"/>
                <w:color w:val="auto"/>
              </w:rPr>
              <w:t>Exhibit Description</w:t>
            </w:r>
          </w:p>
        </w:tc>
        <w:tc>
          <w:tcPr>
            <w:tcW w:w="7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Form</w:t>
            </w:r>
          </w:p>
        </w:tc>
        <w:tc>
          <w:tcPr>
            <w:tcW w:w="180" w:type="dxa"/>
            <w:vAlign w:val="bottom"/>
          </w:tcPr>
          <w:p>
            <w:pPr>
              <w:spacing w:after="0"/>
              <w:rPr>
                <w:sz w:val="13"/>
                <w:szCs w:val="13"/>
                <w:color w:val="auto"/>
              </w:rPr>
            </w:pPr>
          </w:p>
        </w:tc>
        <w:tc>
          <w:tcPr>
            <w:tcW w:w="2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1180" w:type="dxa"/>
            <w:vAlign w:val="bottom"/>
          </w:tcPr>
          <w:p>
            <w:pPr>
              <w:jc w:val="center"/>
              <w:ind w:right="8"/>
              <w:spacing w:after="0" w:line="155"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ind w:left="80"/>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2"/>
        </w:trPr>
        <w:tc>
          <w:tcPr>
            <w:tcW w:w="98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auto"/>
            </w:tcBorders>
            <w:gridSpan w:val="23"/>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Agreement and Plan of Merger, dated August 14, 2023, by and among</w:t>
              </w:r>
            </w:hyperlink>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ind w:left="88"/>
              <w:spacing w:after="0" w:line="142" w:lineRule="exact"/>
              <w:rPr>
                <w:sz w:val="20"/>
                <w:szCs w:val="20"/>
                <w:color w:val="auto"/>
              </w:rPr>
            </w:pPr>
            <w:r>
              <w:rPr>
                <w:rFonts w:ascii="Arial" w:cs="Arial" w:eastAsia="Arial" w:hAnsi="Arial"/>
                <w:sz w:val="14"/>
                <w:szCs w:val="14"/>
                <w:color w:val="auto"/>
              </w:rPr>
              <w:t>8-K/A</w:t>
            </w:r>
          </w:p>
        </w:tc>
        <w:tc>
          <w:tcPr>
            <w:tcW w:w="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color w:val="auto"/>
              </w:rPr>
              <w:t>September 14,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tcBorders>
              <w:top w:val="single" w:sz="8" w:color="0000EE"/>
            </w:tcBorders>
            <w:gridSpan w:val="20"/>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Harmony Biosciences Holdings, Inc., Xylophone Acquisition Corp.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center"/>
              <w:ind w:right="28"/>
              <w:spacing w:after="0" w:line="142" w:lineRule="exact"/>
              <w:rPr>
                <w:sz w:val="20"/>
                <w:szCs w:val="20"/>
                <w:color w:val="auto"/>
              </w:rPr>
            </w:pPr>
            <w:r>
              <w:rPr>
                <w:rFonts w:ascii="Arial" w:cs="Arial" w:eastAsia="Arial" w:hAnsi="Arial"/>
                <w:sz w:val="14"/>
                <w:szCs w:val="14"/>
                <w:color w:val="auto"/>
              </w:rPr>
              <w:t>2023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300"/>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4480" w:type="dxa"/>
            <w:vAlign w:val="bottom"/>
            <w:tcBorders>
              <w:top w:val="single" w:sz="8" w:color="0000EE"/>
            </w:tcBorders>
            <w:gridSpan w:val="18"/>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Zynerba Pharmaceuticals, Inc.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gridSpan w:val="24"/>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Amended and Restated Certificate of Incorporation of Harmony</w:t>
              </w:r>
            </w:hyperlink>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300"/>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4020" w:type="dxa"/>
            <w:vAlign w:val="bottom"/>
            <w:tcBorders>
              <w:top w:val="single" w:sz="8" w:color="0000EE"/>
            </w:tcBorders>
            <w:gridSpan w:val="11"/>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Biosciences Holdings, Inc.</w:t>
              </w:r>
            </w:hyperlink>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top w:val="single" w:sz="8" w:color="0000EE"/>
            </w:tcBorders>
            <w:gridSpan w:val="5"/>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Amended and Restated</w:t>
              </w:r>
            </w:hyperlink>
          </w:p>
        </w:tc>
        <w:tc>
          <w:tcPr>
            <w:tcW w:w="2960" w:type="dxa"/>
            <w:vAlign w:val="bottom"/>
            <w:gridSpan w:val="19"/>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Bylaws.</w:t>
              </w:r>
            </w:hyperlink>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ind w:left="220"/>
              <w:spacing w:after="0" w:line="142" w:lineRule="exact"/>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2060" w:type="dxa"/>
            <w:vAlign w:val="bottom"/>
            <w:tcBorders>
              <w:top w:val="single" w:sz="8" w:color="0000EE"/>
            </w:tcBorders>
            <w:gridSpan w:val="7"/>
          </w:tcPr>
          <w:p>
            <w:pPr>
              <w:spacing w:after="0" w:line="142" w:lineRule="exact"/>
              <w:rPr>
                <w:rFonts w:ascii="Arial" w:cs="Arial" w:eastAsia="Arial" w:hAnsi="Arial"/>
                <w:sz w:val="14"/>
                <w:szCs w:val="14"/>
                <w:color w:val="0000EE"/>
                <w:w w:val="94"/>
              </w:rPr>
            </w:pPr>
            <w:hyperlink r:id="rId61">
              <w:r>
                <w:rPr>
                  <w:rFonts w:ascii="Arial" w:cs="Arial" w:eastAsia="Arial" w:hAnsi="Arial"/>
                  <w:sz w:val="14"/>
                  <w:szCs w:val="14"/>
                  <w:color w:val="0000EE"/>
                  <w:w w:val="94"/>
                </w:rPr>
                <w:t>Executive Employment Agreement</w:t>
              </w:r>
            </w:hyperlink>
          </w:p>
        </w:tc>
        <w:tc>
          <w:tcPr>
            <w:tcW w:w="2580" w:type="dxa"/>
            <w:vAlign w:val="bottom"/>
            <w:gridSpan w:val="17"/>
          </w:tcPr>
          <w:p>
            <w:pPr>
              <w:ind w:left="200"/>
              <w:spacing w:after="0" w:line="142" w:lineRule="exact"/>
              <w:rPr>
                <w:rFonts w:ascii="Arial" w:cs="Arial" w:eastAsia="Arial" w:hAnsi="Arial"/>
                <w:sz w:val="14"/>
                <w:szCs w:val="14"/>
                <w:color w:val="0000EE"/>
              </w:rPr>
            </w:pPr>
            <w:hyperlink r:id="rId61">
              <w:r>
                <w:rPr>
                  <w:rFonts w:ascii="Arial" w:cs="Arial" w:eastAsia="Arial" w:hAnsi="Arial"/>
                  <w:sz w:val="14"/>
                  <w:szCs w:val="14"/>
                  <w:color w:val="0000EE"/>
                </w:rPr>
                <w:t>between Harmony Biosciences</w:t>
              </w:r>
            </w:hyperlink>
          </w:p>
        </w:tc>
        <w:tc>
          <w:tcPr>
            <w:tcW w:w="160" w:type="dxa"/>
            <w:vAlign w:val="bottom"/>
          </w:tcPr>
          <w:p>
            <w:pPr>
              <w:spacing w:after="0"/>
              <w:rPr>
                <w:sz w:val="12"/>
                <w:szCs w:val="12"/>
                <w:color w:val="auto"/>
              </w:rPr>
            </w:pPr>
          </w:p>
        </w:tc>
        <w:tc>
          <w:tcPr>
            <w:tcW w:w="560" w:type="dxa"/>
            <w:vAlign w:val="bottom"/>
          </w:tcPr>
          <w:p>
            <w:pPr>
              <w:jc w:val="center"/>
              <w:ind w:left="88"/>
              <w:spacing w:after="0" w:line="142" w:lineRule="exact"/>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center"/>
              <w:ind w:right="8"/>
              <w:spacing w:after="0" w:line="142" w:lineRule="exact"/>
              <w:rPr>
                <w:sz w:val="20"/>
                <w:szCs w:val="20"/>
                <w:color w:val="auto"/>
              </w:rPr>
            </w:pPr>
            <w:r>
              <w:rPr>
                <w:rFonts w:ascii="Arial" w:cs="Arial" w:eastAsia="Arial" w:hAnsi="Arial"/>
                <w:sz w:val="14"/>
                <w:szCs w:val="14"/>
                <w:color w:val="auto"/>
              </w:rPr>
              <w:t>April 2, 2026</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2"/>
                <w:szCs w:val="12"/>
                <w:color w:val="auto"/>
              </w:rPr>
            </w:pPr>
          </w:p>
        </w:tc>
        <w:tc>
          <w:tcPr>
            <w:tcW w:w="4220" w:type="dxa"/>
            <w:vAlign w:val="bottom"/>
            <w:tcBorders>
              <w:top w:val="single" w:sz="8" w:color="0000EE"/>
            </w:tcBorders>
            <w:gridSpan w:val="12"/>
          </w:tcPr>
          <w:p>
            <w:pPr>
              <w:spacing w:after="0" w:line="142" w:lineRule="exact"/>
              <w:rPr>
                <w:rFonts w:ascii="Arial" w:cs="Arial" w:eastAsia="Arial" w:hAnsi="Arial"/>
                <w:sz w:val="14"/>
                <w:szCs w:val="14"/>
                <w:color w:val="0000EE"/>
              </w:rPr>
            </w:pPr>
            <w:hyperlink r:id="rId61">
              <w:r>
                <w:rPr>
                  <w:rFonts w:ascii="Arial" w:cs="Arial" w:eastAsia="Arial" w:hAnsi="Arial"/>
                  <w:sz w:val="14"/>
                  <w:szCs w:val="14"/>
                  <w:color w:val="0000EE"/>
                </w:rPr>
                <w:t>Management, Inc. and Peter Anastasiou, dated April 2, 2026.</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restart"/>
          </w:tcPr>
          <w:p>
            <w:pPr>
              <w:jc w:val="center"/>
              <w:ind w:right="8"/>
              <w:spacing w:after="0"/>
              <w:rPr>
                <w:sz w:val="20"/>
                <w:szCs w:val="20"/>
                <w:color w:val="auto"/>
              </w:rPr>
            </w:pPr>
            <w:r>
              <w:rPr>
                <w:rFonts w:ascii="Arial" w:cs="Arial" w:eastAsia="Arial" w:hAnsi="Arial"/>
                <w:sz w:val="14"/>
                <w:szCs w:val="14"/>
                <w:color w:val="auto"/>
              </w:rPr>
              <w:t>April 14, 2026</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900" w:type="dxa"/>
            <w:vAlign w:val="bottom"/>
            <w:tcBorders>
              <w:top w:val="single" w:sz="8" w:color="0000EE"/>
            </w:tcBorders>
            <w:gridSpan w:val="10"/>
          </w:tcPr>
          <w:p>
            <w:pPr>
              <w:spacing w:after="0" w:line="142" w:lineRule="exact"/>
              <w:rPr>
                <w:rFonts w:ascii="Arial" w:cs="Arial" w:eastAsia="Arial" w:hAnsi="Arial"/>
                <w:sz w:val="14"/>
                <w:szCs w:val="14"/>
                <w:color w:val="0000EE"/>
              </w:rPr>
            </w:pPr>
            <w:hyperlink r:id="rId62">
              <w:r>
                <w:rPr>
                  <w:rFonts w:ascii="Arial" w:cs="Arial" w:eastAsia="Arial" w:hAnsi="Arial"/>
                  <w:sz w:val="14"/>
                  <w:szCs w:val="14"/>
                  <w:color w:val="0000EE"/>
                </w:rPr>
                <w:t>Separation Agreement by and between Harmony Biosciences</w:t>
              </w:r>
            </w:hyperlink>
          </w:p>
        </w:tc>
        <w:tc>
          <w:tcPr>
            <w:tcW w:w="740" w:type="dxa"/>
            <w:vAlign w:val="bottom"/>
            <w:gridSpan w:val="14"/>
          </w:tcPr>
          <w:p>
            <w:pPr>
              <w:ind w:left="60"/>
              <w:spacing w:after="0" w:line="142" w:lineRule="exact"/>
              <w:rPr>
                <w:rFonts w:ascii="Arial" w:cs="Arial" w:eastAsia="Arial" w:hAnsi="Arial"/>
                <w:sz w:val="14"/>
                <w:szCs w:val="14"/>
                <w:color w:val="0000EE"/>
              </w:rPr>
            </w:pPr>
            <w:hyperlink r:id="rId62">
              <w:r>
                <w:rPr>
                  <w:rFonts w:ascii="Arial" w:cs="Arial" w:eastAsia="Arial" w:hAnsi="Arial"/>
                  <w:sz w:val="14"/>
                  <w:szCs w:val="14"/>
                  <w:color w:val="0000EE"/>
                </w:rPr>
                <w:t>Holdings,</w:t>
              </w:r>
            </w:hyperlink>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80" w:type="dxa"/>
            <w:vAlign w:val="bottom"/>
            <w:tcBorders>
              <w:top w:val="single" w:sz="8" w:color="0000EE"/>
            </w:tcBorders>
            <w:gridSpan w:val="23"/>
          </w:tcPr>
          <w:p>
            <w:pPr>
              <w:spacing w:after="0" w:line="142" w:lineRule="exact"/>
              <w:rPr>
                <w:rFonts w:ascii="Arial" w:cs="Arial" w:eastAsia="Arial" w:hAnsi="Arial"/>
                <w:sz w:val="14"/>
                <w:szCs w:val="14"/>
                <w:color w:val="0000EE"/>
              </w:rPr>
            </w:pPr>
            <w:hyperlink r:id="rId62">
              <w:r>
                <w:rPr>
                  <w:rFonts w:ascii="Arial" w:cs="Arial" w:eastAsia="Arial" w:hAnsi="Arial"/>
                  <w:sz w:val="14"/>
                  <w:szCs w:val="14"/>
                  <w:color w:val="0000EE"/>
                </w:rPr>
                <w:t>Inc., Harmony Biosciences Management, Inc., and Sandip Kapadia,</w:t>
              </w:r>
            </w:hyperlink>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2"/>
                <w:szCs w:val="12"/>
                <w:color w:val="auto"/>
              </w:rPr>
            </w:pPr>
          </w:p>
        </w:tc>
        <w:tc>
          <w:tcPr>
            <w:tcW w:w="1620" w:type="dxa"/>
            <w:vAlign w:val="bottom"/>
            <w:tcBorders>
              <w:top w:val="single" w:sz="8" w:color="0000EE"/>
            </w:tcBorders>
            <w:gridSpan w:val="4"/>
          </w:tcPr>
          <w:p>
            <w:pPr>
              <w:spacing w:after="0" w:line="142" w:lineRule="exact"/>
              <w:rPr>
                <w:rFonts w:ascii="Arial" w:cs="Arial" w:eastAsia="Arial" w:hAnsi="Arial"/>
                <w:sz w:val="14"/>
                <w:szCs w:val="14"/>
                <w:color w:val="0000EE"/>
              </w:rPr>
            </w:pPr>
            <w:hyperlink r:id="rId62">
              <w:r>
                <w:rPr>
                  <w:rFonts w:ascii="Arial" w:cs="Arial" w:eastAsia="Arial" w:hAnsi="Arial"/>
                  <w:sz w:val="14"/>
                  <w:szCs w:val="14"/>
                  <w:color w:val="0000EE"/>
                </w:rPr>
                <w:t>dated April 14, 2026.</w:t>
              </w:r>
            </w:hyperlink>
          </w:p>
        </w:tc>
        <w:tc>
          <w:tcPr>
            <w:tcW w:w="6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7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restart"/>
          </w:tcPr>
          <w:p>
            <w:pPr>
              <w:jc w:val="center"/>
              <w:ind w:right="8"/>
              <w:spacing w:after="0"/>
              <w:rPr>
                <w:sz w:val="20"/>
                <w:szCs w:val="20"/>
                <w:color w:val="auto"/>
              </w:rPr>
            </w:pPr>
            <w:r>
              <w:rPr>
                <w:rFonts w:ascii="Arial" w:cs="Arial" w:eastAsia="Arial" w:hAnsi="Arial"/>
                <w:sz w:val="14"/>
                <w:szCs w:val="14"/>
                <w:color w:val="auto"/>
              </w:rPr>
              <w:t>April 14, 2026</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Borders>
              <w:top w:val="single" w:sz="8" w:color="0000EE"/>
            </w:tcBorders>
            <w:gridSpan w:val="3"/>
          </w:tcPr>
          <w:p>
            <w:pPr>
              <w:spacing w:after="0" w:line="142" w:lineRule="exact"/>
              <w:rPr>
                <w:rFonts w:ascii="Arial" w:cs="Arial" w:eastAsia="Arial" w:hAnsi="Arial"/>
                <w:sz w:val="14"/>
                <w:szCs w:val="14"/>
                <w:color w:val="0000EE"/>
                <w:w w:val="92"/>
              </w:rPr>
            </w:pPr>
            <w:hyperlink r:id="rId63">
              <w:r>
                <w:rPr>
                  <w:rFonts w:ascii="Arial" w:cs="Arial" w:eastAsia="Arial" w:hAnsi="Arial"/>
                  <w:sz w:val="14"/>
                  <w:szCs w:val="14"/>
                  <w:color w:val="0000EE"/>
                  <w:w w:val="92"/>
                </w:rPr>
                <w:t>Executive Employment</w:t>
              </w:r>
            </w:hyperlink>
          </w:p>
        </w:tc>
        <w:tc>
          <w:tcPr>
            <w:tcW w:w="3300" w:type="dxa"/>
            <w:vAlign w:val="bottom"/>
            <w:gridSpan w:val="21"/>
          </w:tcPr>
          <w:p>
            <w:pPr>
              <w:ind w:left="160"/>
              <w:spacing w:after="0" w:line="142" w:lineRule="exact"/>
              <w:rPr>
                <w:rFonts w:ascii="Arial" w:cs="Arial" w:eastAsia="Arial" w:hAnsi="Arial"/>
                <w:sz w:val="14"/>
                <w:szCs w:val="14"/>
                <w:color w:val="0000EE"/>
              </w:rPr>
            </w:pPr>
            <w:hyperlink r:id="rId63">
              <w:r>
                <w:rPr>
                  <w:rFonts w:ascii="Arial" w:cs="Arial" w:eastAsia="Arial" w:hAnsi="Arial"/>
                  <w:sz w:val="14"/>
                  <w:szCs w:val="14"/>
                  <w:color w:val="0000EE"/>
                </w:rPr>
                <w:t>Agreement by and between Harmony</w:t>
              </w:r>
            </w:hyperlink>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3880" w:type="dxa"/>
            <w:vAlign w:val="bottom"/>
            <w:tcBorders>
              <w:top w:val="single" w:sz="8" w:color="0000EE"/>
            </w:tcBorders>
            <w:gridSpan w:val="9"/>
          </w:tcPr>
          <w:p>
            <w:pPr>
              <w:spacing w:after="0" w:line="142" w:lineRule="exact"/>
              <w:rPr>
                <w:rFonts w:ascii="Arial" w:cs="Arial" w:eastAsia="Arial" w:hAnsi="Arial"/>
                <w:sz w:val="14"/>
                <w:szCs w:val="14"/>
                <w:color w:val="0000EE"/>
              </w:rPr>
            </w:pPr>
            <w:hyperlink r:id="rId63">
              <w:r>
                <w:rPr>
                  <w:rFonts w:ascii="Arial" w:cs="Arial" w:eastAsia="Arial" w:hAnsi="Arial"/>
                  <w:sz w:val="14"/>
                  <w:szCs w:val="14"/>
                  <w:color w:val="0000EE"/>
                </w:rPr>
                <w:t>Biosciences Management, Inc. and Glenn Reicin, dated April</w:t>
              </w:r>
            </w:hyperlink>
          </w:p>
        </w:tc>
        <w:tc>
          <w:tcPr>
            <w:tcW w:w="680" w:type="dxa"/>
            <w:vAlign w:val="bottom"/>
            <w:gridSpan w:val="13"/>
          </w:tcPr>
          <w:p>
            <w:pPr>
              <w:jc w:val="right"/>
              <w:ind w:right="40"/>
              <w:spacing w:after="0" w:line="142" w:lineRule="exact"/>
              <w:rPr>
                <w:rFonts w:ascii="Arial" w:cs="Arial" w:eastAsia="Arial" w:hAnsi="Arial"/>
                <w:sz w:val="14"/>
                <w:szCs w:val="14"/>
                <w:color w:val="0000EE"/>
              </w:rPr>
            </w:pPr>
            <w:hyperlink r:id="rId63">
              <w:r>
                <w:rPr>
                  <w:rFonts w:ascii="Arial" w:cs="Arial" w:eastAsia="Arial" w:hAnsi="Arial"/>
                  <w:sz w:val="14"/>
                  <w:szCs w:val="14"/>
                  <w:color w:val="0000EE"/>
                </w:rPr>
                <w:t>14, 2026.</w:t>
              </w:r>
            </w:hyperlink>
          </w:p>
        </w:tc>
        <w:tc>
          <w:tcPr>
            <w:tcW w:w="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tcBorders>
              <w:top w:val="single" w:sz="8" w:color="0000EE"/>
              <w:bottom w:val="single" w:sz="8" w:color="0000EE"/>
            </w:tcBorders>
            <w:gridSpan w:val="21"/>
          </w:tcPr>
          <w:p>
            <w:pPr>
              <w:spacing w:after="0" w:line="142" w:lineRule="exact"/>
              <w:rPr>
                <w:sz w:val="20"/>
                <w:szCs w:val="20"/>
                <w:color w:val="auto"/>
              </w:rPr>
            </w:pPr>
            <w:r>
              <w:rPr>
                <w:rFonts w:ascii="Arial" w:cs="Arial" w:eastAsia="Arial" w:hAnsi="Arial"/>
                <w:sz w:val="14"/>
                <w:szCs w:val="14"/>
                <w:color w:val="0000EE"/>
              </w:rPr>
              <w:t>Certification of Chief Executive Officer pursuant to Rules 13a-14(a) and</w:t>
            </w:r>
          </w:p>
        </w:tc>
        <w:tc>
          <w:tcPr>
            <w:tcW w:w="20" w:type="dxa"/>
            <w:vAlign w:val="bottom"/>
            <w:tcBorders>
              <w:bottom w:val="single" w:sz="8" w:color="0000EE"/>
            </w:tcBorders>
          </w:tcPr>
          <w:p>
            <w:pPr>
              <w:spacing w:after="0"/>
              <w:rPr>
                <w:sz w:val="12"/>
                <w:szCs w:val="12"/>
                <w:color w:val="auto"/>
              </w:rPr>
            </w:pPr>
          </w:p>
        </w:tc>
        <w:tc>
          <w:tcPr>
            <w:tcW w:w="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gridSpan w:val="22"/>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2"/>
                <w:szCs w:val="12"/>
                <w:color w:val="auto"/>
              </w:rPr>
            </w:pPr>
          </w:p>
        </w:tc>
        <w:tc>
          <w:tcPr>
            <w:tcW w:w="4380" w:type="dxa"/>
            <w:vAlign w:val="bottom"/>
            <w:tcBorders>
              <w:bottom w:val="single" w:sz="8" w:color="0000EE"/>
            </w:tcBorders>
            <w:gridSpan w:val="17"/>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260" w:type="dxa"/>
            <w:vAlign w:val="bottom"/>
            <w:gridSpan w:val="7"/>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500" w:type="dxa"/>
            <w:vAlign w:val="bottom"/>
            <w:tcBorders>
              <w:bottom w:val="single" w:sz="8" w:color="0000EE"/>
            </w:tcBorders>
            <w:gridSpan w:val="19"/>
          </w:tcPr>
          <w:p>
            <w:pPr>
              <w:spacing w:after="0" w:line="142" w:lineRule="exact"/>
              <w:rPr>
                <w:sz w:val="20"/>
                <w:szCs w:val="20"/>
                <w:color w:val="auto"/>
              </w:rPr>
            </w:pPr>
            <w:r>
              <w:rPr>
                <w:rFonts w:ascii="Arial" w:cs="Arial" w:eastAsia="Arial" w:hAnsi="Arial"/>
                <w:sz w:val="14"/>
                <w:szCs w:val="14"/>
                <w:color w:val="0000EE"/>
              </w:rPr>
              <w:t>Certification of Chief Financial Officer pursuant to Rules 13a-14(a) and</w:t>
            </w:r>
          </w:p>
        </w:tc>
        <w:tc>
          <w:tcPr>
            <w:tcW w:w="140" w:type="dxa"/>
            <w:vAlign w:val="bottom"/>
            <w:gridSpan w:val="5"/>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gridSpan w:val="24"/>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4640" w:type="dxa"/>
            <w:vAlign w:val="bottom"/>
            <w:gridSpan w:val="24"/>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360" w:type="dxa"/>
            <w:vAlign w:val="bottom"/>
            <w:tcBorders>
              <w:top w:val="single" w:sz="8" w:color="0000EE"/>
            </w:tcBorders>
            <w:gridSpan w:val="16"/>
          </w:tcPr>
          <w:p>
            <w:pPr>
              <w:spacing w:after="0" w:line="142" w:lineRule="exact"/>
              <w:rPr>
                <w:sz w:val="20"/>
                <w:szCs w:val="20"/>
                <w:color w:val="auto"/>
              </w:rPr>
            </w:pPr>
            <w:r>
              <w:rPr>
                <w:rFonts w:ascii="Arial" w:cs="Arial" w:eastAsia="Arial" w:hAnsi="Arial"/>
                <w:sz w:val="14"/>
                <w:szCs w:val="14"/>
                <w:color w:val="0000EE"/>
              </w:rPr>
              <w:t>Certification of Chief Executive Officer pursuant to 18 U.S.C.</w:t>
            </w:r>
          </w:p>
        </w:tc>
        <w:tc>
          <w:tcPr>
            <w:tcW w:w="280" w:type="dxa"/>
            <w:vAlign w:val="bottom"/>
            <w:gridSpan w:val="8"/>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gridSpan w:val="24"/>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440" w:type="dxa"/>
            <w:vAlign w:val="bottom"/>
            <w:tcBorders>
              <w:top w:val="single" w:sz="8" w:color="0000EE"/>
            </w:tcBorders>
            <w:gridSpan w:val="2"/>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7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40" w:type="dxa"/>
            <w:vAlign w:val="bottom"/>
            <w:tcBorders>
              <w:bottom w:val="single" w:sz="8" w:color="0000EE"/>
            </w:tcBorders>
            <w:gridSpan w:val="8"/>
          </w:tcPr>
          <w:p>
            <w:pPr>
              <w:spacing w:after="0" w:line="142" w:lineRule="exact"/>
              <w:rPr>
                <w:sz w:val="20"/>
                <w:szCs w:val="20"/>
                <w:color w:val="auto"/>
              </w:rPr>
            </w:pPr>
            <w:r>
              <w:rPr>
                <w:rFonts w:ascii="Arial" w:cs="Arial" w:eastAsia="Arial" w:hAnsi="Arial"/>
                <w:sz w:val="14"/>
                <w:szCs w:val="14"/>
                <w:color w:val="0000EE"/>
              </w:rPr>
              <w:t>Certification of Chief Financial Officer pursuant to 18 U.S.C.</w:t>
            </w:r>
          </w:p>
        </w:tc>
        <w:tc>
          <w:tcPr>
            <w:tcW w:w="800" w:type="dxa"/>
            <w:vAlign w:val="bottom"/>
            <w:gridSpan w:val="16"/>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gridSpan w:val="24"/>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14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440" w:type="dxa"/>
            <w:vAlign w:val="bottom"/>
            <w:tcBorders>
              <w:top w:val="single" w:sz="8" w:color="0000EE"/>
            </w:tcBorders>
            <w:gridSpan w:val="2"/>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7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gridSpan w:val="24"/>
          </w:tcPr>
          <w:p>
            <w:pPr>
              <w:spacing w:after="0" w:line="147" w:lineRule="exact"/>
              <w:rPr>
                <w:sz w:val="20"/>
                <w:szCs w:val="20"/>
                <w:color w:val="auto"/>
              </w:rPr>
            </w:pPr>
            <w:r>
              <w:rPr>
                <w:rFonts w:ascii="Arial" w:cs="Arial" w:eastAsia="Arial" w:hAnsi="Arial"/>
                <w:sz w:val="14"/>
                <w:szCs w:val="14"/>
                <w:color w:val="auto"/>
              </w:rPr>
              <w:t>The following financial statements from the Company</w:t>
            </w:r>
            <w:r>
              <w:rPr>
                <w:rFonts w:ascii="Times New Roman" w:cs="Times New Roman" w:eastAsia="Times New Roman" w:hAnsi="Times New Roman"/>
                <w:sz w:val="14"/>
                <w:szCs w:val="14"/>
                <w:color w:val="auto"/>
              </w:rPr>
              <w:t>’</w:t>
            </w:r>
            <w:r>
              <w:rPr>
                <w:rFonts w:ascii="Arial" w:cs="Arial" w:eastAsia="Arial" w:hAnsi="Arial"/>
                <w:sz w:val="14"/>
                <w:szCs w:val="14"/>
                <w:color w:val="auto"/>
              </w:rPr>
              <w:t>s Quarterly Report</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40" w:type="dxa"/>
            <w:vAlign w:val="bottom"/>
            <w:gridSpan w:val="24"/>
          </w:tcPr>
          <w:p>
            <w:pPr>
              <w:spacing w:after="0"/>
              <w:rPr>
                <w:sz w:val="20"/>
                <w:szCs w:val="20"/>
                <w:color w:val="auto"/>
              </w:rPr>
            </w:pPr>
            <w:r>
              <w:rPr>
                <w:rFonts w:ascii="Arial" w:cs="Arial" w:eastAsia="Arial" w:hAnsi="Arial"/>
                <w:sz w:val="14"/>
                <w:szCs w:val="14"/>
                <w:color w:val="auto"/>
              </w:rPr>
              <w:t>on Form 10-Q for the fiscal quarter ended March 31, 2026, formatted in</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40" w:type="dxa"/>
            <w:vAlign w:val="bottom"/>
            <w:gridSpan w:val="24"/>
          </w:tcPr>
          <w:p>
            <w:pPr>
              <w:spacing w:after="0"/>
              <w:rPr>
                <w:sz w:val="20"/>
                <w:szCs w:val="20"/>
                <w:color w:val="auto"/>
              </w:rPr>
            </w:pPr>
            <w:r>
              <w:rPr>
                <w:rFonts w:ascii="Arial" w:cs="Arial" w:eastAsia="Arial" w:hAnsi="Arial"/>
                <w:sz w:val="14"/>
                <w:szCs w:val="14"/>
                <w:color w:val="auto"/>
              </w:rPr>
              <w:t>Inline XBRL: (i) Balance Sheets, (ii) Statements of Operations,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40" w:type="dxa"/>
            <w:vAlign w:val="bottom"/>
            <w:gridSpan w:val="24"/>
          </w:tcPr>
          <w:p>
            <w:pPr>
              <w:spacing w:after="0"/>
              <w:rPr>
                <w:sz w:val="20"/>
                <w:szCs w:val="20"/>
                <w:color w:val="auto"/>
              </w:rPr>
            </w:pPr>
            <w:r>
              <w:rPr>
                <w:rFonts w:ascii="Arial" w:cs="Arial" w:eastAsia="Arial" w:hAnsi="Arial"/>
                <w:sz w:val="14"/>
                <w:szCs w:val="14"/>
                <w:color w:val="auto"/>
              </w:rPr>
              <w:t>(iii) Statements of Stockholders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Equity and (vi) Notes to Financial</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40" w:type="dxa"/>
            <w:vAlign w:val="bottom"/>
            <w:gridSpan w:val="24"/>
          </w:tcPr>
          <w:p>
            <w:pPr>
              <w:spacing w:after="0"/>
              <w:rPr>
                <w:sz w:val="20"/>
                <w:szCs w:val="20"/>
                <w:color w:val="auto"/>
              </w:rPr>
            </w:pPr>
            <w:r>
              <w:rPr>
                <w:rFonts w:ascii="Arial" w:cs="Arial" w:eastAsia="Arial" w:hAnsi="Arial"/>
                <w:sz w:val="14"/>
                <w:szCs w:val="14"/>
                <w:color w:val="auto"/>
              </w:rPr>
              <w:t>Statements, tagged as blocks of text and including detailed tags.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14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4"/>
                <w:szCs w:val="14"/>
                <w:color w:val="auto"/>
              </w:rPr>
            </w:pPr>
          </w:p>
        </w:tc>
        <w:tc>
          <w:tcPr>
            <w:tcW w:w="4640" w:type="dxa"/>
            <w:vAlign w:val="bottom"/>
            <w:gridSpan w:val="24"/>
          </w:tcPr>
          <w:p>
            <w:pPr>
              <w:spacing w:after="0"/>
              <w:rPr>
                <w:sz w:val="20"/>
                <w:szCs w:val="20"/>
                <w:color w:val="auto"/>
              </w:rPr>
            </w:pPr>
            <w:r>
              <w:rPr>
                <w:rFonts w:ascii="Arial" w:cs="Arial" w:eastAsia="Arial" w:hAnsi="Arial"/>
                <w:sz w:val="14"/>
                <w:szCs w:val="14"/>
                <w:color w:val="auto"/>
              </w:rPr>
              <w:t>Cover Page Interactive Date File (formatted as Inline XBRL and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4"/>
          </w:tcPr>
          <w:p>
            <w:pPr>
              <w:spacing w:after="0"/>
              <w:rPr>
                <w:sz w:val="20"/>
                <w:szCs w:val="20"/>
                <w:color w:val="auto"/>
              </w:rPr>
            </w:pPr>
            <w:r>
              <w:rPr>
                <w:rFonts w:ascii="Arial" w:cs="Arial" w:eastAsia="Arial" w:hAnsi="Arial"/>
                <w:sz w:val="14"/>
                <w:szCs w:val="14"/>
                <w:color w:val="auto"/>
              </w:rPr>
              <w:t>contained in Exhibit 101)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141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89" w:lineRule="exact"/>
        <w:rPr>
          <w:sz w:val="20"/>
          <w:szCs w:val="20"/>
          <w:color w:val="auto"/>
        </w:rPr>
      </w:pPr>
    </w:p>
    <w:p>
      <w:pPr>
        <w:ind w:left="380" w:hanging="330"/>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7" w:lineRule="exact"/>
        <w:rPr>
          <w:sz w:val="20"/>
          <w:szCs w:val="20"/>
          <w:color w:val="auto"/>
        </w:rPr>
      </w:pPr>
    </w:p>
    <w:p>
      <w:pPr>
        <w:ind w:left="380" w:right="239" w:hanging="330"/>
        <w:spacing w:after="0" w:line="256" w:lineRule="auto"/>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7"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17" w:lineRule="exact"/>
        <w:rPr>
          <w:sz w:val="20"/>
          <w:szCs w:val="20"/>
          <w:color w:val="auto"/>
        </w:rPr>
      </w:pPr>
    </w:p>
    <w:p>
      <w:pPr>
        <w:ind w:left="380" w:right="119" w:hanging="330"/>
        <w:spacing w:after="0" w:line="263"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The Company hereby undertakes to furnish supplemental copies of any of the omitted schedules upon request by the SEC; provided, however, that the Company may request confidential treatment pursuant to Rule 24b-2 of the Securities Exchange Act of 1934 for any schedules so furnished.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Dayno</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Jeffrey M. Dayno, M.D.</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May 7, 2026</w:t>
            </w:r>
          </w:p>
        </w:tc>
      </w:tr>
      <w:tr>
        <w:trPr>
          <w:trHeight w:val="38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Glenn Reicin</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Glenn Reicin</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(principal financial</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May 7,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M.D., certify that:</w:t>
      </w:r>
    </w:p>
    <w:p>
      <w:pPr>
        <w:spacing w:after="0" w:line="225" w:lineRule="exact"/>
        <w:rPr>
          <w:sz w:val="20"/>
          <w:szCs w:val="20"/>
          <w:color w:val="auto"/>
        </w:rPr>
      </w:pPr>
    </w:p>
    <w:p>
      <w:pPr>
        <w:ind w:left="700" w:hanging="341"/>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4940" w:val="left"/>
          <w:tab w:leader="none" w:pos="55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M. Dayno,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43180</wp:posOffset>
            </wp:positionV>
            <wp:extent cx="25546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Jeffrey M. Dayno, M.D.</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Glenn Reicin, certify that:</w:t>
      </w:r>
    </w:p>
    <w:p>
      <w:pPr>
        <w:spacing w:after="0" w:line="225" w:lineRule="exact"/>
        <w:rPr>
          <w:sz w:val="20"/>
          <w:szCs w:val="20"/>
          <w:color w:val="auto"/>
        </w:rPr>
      </w:pPr>
    </w:p>
    <w:p>
      <w:pPr>
        <w:ind w:left="740" w:hanging="341"/>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341"/>
        <w:spacing w:after="0" w:line="26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6"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60" w:right="40" w:hanging="359"/>
        <w:spacing w:after="0" w:line="260"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40" w:right="380" w:hanging="341"/>
        <w:spacing w:after="0" w:line="265"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60" w:right="380" w:hanging="359"/>
        <w:spacing w:after="0" w:line="265"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60" w:right="200" w:hanging="359"/>
        <w:spacing w:after="0" w:line="285"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68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Glenn Reicin</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Glenn Reicin</w:t>
            </w:r>
          </w:p>
        </w:tc>
        <w:tc>
          <w:tcPr>
            <w:tcW w:w="40" w:type="dxa"/>
            <w:vAlign w:val="bottom"/>
            <w:tcBorders>
              <w:top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17" w:right="9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March 31, 2026,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8"/>
          <w:szCs w:val="18"/>
          <w:color w:val="auto"/>
        </w:rPr>
        <w:t>By: /s/ Jeffrey M. Dayno,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25457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Jeffrey M. Dayno, M.D.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500" w:firstLine="355"/>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March 31, 2026,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40" w:type="dxa"/>
            <w:vAlign w:val="bottom"/>
            <w:vMerge w:val="restart"/>
          </w:tcPr>
          <w:p>
            <w:pPr>
              <w:spacing w:after="0"/>
              <w:rPr>
                <w:sz w:val="20"/>
                <w:szCs w:val="20"/>
                <w:color w:val="auto"/>
              </w:rPr>
            </w:pPr>
            <w:r>
              <w:rPr>
                <w:rFonts w:ascii="Arial" w:cs="Arial" w:eastAsia="Arial" w:hAnsi="Arial"/>
                <w:sz w:val="18"/>
                <w:szCs w:val="18"/>
                <w:color w:val="auto"/>
              </w:rPr>
              <w:t>Date: May 7, 2026</w:t>
            </w:r>
          </w:p>
        </w:tc>
        <w:tc>
          <w:tcPr>
            <w:tcW w:w="1780" w:type="dxa"/>
            <w:vAlign w:val="bottom"/>
          </w:tcPr>
          <w:p>
            <w:pPr>
              <w:ind w:left="148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Glenn Reicin</w:t>
            </w:r>
          </w:p>
        </w:tc>
        <w:tc>
          <w:tcPr>
            <w:tcW w:w="0" w:type="dxa"/>
            <w:vAlign w:val="bottom"/>
          </w:tcPr>
          <w:p>
            <w:pPr>
              <w:spacing w:after="0"/>
              <w:rPr>
                <w:sz w:val="1"/>
                <w:szCs w:val="1"/>
                <w:color w:val="auto"/>
              </w:rPr>
            </w:pPr>
          </w:p>
        </w:tc>
      </w:tr>
      <w:tr>
        <w:trPr>
          <w:trHeight w:val="194"/>
        </w:trPr>
        <w:tc>
          <w:tcPr>
            <w:tcW w:w="2940" w:type="dxa"/>
            <w:vAlign w:val="bottom"/>
            <w:vMerge w:val="continue"/>
          </w:tcPr>
          <w:p>
            <w:pPr>
              <w:spacing w:after="0"/>
              <w:rPr>
                <w:sz w:val="16"/>
                <w:szCs w:val="16"/>
                <w:color w:val="auto"/>
              </w:rPr>
            </w:pPr>
          </w:p>
        </w:tc>
        <w:tc>
          <w:tcPr>
            <w:tcW w:w="1780" w:type="dxa"/>
            <w:vAlign w:val="bottom"/>
          </w:tcPr>
          <w:p>
            <w:pPr>
              <w:ind w:left="148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Glenn Reicin</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39"/>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8"/>
    </w:lvl>
  </w:abstractNum>
  <w:abstractNum w:abstractNumId="6">
    <w:nsid w:val="41A7C4C9"/>
    <w:multiLevelType w:val="hybridMultilevel"/>
    <w:lvl w:ilvl="0">
      <w:lvlJc w:val="left"/>
      <w:lvlText w:val="%1."/>
      <w:numFmt w:val="decimal"/>
      <w:start w:val="13"/>
    </w:lvl>
  </w:abstractNum>
  <w:abstractNum w:abstractNumId="7">
    <w:nsid w:val="6B68079A"/>
    <w:multiLevelType w:val="hybridMultilevel"/>
    <w:lvl w:ilvl="0">
      <w:lvlJc w:val="left"/>
      <w:lvlText w:val="%1"/>
      <w:numFmt w:val="decimal"/>
      <w:start w:val="1"/>
    </w:lvl>
    <w:lvl w:ilvl="1">
      <w:lvlJc w:val="left"/>
      <w:lvlText w:val="(%2)"/>
      <w:numFmt w:val="lowerLetter"/>
      <w:start w:val="1"/>
    </w:lvl>
  </w:abstractNum>
  <w:abstractNum w:abstractNumId="8">
    <w:nsid w:val="4E6AFB66"/>
    <w:multiLevelType w:val="hybridMultilevel"/>
    <w:lvl w:ilvl="0">
      <w:lvlJc w:val="left"/>
      <w:lvlText w:val="%1."/>
      <w:numFmt w:val="decimal"/>
      <w:start w:val="16"/>
    </w:lvl>
    <w:lvl w:ilvl="1">
      <w:lvlJc w:val="left"/>
      <w:lvlText w:val="%2"/>
      <w:numFmt w:val="lowerLetter"/>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58" Type="http://schemas.openxmlformats.org/officeDocument/2006/relationships/hyperlink" Target="https://www.sec.gov/Archives/edgar/data/1802665/000114036123043963/ef20010653_ex2-1.htm" TargetMode="External"/><Relationship Id="rId59" Type="http://schemas.openxmlformats.org/officeDocument/2006/relationships/hyperlink" Target="https://www.sec.gov/Archives/edgar/data/0001802665/000119312520226978/d97999dex31.htm" TargetMode="External"/><Relationship Id="rId60" Type="http://schemas.openxmlformats.org/officeDocument/2006/relationships/hyperlink" Target="https://www.sec.gov/Archives/edgar/data/0001802665/000119312520226978/d97999dex32.htm" TargetMode="External"/><Relationship Id="rId61" Type="http://schemas.openxmlformats.org/officeDocument/2006/relationships/hyperlink" Target="https://www.sec.gov/Archives/edgar/data/1802665/000110465926038888/hrmy-20260331xex10d1.htm" TargetMode="External"/><Relationship Id="rId62" Type="http://schemas.openxmlformats.org/officeDocument/2006/relationships/hyperlink" Target="https://www.sec.gov/Archives/edgar/data/1802665/000110465926042886/hrmy-20260414xex10d1.htm" TargetMode="External"/><Relationship Id="rId63" Type="http://schemas.openxmlformats.org/officeDocument/2006/relationships/hyperlink" Target="https://www.sec.gov/Archives/edgar/data/1802665/000110465926042886/hrmy-20260414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2026-05-07T07:20:14Z</dcterms:created>
  <dcterms:modified xsi:type="dcterms:W3CDTF">2026-05-07T07:20:14Z</dcterms:modified>
</cp:coreProperties>
</file>