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June 30, 2022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19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1" w:lineRule="exact"/>
        <w:rPr>
          <w:sz w:val="24"/>
          <w:szCs w:val="24"/>
          <w:color w:val="auto"/>
        </w:rPr>
      </w:pPr>
    </w:p>
    <w:tbl>
      <w:tblPr>
        <w:tblLayout w:type="fixed"/>
        <w:tblInd w:w="100" w:type="dxa"/>
        <w:tblCellMar>
          <w:top w:w="0" w:type="dxa"/>
          <w:left w:w="0" w:type="dxa"/>
          <w:bottom w:w="0" w:type="dxa"/>
          <w:right w:w="0" w:type="dxa"/>
        </w:tblCellMar>
      </w:tblPr>
      <w:tr>
        <w:trPr>
          <w:trHeight w:val="181"/>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0" w:lineRule="exact"/>
        <w:rPr>
          <w:sz w:val="24"/>
          <w:szCs w:val="24"/>
          <w:color w:val="auto"/>
        </w:rPr>
      </w:pPr>
    </w:p>
    <w:p>
      <w:pPr>
        <w:ind w:left="60" w:right="15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left="60" w:right="619" w:firstLine="648"/>
        <w:spacing w:after="0" w:line="285" w:lineRule="auto"/>
        <w:rPr>
          <w:sz w:val="20"/>
          <w:szCs w:val="20"/>
          <w:color w:val="auto"/>
        </w:rPr>
      </w:pPr>
      <w:r>
        <w:rPr>
          <w:rFonts w:ascii="Arial" w:cs="Arial" w:eastAsia="Arial" w:hAnsi="Arial"/>
          <w:sz w:val="14"/>
          <w:szCs w:val="14"/>
          <w:color w:val="auto"/>
        </w:rPr>
        <w:t>As of July 29, 2022, there were 59,161,397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6"/>
        </w:trPr>
        <w:tc>
          <w:tcPr>
            <w:tcW w:w="6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236,533</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234,309</w:t>
            </w: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17,638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49,822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34,843</w:t>
            </w: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4,208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4,432</w:t>
            </w: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7,637</w:t>
            </w:r>
          </w:p>
        </w:tc>
        <w:tc>
          <w:tcPr>
            <w:tcW w:w="0" w:type="dxa"/>
            <w:vAlign w:val="bottom"/>
          </w:tcPr>
          <w:p>
            <w:pPr>
              <w:spacing w:after="0"/>
              <w:rPr>
                <w:sz w:val="1"/>
                <w:szCs w:val="1"/>
                <w:color w:val="auto"/>
              </w:rPr>
            </w:pP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56"/>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322,702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284,439</w:t>
            </w:r>
          </w:p>
        </w:tc>
        <w:tc>
          <w:tcPr>
            <w:tcW w:w="0" w:type="dxa"/>
            <w:vAlign w:val="bottom"/>
          </w:tcPr>
          <w:p>
            <w:pPr>
              <w:spacing w:after="0"/>
              <w:rPr>
                <w:sz w:val="1"/>
                <w:szCs w:val="1"/>
                <w:color w:val="auto"/>
              </w:rPr>
            </w:pP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172,876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143,919</w:t>
            </w: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182,332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149,004</w:t>
            </w:r>
          </w:p>
        </w:tc>
        <w:tc>
          <w:tcPr>
            <w:tcW w:w="0" w:type="dxa"/>
            <w:vAlign w:val="bottom"/>
          </w:tcPr>
          <w:p>
            <w:pPr>
              <w:spacing w:after="0"/>
              <w:rPr>
                <w:sz w:val="1"/>
                <w:szCs w:val="1"/>
                <w:color w:val="auto"/>
              </w:rPr>
            </w:pPr>
          </w:p>
        </w:tc>
      </w:tr>
      <w:tr>
        <w:trPr>
          <w:trHeight w:val="155"/>
        </w:trPr>
        <w:tc>
          <w:tcPr>
            <w:tcW w:w="6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505,034</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433,443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6,661</w:t>
            </w:r>
          </w:p>
        </w:tc>
        <w:tc>
          <w:tcPr>
            <w:tcW w:w="180" w:type="dxa"/>
            <w:vAlign w:val="bottom"/>
          </w:tcPr>
          <w:p>
            <w:pPr>
              <w:spacing w:after="0"/>
              <w:rPr>
                <w:sz w:val="14"/>
                <w:szCs w:val="14"/>
                <w:color w:val="auto"/>
              </w:rPr>
            </w:pPr>
          </w:p>
        </w:tc>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9,165</w:t>
            </w: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45,626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40,249</w:t>
            </w: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65,764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53,775</w:t>
            </w:r>
          </w:p>
        </w:tc>
        <w:tc>
          <w:tcPr>
            <w:tcW w:w="0" w:type="dxa"/>
            <w:vAlign w:val="bottom"/>
          </w:tcPr>
          <w:p>
            <w:pPr>
              <w:spacing w:after="0"/>
              <w:rPr>
                <w:sz w:val="1"/>
                <w:szCs w:val="1"/>
                <w:color w:val="auto"/>
              </w:rPr>
            </w:pP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189,807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189,984</w:t>
            </w:r>
          </w:p>
        </w:tc>
        <w:tc>
          <w:tcPr>
            <w:tcW w:w="0" w:type="dxa"/>
            <w:vAlign w:val="bottom"/>
          </w:tcPr>
          <w:p>
            <w:pPr>
              <w:spacing w:after="0"/>
              <w:rPr>
                <w:sz w:val="1"/>
                <w:szCs w:val="1"/>
                <w:color w:val="auto"/>
              </w:rPr>
            </w:pP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192,737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193,161</w:t>
            </w:r>
          </w:p>
        </w:tc>
        <w:tc>
          <w:tcPr>
            <w:tcW w:w="0" w:type="dxa"/>
            <w:vAlign w:val="bottom"/>
          </w:tcPr>
          <w:p>
            <w:pPr>
              <w:spacing w:after="0"/>
              <w:rPr>
                <w:sz w:val="1"/>
                <w:szCs w:val="1"/>
                <w:color w:val="auto"/>
              </w:rPr>
            </w:pPr>
          </w:p>
        </w:tc>
      </w:tr>
      <w:tr>
        <w:trPr>
          <w:trHeight w:val="155"/>
        </w:trPr>
        <w:tc>
          <w:tcPr>
            <w:tcW w:w="656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258,501</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246,936</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COMMITMENTS AND CONTINGENCIES (Note 12)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6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June 30, 2022 and</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December 31, 2021, respectively; 59,117,749 shares and 58,825,769 issued and outstanding at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June 30, 2022 and December 31, 2021, respectively</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Additional paid in capital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655,143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640,104</w:t>
            </w: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(408,582)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(453,598)</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246,533</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186,507</w:t>
            </w:r>
          </w:p>
        </w:tc>
        <w:tc>
          <w:tcPr>
            <w:tcW w:w="0" w:type="dxa"/>
            <w:vAlign w:val="bottom"/>
          </w:tcPr>
          <w:p>
            <w:pPr>
              <w:spacing w:after="0"/>
              <w:rPr>
                <w:sz w:val="1"/>
                <w:szCs w:val="1"/>
                <w:color w:val="auto"/>
              </w:rPr>
            </w:pPr>
          </w:p>
        </w:tc>
      </w:tr>
      <w:tr>
        <w:trPr>
          <w:trHeight w:val="155"/>
        </w:trPr>
        <w:tc>
          <w:tcPr>
            <w:tcW w:w="6560" w:type="dxa"/>
            <w:vAlign w:val="bottom"/>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505,034</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433,443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4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107,028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73,821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192,341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133,495</w:t>
            </w: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18,921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12,687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33,637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23,097</w:t>
            </w:r>
          </w:p>
        </w:tc>
      </w:tr>
      <w:tr>
        <w:trPr>
          <w:trHeight w:val="196"/>
        </w:trPr>
        <w:tc>
          <w:tcPr>
            <w:tcW w:w="34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88,107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61,134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158,704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110,398</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20,246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11,177</w:t>
            </w: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20,160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17,022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37,743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32,529</w:t>
            </w: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22,163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40,043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28,848</w:t>
            </w:r>
          </w:p>
        </w:tc>
      </w:tr>
      <w:tr>
        <w:trPr>
          <w:trHeight w:val="196"/>
        </w:trPr>
        <w:tc>
          <w:tcPr>
            <w:tcW w:w="348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54,991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37,822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98,032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72,554</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23,312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37,844</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(7,227)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(8,096)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(14,354)</w:t>
            </w:r>
          </w:p>
        </w:tc>
      </w:tr>
      <w:tr>
        <w:trPr>
          <w:trHeight w:val="196"/>
        </w:trPr>
        <w:tc>
          <w:tcPr>
            <w:tcW w:w="348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29,231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16,089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52,616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23,475</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(7,600)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(1,972)</w:t>
            </w:r>
          </w:p>
        </w:tc>
      </w:tr>
      <w:tr>
        <w:trPr>
          <w:trHeight w:val="196"/>
        </w:trPr>
        <w:tc>
          <w:tcPr>
            <w:tcW w:w="34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23,531</w:t>
            </w:r>
          </w:p>
        </w:tc>
        <w:tc>
          <w:tcPr>
            <w:tcW w:w="1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14,117</w:t>
            </w:r>
          </w:p>
        </w:tc>
        <w:tc>
          <w:tcPr>
            <w:tcW w:w="1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45,016</w:t>
            </w:r>
          </w:p>
        </w:tc>
        <w:tc>
          <w:tcPr>
            <w:tcW w:w="1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21,503</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investments</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34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23,502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14,117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44,987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21,503</w:t>
            </w:r>
          </w:p>
        </w:tc>
      </w:tr>
      <w:tr>
        <w:trPr>
          <w:trHeight w:val="183"/>
        </w:trPr>
        <w:tc>
          <w:tcPr>
            <w:tcW w:w="34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0.76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r>
      <w:tr>
        <w:trPr>
          <w:trHeight w:val="184"/>
        </w:trPr>
        <w:tc>
          <w:tcPr>
            <w:tcW w:w="348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1"/>
        </w:trPr>
        <w:tc>
          <w:tcPr>
            <w:tcW w:w="3480" w:type="dxa"/>
            <w:vAlign w:val="bottom"/>
          </w:tcPr>
          <w:p>
            <w:pPr>
              <w:ind w:left="220"/>
              <w:spacing w:after="0"/>
              <w:rPr>
                <w:sz w:val="20"/>
                <w:szCs w:val="20"/>
                <w:color w:val="auto"/>
              </w:rPr>
            </w:pPr>
            <w:r>
              <w:rPr>
                <w:rFonts w:ascii="Arial" w:cs="Arial" w:eastAsia="Arial" w:hAnsi="Arial"/>
                <w:sz w:val="18"/>
                <w:szCs w:val="18"/>
                <w:color w:val="auto"/>
              </w:rPr>
              <w:t>common stock - basic</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59,063,358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56,940,840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58,986,370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56,916,282</w:t>
            </w:r>
          </w:p>
        </w:tc>
      </w:tr>
      <w:tr>
        <w:trPr>
          <w:trHeight w:val="184"/>
        </w:trPr>
        <w:tc>
          <w:tcPr>
            <w:tcW w:w="34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1"/>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diluted</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60,922,672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58,592,876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60,759,026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58,635,195</w:t>
            </w: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left="24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6"/>
          </w:tcPr>
          <w:p>
            <w:pPr>
              <w:jc w:val="cente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5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40"/>
              <w:spacing w:after="0" w:line="155"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0" w:type="dxa"/>
            <w:vAlign w:val="bottom"/>
          </w:tcPr>
          <w:p>
            <w:pPr>
              <w:spacing w:after="0"/>
              <w:rPr>
                <w:sz w:val="15"/>
                <w:szCs w:val="15"/>
                <w:color w:val="auto"/>
              </w:rPr>
            </w:pPr>
          </w:p>
        </w:tc>
        <w:tc>
          <w:tcPr>
            <w:tcW w:w="294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2021</w:t>
            </w:r>
          </w:p>
        </w:tc>
        <w:tc>
          <w:tcPr>
            <w:tcW w:w="9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58,825,769</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center"/>
              <w:ind w:right="18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7"/>
                <w:szCs w:val="17"/>
                <w:color w:val="auto"/>
              </w:rPr>
              <w:t>$ 640,104</w:t>
            </w: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gridSpan w:val="3"/>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3"/>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 (453,598)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186,507</w:t>
            </w:r>
          </w:p>
        </w:tc>
        <w:tc>
          <w:tcPr>
            <w:tcW w:w="2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45,016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45,016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Unrealized loss on investments</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r>
      <w:tr>
        <w:trPr>
          <w:trHeight w:val="189"/>
        </w:trPr>
        <w:tc>
          <w:tcPr>
            <w:tcW w:w="20" w:type="dxa"/>
            <w:vAlign w:val="bottom"/>
          </w:tcPr>
          <w:p>
            <w:pPr>
              <w:spacing w:after="0"/>
              <w:rPr>
                <w:sz w:val="16"/>
                <w:szCs w:val="16"/>
                <w:color w:val="auto"/>
              </w:rPr>
            </w:pPr>
          </w:p>
        </w:tc>
        <w:tc>
          <w:tcPr>
            <w:tcW w:w="29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Exercise of options</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291,980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3,133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3,133</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6"/>
            <w:shd w:val="clear" w:color="auto" w:fill="CCEEFF"/>
          </w:tcPr>
          <w:p>
            <w:pPr>
              <w:jc w:val="right"/>
              <w:spacing w:after="0" w:line="189" w:lineRule="exact"/>
              <w:rPr>
                <w:sz w:val="20"/>
                <w:szCs w:val="20"/>
                <w:color w:val="auto"/>
              </w:rPr>
            </w:pPr>
            <w:r>
              <w:rPr>
                <w:rFonts w:ascii="Arial" w:cs="Arial" w:eastAsia="Arial" w:hAnsi="Arial"/>
                <w:sz w:val="17"/>
                <w:szCs w:val="17"/>
                <w:color w:val="auto"/>
              </w:rPr>
              <w:t>11,906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11,906</w:t>
            </w:r>
          </w:p>
        </w:tc>
        <w:tc>
          <w:tcPr>
            <w:tcW w:w="20" w:type="dxa"/>
            <w:vAlign w:val="bottom"/>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940" w:type="dxa"/>
            <w:vAlign w:val="bottom"/>
            <w:gridSpan w:val="2"/>
          </w:tcPr>
          <w:p>
            <w:pPr>
              <w:spacing w:after="0" w:line="183" w:lineRule="exact"/>
              <w:rPr>
                <w:sz w:val="20"/>
                <w:szCs w:val="20"/>
                <w:color w:val="auto"/>
              </w:rPr>
            </w:pPr>
            <w:r>
              <w:rPr>
                <w:rFonts w:ascii="Arial" w:cs="Arial" w:eastAsia="Arial" w:hAnsi="Arial"/>
                <w:sz w:val="17"/>
                <w:szCs w:val="17"/>
                <w:color w:val="auto"/>
              </w:rPr>
              <w:t>Balance as of June 30, 2022</w:t>
            </w:r>
          </w:p>
        </w:tc>
        <w:tc>
          <w:tcPr>
            <w:tcW w:w="96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59,117,749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bottom w:val="single" w:sz="8" w:color="auto"/>
            </w:tcBorders>
            <w:gridSpan w:val="2"/>
          </w:tcPr>
          <w:p>
            <w:pPr>
              <w:jc w:val="center"/>
              <w:ind w:right="18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7"/>
                <w:szCs w:val="17"/>
                <w:color w:val="auto"/>
              </w:rPr>
              <w:t>$ 655,143</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gridSpan w:val="3"/>
          </w:tcPr>
          <w:p>
            <w:pPr>
              <w:jc w:val="right"/>
              <w:ind w:right="20"/>
              <w:spacing w:after="0" w:line="183" w:lineRule="exact"/>
              <w:rPr>
                <w:sz w:val="20"/>
                <w:szCs w:val="20"/>
                <w:color w:val="auto"/>
              </w:rPr>
            </w:pPr>
            <w:r>
              <w:rPr>
                <w:rFonts w:ascii="Arial" w:cs="Arial" w:eastAsia="Arial" w:hAnsi="Arial"/>
                <w:sz w:val="17"/>
                <w:szCs w:val="17"/>
                <w:color w:val="auto"/>
              </w:rPr>
              <w:t>(29)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bottom w:val="single" w:sz="8" w:color="auto"/>
            </w:tcBorders>
            <w:gridSpan w:val="3"/>
          </w:tcPr>
          <w:p>
            <w:pPr>
              <w:jc w:val="right"/>
              <w:ind w:right="20"/>
              <w:spacing w:after="0" w:line="183" w:lineRule="exact"/>
              <w:rPr>
                <w:sz w:val="20"/>
                <w:szCs w:val="20"/>
                <w:color w:val="auto"/>
              </w:rPr>
            </w:pPr>
            <w:r>
              <w:rPr>
                <w:rFonts w:ascii="Arial" w:cs="Arial" w:eastAsia="Arial" w:hAnsi="Arial"/>
                <w:sz w:val="17"/>
                <w:szCs w:val="17"/>
                <w:color w:val="auto"/>
              </w:rPr>
              <w:t>$ (408,582)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246,533</w:t>
            </w:r>
          </w:p>
        </w:tc>
        <w:tc>
          <w:tcPr>
            <w:tcW w:w="20" w:type="dxa"/>
            <w:vAlign w:val="bottom"/>
            <w:tcBorders>
              <w:top w:val="single" w:sz="8" w:color="auto"/>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left="24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9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40"/>
              <w:spacing w:after="0" w:line="155"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9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March 31, 2022</w:t>
            </w:r>
          </w:p>
        </w:tc>
        <w:tc>
          <w:tcPr>
            <w:tcW w:w="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59,030,148</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3"/>
            <w:shd w:val="clear" w:color="auto" w:fill="CCEEFF"/>
          </w:tcPr>
          <w:p>
            <w:pPr>
              <w:jc w:val="center"/>
              <w:ind w:right="20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$ 646,615</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gridSpan w:val="2"/>
            <w:shd w:val="clear" w:color="auto" w:fill="CCEEFF"/>
          </w:tcPr>
          <w:p>
            <w:pPr>
              <w:spacing w:after="0"/>
              <w:rPr>
                <w:sz w:val="15"/>
                <w:szCs w:val="15"/>
                <w:color w:val="auto"/>
              </w:rPr>
            </w:pPr>
          </w:p>
        </w:tc>
        <w:tc>
          <w:tcPr>
            <w:tcW w:w="720" w:type="dxa"/>
            <w:vAlign w:val="bottom"/>
            <w:tcBorders>
              <w:top w:val="single" w:sz="8" w:color="auto"/>
            </w:tcBorders>
            <w:gridSpan w:val="2"/>
            <w:shd w:val="clear" w:color="auto" w:fill="CCEEFF"/>
          </w:tcPr>
          <w:p>
            <w:pPr>
              <w:jc w:val="right"/>
              <w:ind w:right="545"/>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 (432,113)</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214,503</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23,531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23,531</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Unrealized loss on investments</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Exercise of options</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87,601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1,250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1,250</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7,278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7,278</w:t>
            </w:r>
          </w:p>
        </w:tc>
        <w:tc>
          <w:tcPr>
            <w:tcW w:w="20" w:type="dxa"/>
            <w:vAlign w:val="bottom"/>
          </w:tcPr>
          <w:p>
            <w:pPr>
              <w:spacing w:after="0"/>
              <w:rPr>
                <w:sz w:val="16"/>
                <w:szCs w:val="16"/>
                <w:color w:val="auto"/>
              </w:rPr>
            </w:pPr>
          </w:p>
        </w:tc>
      </w:tr>
      <w:tr>
        <w:trPr>
          <w:trHeight w:val="183"/>
        </w:trPr>
        <w:tc>
          <w:tcPr>
            <w:tcW w:w="294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Balance as of June 30, 2022</w:t>
            </w:r>
          </w:p>
        </w:tc>
        <w:tc>
          <w:tcPr>
            <w:tcW w:w="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59,117,749</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gridSpan w:val="3"/>
          </w:tcPr>
          <w:p>
            <w:pPr>
              <w:jc w:val="center"/>
              <w:ind w:right="200"/>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gridSpan w:val="5"/>
          </w:tcPr>
          <w:p>
            <w:pPr>
              <w:jc w:val="right"/>
              <w:spacing w:after="0" w:line="183" w:lineRule="exact"/>
              <w:rPr>
                <w:sz w:val="20"/>
                <w:szCs w:val="20"/>
                <w:color w:val="auto"/>
              </w:rPr>
            </w:pPr>
            <w:r>
              <w:rPr>
                <w:rFonts w:ascii="Arial" w:cs="Arial" w:eastAsia="Arial" w:hAnsi="Arial"/>
                <w:sz w:val="17"/>
                <w:szCs w:val="17"/>
                <w:color w:val="auto"/>
              </w:rPr>
              <w:t>$ 655,143</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Borders>
              <w:top w:val="single" w:sz="8" w:color="auto"/>
              <w:bottom w:val="single" w:sz="8" w:color="auto"/>
            </w:tcBorders>
            <w:gridSpan w:val="2"/>
          </w:tcPr>
          <w:p>
            <w:pPr>
              <w:jc w:val="right"/>
              <w:ind w:right="545"/>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gridSpan w:val="3"/>
          </w:tcPr>
          <w:p>
            <w:pPr>
              <w:jc w:val="right"/>
              <w:spacing w:after="0" w:line="183" w:lineRule="exact"/>
              <w:rPr>
                <w:sz w:val="20"/>
                <w:szCs w:val="20"/>
                <w:color w:val="auto"/>
              </w:rPr>
            </w:pPr>
            <w:r>
              <w:rPr>
                <w:rFonts w:ascii="Arial" w:cs="Arial" w:eastAsia="Arial" w:hAnsi="Arial"/>
                <w:sz w:val="17"/>
                <w:szCs w:val="17"/>
                <w:color w:val="auto"/>
              </w:rPr>
              <w:t>$ (408,582)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246,533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Borders>
              <w:bottom w:val="single" w:sz="8" w:color="auto"/>
            </w:tcBorders>
            <w:gridSpan w:val="7"/>
          </w:tcPr>
          <w:p>
            <w:pPr>
              <w:jc w:val="center"/>
              <w:ind w:left="4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1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center"/>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96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December 31, 2020</w:t>
            </w: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56,890,569</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585,374</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(488,195)</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97,180</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21,503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21,503</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Exercise of stock options</w:t>
            </w:r>
          </w:p>
        </w:tc>
        <w:tc>
          <w:tcPr>
            <w:tcW w:w="10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109,570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7"/>
                <w:szCs w:val="17"/>
                <w:color w:val="auto"/>
              </w:rPr>
              <w:t>660</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7,208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7,208</w:t>
            </w:r>
          </w:p>
        </w:tc>
        <w:tc>
          <w:tcPr>
            <w:tcW w:w="20" w:type="dxa"/>
            <w:vAlign w:val="bottom"/>
          </w:tcPr>
          <w:p>
            <w:pPr>
              <w:spacing w:after="0"/>
              <w:rPr>
                <w:sz w:val="16"/>
                <w:szCs w:val="16"/>
                <w:color w:val="auto"/>
              </w:rPr>
            </w:pPr>
          </w:p>
        </w:tc>
      </w:tr>
      <w:tr>
        <w:trPr>
          <w:trHeight w:val="183"/>
        </w:trPr>
        <w:tc>
          <w:tcPr>
            <w:tcW w:w="2960" w:type="dxa"/>
            <w:vAlign w:val="bottom"/>
            <w:tcBorders>
              <w:top w:val="single" w:sz="8" w:color="CCEEFF"/>
              <w:bottom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June 30, 2021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57,000,139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593,242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(466,692)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3"/>
            <w:shd w:val="clear" w:color="auto" w:fill="CCEEFF"/>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126,551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Borders>
              <w:bottom w:val="single" w:sz="8" w:color="auto"/>
            </w:tcBorders>
            <w:gridSpan w:val="7"/>
          </w:tcPr>
          <w:p>
            <w:pPr>
              <w:jc w:val="center"/>
              <w:ind w:left="4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1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center"/>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96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March 31, 2021</w:t>
            </w: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56,892,406</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588,687</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(480,809)</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107,879</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14,117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14,117</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Exercise of options</w:t>
            </w:r>
          </w:p>
        </w:tc>
        <w:tc>
          <w:tcPr>
            <w:tcW w:w="10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107,733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5"/>
            <w:shd w:val="clear" w:color="auto" w:fill="CCEEFF"/>
          </w:tcPr>
          <w:p>
            <w:pPr>
              <w:jc w:val="right"/>
              <w:spacing w:after="0" w:line="189" w:lineRule="exact"/>
              <w:rPr>
                <w:sz w:val="20"/>
                <w:szCs w:val="20"/>
                <w:color w:val="auto"/>
              </w:rPr>
            </w:pPr>
            <w:r>
              <w:rPr>
                <w:rFonts w:ascii="Arial" w:cs="Arial" w:eastAsia="Arial" w:hAnsi="Arial"/>
                <w:sz w:val="17"/>
                <w:szCs w:val="17"/>
                <w:color w:val="auto"/>
              </w:rPr>
              <w:t>648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648</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Stock-based compensation</w:t>
            </w:r>
          </w:p>
        </w:tc>
        <w:tc>
          <w:tcPr>
            <w:tcW w:w="4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5"/>
          </w:tcPr>
          <w:p>
            <w:pPr>
              <w:jc w:val="right"/>
              <w:spacing w:after="0" w:line="189" w:lineRule="exact"/>
              <w:rPr>
                <w:sz w:val="20"/>
                <w:szCs w:val="20"/>
                <w:color w:val="auto"/>
              </w:rPr>
            </w:pPr>
            <w:r>
              <w:rPr>
                <w:rFonts w:ascii="Arial" w:cs="Arial" w:eastAsia="Arial" w:hAnsi="Arial"/>
                <w:sz w:val="17"/>
                <w:szCs w:val="17"/>
                <w:color w:val="auto"/>
              </w:rPr>
              <w:t>3,907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3,907</w:t>
            </w:r>
          </w:p>
        </w:tc>
        <w:tc>
          <w:tcPr>
            <w:tcW w:w="20" w:type="dxa"/>
            <w:vAlign w:val="bottom"/>
          </w:tcPr>
          <w:p>
            <w:pPr>
              <w:spacing w:after="0"/>
              <w:rPr>
                <w:sz w:val="16"/>
                <w:szCs w:val="16"/>
                <w:color w:val="auto"/>
              </w:rPr>
            </w:pPr>
          </w:p>
        </w:tc>
      </w:tr>
      <w:tr>
        <w:trPr>
          <w:trHeight w:val="183"/>
        </w:trPr>
        <w:tc>
          <w:tcPr>
            <w:tcW w:w="2960" w:type="dxa"/>
            <w:vAlign w:val="bottom"/>
            <w:tcBorders>
              <w:top w:val="single" w:sz="8" w:color="CCEEFF"/>
              <w:bottom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June 30, 2021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57,000,139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6"/>
              <w:spacing w:after="0" w:line="183" w:lineRule="exact"/>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5"/>
            <w:shd w:val="clear" w:color="auto" w:fill="CCEEFF"/>
          </w:tcPr>
          <w:p>
            <w:pPr>
              <w:jc w:val="right"/>
              <w:spacing w:after="0" w:line="183" w:lineRule="exact"/>
              <w:rPr>
                <w:sz w:val="20"/>
                <w:szCs w:val="20"/>
                <w:color w:val="auto"/>
              </w:rPr>
            </w:pPr>
            <w:r>
              <w:rPr>
                <w:rFonts w:ascii="Arial" w:cs="Arial" w:eastAsia="Arial" w:hAnsi="Arial"/>
                <w:sz w:val="17"/>
                <w:szCs w:val="17"/>
                <w:color w:val="auto"/>
              </w:rPr>
              <w:t>593,242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(466,692)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3"/>
            <w:shd w:val="clear" w:color="auto" w:fill="CCEEFF"/>
          </w:tcPr>
          <w:p>
            <w:pPr>
              <w:jc w:val="right"/>
              <w:ind w:right="41"/>
              <w:spacing w:after="0" w:line="183"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126,551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3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45,016</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21,503</w:t>
            </w:r>
          </w:p>
        </w:tc>
        <w:tc>
          <w:tcPr>
            <w:tcW w:w="120" w:type="dxa"/>
            <w:vAlign w:val="bottom"/>
          </w:tcPr>
          <w:p>
            <w:pPr>
              <w:spacing w:after="0"/>
              <w:rPr>
                <w:sz w:val="14"/>
                <w:szCs w:val="14"/>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9,208</w:t>
            </w:r>
          </w:p>
        </w:tc>
        <w:tc>
          <w:tcPr>
            <w:tcW w:w="120" w:type="dxa"/>
            <w:vAlign w:val="bottom"/>
            <w:shd w:val="clear" w:color="auto" w:fill="CCEEFF"/>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11,906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7,208</w:t>
            </w:r>
          </w:p>
        </w:tc>
        <w:tc>
          <w:tcPr>
            <w:tcW w:w="1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w:t>
            </w: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1,361</w:t>
            </w:r>
          </w:p>
        </w:tc>
        <w:tc>
          <w:tcPr>
            <w:tcW w:w="1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(14,979)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(9,019)</w:t>
            </w: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(1,128)</w:t>
            </w: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(3,707)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(622)</w:t>
            </w: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5,660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120" w:type="dxa"/>
            <w:vAlign w:val="bottom"/>
            <w:shd w:val="clear" w:color="auto" w:fill="CCEEFF"/>
          </w:tcPr>
          <w:p>
            <w:pPr>
              <w:spacing w:after="0"/>
              <w:rPr>
                <w:sz w:val="14"/>
                <w:szCs w:val="14"/>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Other non-current liabilities</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r>
      <w:tr>
        <w:trPr>
          <w:trHeight w:val="156"/>
        </w:trPr>
        <w:tc>
          <w:tcPr>
            <w:tcW w:w="63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62,583</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30,600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55"/>
        </w:trPr>
        <w:tc>
          <w:tcPr>
            <w:tcW w:w="634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investment securities</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(22,406)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(205)</w:t>
            </w: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Milestone payments</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(100,000)</w:t>
            </w:r>
          </w:p>
        </w:tc>
      </w:tr>
      <w:tr>
        <w:trPr>
          <w:trHeight w:val="156"/>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(62,492)</w:t>
            </w:r>
          </w:p>
        </w:tc>
        <w:tc>
          <w:tcPr>
            <w:tcW w:w="2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(100,205)</w:t>
            </w:r>
          </w:p>
        </w:tc>
        <w:tc>
          <w:tcPr>
            <w:tcW w:w="120" w:type="dxa"/>
            <w:vAlign w:val="bottom"/>
            <w:tcBorders>
              <w:bottom w:val="single" w:sz="8" w:color="CCEEFF"/>
            </w:tcBorders>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Principal repayment of long term debt</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3,133</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4"/>
                <w:szCs w:val="14"/>
                <w:color w:val="auto"/>
              </w:rPr>
            </w:pPr>
          </w:p>
        </w:tc>
      </w:tr>
      <w:tr>
        <w:trPr>
          <w:trHeight w:val="155"/>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660</w:t>
            </w:r>
          </w:p>
        </w:tc>
        <w:tc>
          <w:tcPr>
            <w:tcW w:w="120" w:type="dxa"/>
            <w:vAlign w:val="bottom"/>
            <w:tcBorders>
              <w:bottom w:val="single" w:sz="8" w:color="CCEEFF"/>
            </w:tcBorders>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2,224</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(68,945)</w:t>
            </w:r>
          </w:p>
        </w:tc>
        <w:tc>
          <w:tcPr>
            <w:tcW w:w="120" w:type="dxa"/>
            <w:vAlign w:val="bottom"/>
            <w:shd w:val="clear" w:color="auto" w:fill="CCEEFF"/>
          </w:tcPr>
          <w:p>
            <w:pPr>
              <w:spacing w:after="0"/>
              <w:rPr>
                <w:sz w:val="13"/>
                <w:szCs w:val="13"/>
                <w:color w:val="auto"/>
              </w:rPr>
            </w:pPr>
          </w:p>
        </w:tc>
      </w:tr>
      <w:tr>
        <w:trPr>
          <w:trHeight w:val="155"/>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235,059</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229,381</w:t>
            </w:r>
          </w:p>
        </w:tc>
        <w:tc>
          <w:tcPr>
            <w:tcW w:w="120" w:type="dxa"/>
            <w:vAlign w:val="bottom"/>
            <w:tcBorders>
              <w:bottom w:val="single" w:sz="8" w:color="CCEEFF"/>
            </w:tcBorders>
          </w:tcPr>
          <w:p>
            <w:pPr>
              <w:spacing w:after="0"/>
              <w:rPr>
                <w:sz w:val="13"/>
                <w:szCs w:val="13"/>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237,283</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160,436</w:t>
            </w:r>
          </w:p>
        </w:tc>
        <w:tc>
          <w:tcPr>
            <w:tcW w:w="120" w:type="dxa"/>
            <w:vAlign w:val="bottom"/>
            <w:shd w:val="clear" w:color="auto" w:fill="CCEEFF"/>
          </w:tcPr>
          <w:p>
            <w:pPr>
              <w:spacing w:after="0"/>
              <w:rPr>
                <w:sz w:val="13"/>
                <w:szCs w:val="13"/>
                <w:color w:val="auto"/>
              </w:rPr>
            </w:pPr>
          </w:p>
        </w:tc>
      </w:tr>
      <w:tr>
        <w:trPr>
          <w:trHeight w:val="156"/>
        </w:trPr>
        <w:tc>
          <w:tcPr>
            <w:tcW w:w="6340" w:type="dxa"/>
            <w:vAlign w:val="bottom"/>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13,092</w:t>
            </w:r>
          </w:p>
        </w:tc>
        <w:tc>
          <w:tcPr>
            <w:tcW w:w="120" w:type="dxa"/>
            <w:vAlign w:val="bottom"/>
            <w:shd w:val="clear" w:color="auto" w:fill="CCEEFF"/>
          </w:tcPr>
          <w:p>
            <w:pPr>
              <w:spacing w:after="0"/>
              <w:rPr>
                <w:sz w:val="14"/>
                <w:szCs w:val="14"/>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SUBSIDIARY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9" w:lineRule="auto"/>
        <w:rPr>
          <w:sz w:val="20"/>
          <w:szCs w:val="20"/>
          <w:color w:val="auto"/>
        </w:rPr>
      </w:pPr>
      <w:r>
        <w:rPr>
          <w:rFonts w:ascii="Arial" w:cs="Arial" w:eastAsia="Arial" w:hAnsi="Arial"/>
          <w:sz w:val="18"/>
          <w:szCs w:val="18"/>
          <w:color w:val="auto"/>
        </w:rPr>
        <w:t>Harmony Biosciences Holdings, Inc., and its consolidated subsidiary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diseases as well as patients living with other neurological diseases who have unmet medical needs. The Company is headquartered in Plymouth Meeting, Pennsylvania.</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2020, the Company completed its initial public offering (“IPO”) of common stock, in which it sold 6,151,162 shares, including 802,325 shares pursuant to the underwriters’ over-allotment option. The shares were sold at a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180"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$408,582 and $453,598, as of June 30, 2022 and December 31, 2021, respectively. As of June 30, 2022, the Company had cash and cash equivalents of $236,533.</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and cash equivalents on hand as of June 30, 2022,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42"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June 30, 2022, the unaudited condensed consolidated statements of cash flows for the six months ended June 30, 2022 and 2021, and the unaudited condensed consolidated statements</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of operations and comprehensive income and the unaudited condensed consolidated statements of shareholders’ equity for the three and six months ended June 30, 2022 and 2021, are unaudited. The balance sheet as of June 30, 2022 was derived from audited financial statements as of and for the year ended December 31, 2021. The unaudited interim condensed consolidated financial statements have been prepared on the same basis as the audited annual financial statements as of and for the year ended December 31, 2021, and, in the opinion of management, reflect all adjustments, which include only normal recurring adjustments, necessary for the fair presentation of the Company’s financial position as of June 30, 2022, and the results of its operations and its cash flows for the six months ended June 30, 2022 and 2021.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2021.</w:t>
      </w:r>
    </w:p>
    <w:p>
      <w:pPr>
        <w:spacing w:after="0" w:line="18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has updated certain prior period disclosures within Note 11 in order to conform with current period presentation.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Uncertainties related to the magnitude and duration of COVID-19, the extent to which it will impact our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estimates and assumptions used in the preparation of the unaudited condensed consolidated financial statements, including the carrying amounts of long-lived assets, and the intangible asset. Actual results may differ significantly from our estimates as a result of COVID-19.</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that equal the amount reflected in the statements of cash flows.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59"/>
              <w:spacing w:after="0" w:line="147"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060" w:type="dxa"/>
            <w:vAlign w:val="bottom"/>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236,533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234,309</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237,283</w:t>
            </w:r>
          </w:p>
        </w:tc>
        <w:tc>
          <w:tcPr>
            <w:tcW w:w="42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235,059</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The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net, on the unaudited condensed consolidated statements of operations and comprehensive income. Interest income and realized gains and losses, if any, are also recorded in interest expense, net, on the unaudited condensed consolidated statement of operations and comprehensive income. Realized gains and losses that result from the sale of investments are determined on a specific identification basis.</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Substantially all of the Company’s cash and money market funds are held in two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June 30, 2022, three customers accounted for 100% of gross accounts receivable; Caremark LLC (“CVS Caremark”), which accounted for 38% of gross accounts receivable; PANTHERx Specialty Pharmacy LLC (“Pantherx”, which accounted for 34% of gross accounts receivable: and, Accredo Health Group, Inc. (“Accredo”), which accounted for 28% of gross accounts receivable. As of December 31, 2021, three customers accounted for 100% of gross accounts receivable; Accredo, which accounted for 40% of gross accounts receivable; Pantherx, which accounted for 31% of gross accounts receivable; and CVS Caremark, which accounted for 29% of gross accounts receivable.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six months ended June 30, 2022, three customers accounted for 100% of gross product revenues; CVS Caremark accounted for 39% of gross product revenues; Pantherx accounted for 32% of gross product revenues; and Accredo accounted for 29% of gross product revenues. For the six months ended June 30, 2021 three customers accounted for 100% of gross product revenues; CVS Caremark accounted for 37% of gross product revenues; Pantherx accounted for 35% of gross product revenues; and Accredo accounted for 28% of gross product revenues.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depends on a single source supplier for its product and active pharmaceutical ingredient.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b w:val="1"/>
          <w:bCs w:val="1"/>
          <w:color w:val="auto"/>
        </w:rPr>
        <w:t xml:space="preserve">ASU 2020-04, Reference Rate Reform (Topic 848). </w:t>
      </w: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to its condensed consolidated financial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major security type of security, consisted of the following:</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20"/>
                <w:szCs w:val="20"/>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Short-term:</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Cost</w:t>
            </w: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Gains</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14,344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14,329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17,657</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17,638</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4,757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4,747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maturity dates ranging from 1-2 years.</w:t>
      </w: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understanding the models that are used and obtaining market values from other pricing sources. The Company did not classify any assets or liabilities as Level 3 as of June 30, 2022 or December 31, 2021.</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ectPr>
          <w:pgSz w:w="11900" w:h="16838" w:orient="portrait"/>
          <w:cols w:equalWidth="0" w:num="1">
            <w:col w:w="9019"/>
          </w:cols>
          <w:pgMar w:left="1440" w:top="513" w:right="1440" w:bottom="1440" w:gutter="0" w:footer="0" w:header="0"/>
        </w:sectPr>
      </w:pPr>
    </w:p>
    <w:p>
      <w:pPr>
        <w:spacing w:after="0" w:line="289"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6350</wp:posOffset>
            </wp:positionV>
            <wp:extent cx="1774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49" w:lineRule="exact"/>
        <w:rPr>
          <w:sz w:val="20"/>
          <w:szCs w:val="20"/>
          <w:color w:val="auto"/>
        </w:rPr>
      </w:pPr>
    </w:p>
    <w:p>
      <w:pPr>
        <w:ind w:left="3400"/>
        <w:spacing w:after="0"/>
        <w:tabs>
          <w:tab w:leader="none" w:pos="4260" w:val="left"/>
          <w:tab w:leader="none" w:pos="520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6350</wp:posOffset>
            </wp:positionV>
            <wp:extent cx="1809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49" w:lineRule="exact"/>
        <w:rPr>
          <w:sz w:val="20"/>
          <w:szCs w:val="20"/>
          <w:color w:val="auto"/>
        </w:rPr>
      </w:pPr>
    </w:p>
    <w:p>
      <w:pPr>
        <w:spacing w:after="0"/>
        <w:tabs>
          <w:tab w:leader="none" w:pos="860" w:val="left"/>
          <w:tab w:leader="none" w:pos="182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p>
    <w:p>
      <w:pPr>
        <w:spacing w:after="0" w:line="10" w:lineRule="exact"/>
        <w:rPr>
          <w:sz w:val="20"/>
          <w:szCs w:val="20"/>
          <w:color w:val="auto"/>
        </w:rPr>
      </w:pPr>
    </w:p>
    <w:p>
      <w:pPr>
        <w:sectPr>
          <w:pgSz w:w="11900" w:h="16838" w:orient="portrait"/>
          <w:cols w:equalWidth="0" w:num="2">
            <w:col w:w="5740" w:space="720"/>
            <w:col w:w="255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$ 172,183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172,183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2,604</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196"/>
        </w:trPr>
        <w:tc>
          <w:tcPr>
            <w:tcW w:w="30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$ 194,568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172,183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22,385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156,782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156,782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net consisted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June 30,</w:t>
            </w: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96"/>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986</w:t>
            </w:r>
          </w:p>
        </w:tc>
        <w:tc>
          <w:tcPr>
            <w:tcW w:w="20" w:type="dxa"/>
            <w:vAlign w:val="bottom"/>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1,809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1,787</w:t>
            </w:r>
          </w:p>
        </w:tc>
        <w:tc>
          <w:tcPr>
            <w:tcW w:w="2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2,242</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c>
          <w:tcPr>
            <w:tcW w:w="20" w:type="dxa"/>
            <w:vAlign w:val="bottom"/>
          </w:tcPr>
          <w:p>
            <w:pPr>
              <w:spacing w:after="0"/>
              <w:rPr>
                <w:sz w:val="17"/>
                <w:szCs w:val="17"/>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4,657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4,881</w:t>
            </w:r>
          </w:p>
        </w:tc>
        <w:tc>
          <w:tcPr>
            <w:tcW w:w="2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tcPr>
          <w:p>
            <w:pPr>
              <w:spacing w:after="0"/>
              <w:rPr>
                <w:sz w:val="17"/>
                <w:szCs w:val="17"/>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4,208</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4,432</w:t>
            </w:r>
          </w:p>
        </w:tc>
        <w:tc>
          <w:tcPr>
            <w:tcW w:w="2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INTANGIBLE ASSETS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$ 75,000 under the provisions of the License Agreement (defined below) which the Company capitalized as an intangible asset. The Company determined a useful life of 10 years for such intangible asset, and, as of June 30, 2022 the remaining useful life was 7.3 years.</w:t>
      </w:r>
    </w:p>
    <w:p>
      <w:pPr>
        <w:spacing w:after="0" w:line="176"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In October 2020, the Company received FDA approval for the New Drug Application (“NDA”) for WAKIX for the treatment of cataplexy in adult patients with narcolepsy. This event triggered a milestone payment of $100,000 under the provisions of the License Agreement which the Company capitalized as an intangible asset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and paid in January of 2021. The Company determined a useful life of 9 years for such intangible asset, and, as of June 30, 2022 the remaining useful life was 7.3 years.</w:t>
      </w:r>
    </w:p>
    <w:p>
      <w:pPr>
        <w:spacing w:after="0" w:line="15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License Agreement which the Company capitalized as an intangible asset and paid in March of 2022. The Company determined a useful life of 7.6 years for such intangible asset, and, as of June 30, 2022 the remaining useful life was 7.3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Amortization expense was $5,961 and $ 4,629 for the three months ended June 30, 2022 and 2021, respectively, and $11,043 and $9,208 for the six months ended June 30, 2022 and 2021, respectively, and is recorded in general and administrative expenses on the unaudited condensed consolidated statements of operations and comprehensive income.</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amortization expense relating to unamortized intangible assets as of June 30, 2022 for the periods indicated below consists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2022 (Excluding the six months ended June 30, 2022)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65,573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172,876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gridSpan w:val="4"/>
            <w:vMerge w:val="restart"/>
          </w:tcPr>
          <w:p>
            <w:pPr>
              <w:ind w:left="640"/>
              <w:spacing w:after="0"/>
              <w:rPr>
                <w:sz w:val="20"/>
                <w:szCs w:val="20"/>
                <w:color w:val="auto"/>
              </w:rPr>
            </w:pPr>
            <w:r>
              <w:rPr>
                <w:rFonts w:ascii="Arial" w:cs="Arial" w:eastAsia="Arial" w:hAnsi="Arial"/>
                <w:sz w:val="18"/>
                <w:szCs w:val="18"/>
                <w:color w:val="auto"/>
              </w:rPr>
              <w:t>The gross carrying amount and net book value of the intangible assets is as follows: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7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(42,124)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172,876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LICENSE AND ASSET PURCHASE AGREEMENTS</w:t>
      </w:r>
    </w:p>
    <w:p>
      <w:pPr>
        <w:spacing w:after="0" w:line="212"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In July 2017, Harmony entered into the License Agreement (“the License Agreement”)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$40,000 milestone payment was paid to Bioprojet in March 2022 upon WAKIX attaining $500,000 in aggregate net sales in the United States. The License Agreement also requires a fixed trademark royalty and a tiered royalty based on net sales, which is payable to Bioprojet on a quarterly basis. The Company incurred $17,125 and $11,812 for the three months ended June 30, 2022 and 2021, respectively, and $30,797 and $21,359 for the six months ended June 30, 2022 and 2021,</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respectively, for sales-based, trademark and tiered royalties recognized as cost of product sold. As of June 30, 2022 and December 31, 2021, the Company had accrued $17,125 and $16,396, respectively, for sales-based, trademark and tiered royalties.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Additionally, there are payments due under the APA upon the achievement of certain milestones including $1,750 for preclinical milestones, $19,000 for development milestones, $44,000 for regulatory milestones and $110,000 for sales milestones.</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9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third parties</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16,396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22,558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17,141</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1,983</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1,645</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r>
      <w:tr>
        <w:trPr>
          <w:trHeight w:val="196"/>
        </w:trPr>
        <w:tc>
          <w:tcPr>
            <w:tcW w:w="5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45,626</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40,249</w:t>
            </w: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 for which the Company will pay a ticking fee at a rate of 1% per annun on the undrawn portion of the DDTL, commencing on August 10, 2022.</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repayment schedule for the Initial Term Loan consists of quarterly $ 500 principal payments, which commenced on December 31, 2021 and increasing to quarterly $5,000 principal payments beginning on March 31, 2024, with a $145,500 payment due on the maturity date of August 9, 2026 (“Maturity Date”). Interest is payable quarterly, which commenced on November 9, 2021 and continues through the Maturity Date. The Initial Term Loan bears interest at a per annum rate equal to LIBOR, subject to a 1.00% floor, plus 6.50%.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711"/>
        <w:spacing w:after="0" w:line="242" w:lineRule="auto"/>
        <w:rPr>
          <w:sz w:val="20"/>
          <w:szCs w:val="20"/>
          <w:color w:val="auto"/>
        </w:rPr>
      </w:pPr>
      <w:r>
        <w:rPr>
          <w:rFonts w:ascii="Arial" w:cs="Arial" w:eastAsia="Arial" w:hAnsi="Arial"/>
          <w:sz w:val="18"/>
          <w:szCs w:val="18"/>
          <w:color w:val="auto"/>
        </w:rPr>
        <w:t>Net cash received related to the Initial Term Loan as a result of the transaction, less debt issuance costs of $ 8,151, was $191,849. The debt issuance costs related to the Initial Term Loan will be amortized as additional interest expense over the five-year loan term of the Blackstone Credit Agreement. In addition, the Company paid $1,000 in debt issuance costs relating the DDTL, which are recorded in other current assets within the unaudited condensed consolidated balance sheet. The fair value of the Initial Term Loan as of June 30, 2022 was $142,459.</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198,500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199,500</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(6,693)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(7,516)</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net carrying value</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191,807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191,984</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196"/>
        </w:trPr>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189,807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189,984</w:t>
            </w:r>
          </w:p>
        </w:tc>
      </w:tr>
      <w:tr>
        <w:trPr>
          <w:trHeight w:val="20"/>
        </w:trPr>
        <w:tc>
          <w:tcPr>
            <w:tcW w:w="5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June 30, 2022, for the periods indicated below consists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 (Excluding the six months ended June 30, 2022)</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155,500</w:t>
            </w: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198,500</w:t>
            </w:r>
          </w:p>
        </w:tc>
      </w:tr>
      <w:tr>
        <w:trPr>
          <w:trHeight w:val="20"/>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net in the unaudited condensed consolidated statements of operations and comprehensive income and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9"/>
              </w:rPr>
              <w:t>June 30,</w:t>
            </w:r>
          </w:p>
        </w:tc>
      </w:tr>
      <w:tr>
        <w:trPr>
          <w:trHeight w:val="156"/>
        </w:trPr>
        <w:tc>
          <w:tcPr>
            <w:tcW w:w="5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3,773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6,582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13,092</w:t>
            </w:r>
          </w:p>
        </w:tc>
        <w:tc>
          <w:tcPr>
            <w:tcW w:w="140" w:type="dxa"/>
            <w:vAlign w:val="bottom"/>
            <w:shd w:val="clear" w:color="auto" w:fill="CCEEFF"/>
          </w:tcPr>
          <w:p>
            <w:pPr>
              <w:spacing w:after="0"/>
              <w:rPr>
                <w:sz w:val="17"/>
                <w:szCs w:val="17"/>
                <w:color w:val="auto"/>
              </w:rPr>
            </w:pPr>
          </w:p>
        </w:tc>
      </w:tr>
      <w:tr>
        <w:trPr>
          <w:trHeight w:val="203"/>
        </w:trPr>
        <w:tc>
          <w:tcPr>
            <w:tcW w:w="5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1,361</w:t>
            </w:r>
          </w:p>
        </w:tc>
        <w:tc>
          <w:tcPr>
            <w:tcW w:w="140" w:type="dxa"/>
            <w:vAlign w:val="bottom"/>
            <w:tcBorders>
              <w:bottom w:val="single" w:sz="8" w:color="CCEEFF"/>
            </w:tcBorders>
          </w:tcPr>
          <w:p>
            <w:pPr>
              <w:spacing w:after="0"/>
              <w:rPr>
                <w:sz w:val="17"/>
                <w:szCs w:val="17"/>
                <w:color w:val="auto"/>
              </w:rPr>
            </w:pPr>
          </w:p>
        </w:tc>
      </w:tr>
      <w:tr>
        <w:trPr>
          <w:trHeight w:val="196"/>
        </w:trPr>
        <w:tc>
          <w:tcPr>
            <w:tcW w:w="52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8,420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14,453</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In December 2020, the Company entered into an operating lease for approximately thirteen thousand square feet of additional office space in Plymouth Meeting, PA, which expires in May 2024. The terms of the lease payments provide for rental payments on a monthly basis and on a graduated scale. The Company also leases a fleet of automobiles that are used by its sales representatives and are classified as operating leases.</w:t>
      </w:r>
    </w:p>
    <w:p>
      <w:pPr>
        <w:spacing w:after="0" w:line="17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months or less are not recorded on the balance sheet. Our leases have remaining lease terms of less than 1 year to 3 years, some of which may include the option to extend or terminate the leases.</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recorded operating lease costs of $392 and $293 for the three months ended June 30, 2022 and 2021, respectively, and $777 and $557 for the six months ended June 30, 2022 and 2021, respectively.</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June 30, 2022, the weighted-average remaining lease term for operating leases was 2.1 years and the weighted-average discount rate for operating leases was 3.8%.</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60" w:type="dxa"/>
            <w:vAlign w:val="bottom"/>
          </w:tcPr>
          <w:p>
            <w:pPr>
              <w:ind w:left="1560"/>
              <w:spacing w:after="0"/>
              <w:rPr>
                <w:sz w:val="20"/>
                <w:szCs w:val="20"/>
                <w:color w:val="auto"/>
              </w:rPr>
            </w:pPr>
            <w:r>
              <w:rPr>
                <w:rFonts w:ascii="Arial" w:cs="Arial" w:eastAsia="Arial" w:hAnsi="Arial"/>
                <w:sz w:val="14"/>
                <w:szCs w:val="14"/>
                <w:b w:val="1"/>
                <w:bCs w:val="1"/>
                <w:color w:val="auto"/>
              </w:rPr>
              <w:t>Leases</w:t>
            </w:r>
          </w:p>
        </w:tc>
        <w:tc>
          <w:tcPr>
            <w:tcW w:w="2620" w:type="dxa"/>
            <w:vAlign w:val="bottom"/>
          </w:tcPr>
          <w:p>
            <w:pPr>
              <w:ind w:left="1160"/>
              <w:spacing w:after="0"/>
              <w:rPr>
                <w:sz w:val="20"/>
                <w:szCs w:val="20"/>
                <w:color w:val="auto"/>
              </w:rPr>
            </w:pPr>
            <w:r>
              <w:rPr>
                <w:rFonts w:ascii="Arial" w:cs="Arial" w:eastAsia="Arial" w:hAnsi="Arial"/>
                <w:sz w:val="14"/>
                <w:szCs w:val="14"/>
                <w:b w:val="1"/>
                <w:bCs w:val="1"/>
                <w:color w:val="auto"/>
              </w:rPr>
              <w:t>Classification</w:t>
            </w:r>
          </w:p>
        </w:tc>
        <w:tc>
          <w:tcPr>
            <w:tcW w:w="48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2022  December 31, 2021</w:t>
            </w:r>
          </w:p>
        </w:tc>
      </w:tr>
      <w:tr>
        <w:trPr>
          <w:trHeight w:val="196"/>
        </w:trPr>
        <w:tc>
          <w:tcPr>
            <w:tcW w:w="3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620" w:type="dxa"/>
            <w:vAlign w:val="bottom"/>
          </w:tcPr>
          <w:p>
            <w:pPr>
              <w:ind w:left="240"/>
              <w:spacing w:after="0" w:line="202" w:lineRule="exact"/>
              <w:rPr>
                <w:sz w:val="20"/>
                <w:szCs w:val="20"/>
                <w:color w:val="auto"/>
              </w:rPr>
            </w:pPr>
            <w:r>
              <w:rPr>
                <w:rFonts w:ascii="Arial" w:cs="Arial" w:eastAsia="Arial" w:hAnsi="Arial"/>
                <w:sz w:val="18"/>
                <w:szCs w:val="18"/>
                <w:color w:val="auto"/>
              </w:rPr>
              <w:t>Other noncurrent assets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2,985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3,298</w:t>
            </w:r>
          </w:p>
        </w:tc>
      </w:tr>
      <w:tr>
        <w:trPr>
          <w:trHeight w:val="203"/>
        </w:trPr>
        <w:tc>
          <w:tcPr>
            <w:tcW w:w="3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620" w:type="dxa"/>
            <w:vAlign w:val="bottom"/>
          </w:tcPr>
          <w:p>
            <w:pPr>
              <w:ind w:left="240"/>
              <w:spacing w:after="0" w:line="202" w:lineRule="exact"/>
              <w:rPr>
                <w:sz w:val="20"/>
                <w:szCs w:val="20"/>
                <w:color w:val="auto"/>
              </w:rPr>
            </w:pPr>
            <w:r>
              <w:rPr>
                <w:rFonts w:ascii="Arial" w:cs="Arial" w:eastAsia="Arial" w:hAnsi="Arial"/>
                <w:sz w:val="18"/>
                <w:szCs w:val="18"/>
                <w:color w:val="auto"/>
              </w:rPr>
              <w:t>Other current liabilities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1,527</w:t>
            </w:r>
          </w:p>
        </w:tc>
      </w:tr>
      <w:tr>
        <w:trPr>
          <w:trHeight w:val="203"/>
        </w:trPr>
        <w:tc>
          <w:tcPr>
            <w:tcW w:w="3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6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r>
      <w:tr>
        <w:trPr>
          <w:trHeight w:val="196"/>
        </w:trPr>
        <w:tc>
          <w:tcPr>
            <w:tcW w:w="336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6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3,358</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3,760</w:t>
            </w:r>
          </w:p>
        </w:tc>
      </w:tr>
      <w:tr>
        <w:trPr>
          <w:trHeight w:val="20"/>
        </w:trPr>
        <w:tc>
          <w:tcPr>
            <w:tcW w:w="3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538</w:t>
            </w:r>
          </w:p>
        </w:tc>
      </w:tr>
      <w:tr>
        <w:trPr>
          <w:trHeight w:val="207"/>
        </w:trPr>
        <w:tc>
          <w:tcPr>
            <w:tcW w:w="608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 (1)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2,961</w:t>
            </w:r>
          </w:p>
        </w:tc>
      </w:tr>
    </w:tbl>
    <w:p>
      <w:pPr>
        <w:ind w:left="1040" w:hanging="315"/>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Including the balance recognized on January 1, 2021, upon adoption of ASU No. 2016-02.</w:t>
      </w:r>
    </w:p>
    <w:p>
      <w:pPr>
        <w:spacing w:after="0" w:line="19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June 30, 2022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2022 (Excluding the six months ended June 30, 2022)</w:t>
            </w:r>
          </w:p>
        </w:tc>
        <w:tc>
          <w:tcPr>
            <w:tcW w:w="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840</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2023</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1,672</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3,493</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3,358</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June 30, 2022, there were no material claims or suits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right="6399" w:hanging="650"/>
        <w:spacing w:after="0" w:line="513" w:lineRule="auto"/>
        <w:tabs>
          <w:tab w:leader="none" w:pos="35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9" w:lineRule="exact"/>
        <w:rPr>
          <w:sz w:val="20"/>
          <w:szCs w:val="20"/>
          <w:color w:val="auto"/>
        </w:rPr>
      </w:pPr>
    </w:p>
    <w:p>
      <w:pPr>
        <w:ind w:left="700" w:right="3179" w:hanging="650"/>
        <w:spacing w:after="0" w:line="485" w:lineRule="auto"/>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42"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June 30, 2022, there were 5,003,096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August 7,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six months ended June 30, 2022:</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0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2021</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5,716,597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1,463,367</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48.90</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(278,305)</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(87,330)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28.95</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0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2022</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6,814,329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8.12</w:t>
            </w:r>
          </w:p>
        </w:tc>
      </w:tr>
      <w:tr>
        <w:trPr>
          <w:trHeight w:val="20"/>
        </w:trPr>
        <w:tc>
          <w:tcPr>
            <w:tcW w:w="6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six months ended June 30, 2022:</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0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2021</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06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(2,435)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0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2022</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6.83</w:t>
            </w:r>
          </w:p>
        </w:tc>
      </w:tr>
      <w:tr>
        <w:trPr>
          <w:trHeight w:val="20"/>
        </w:trPr>
        <w:tc>
          <w:tcPr>
            <w:tcW w:w="6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six months ended June 30, 2022:</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60" w:type="dxa"/>
            <w:vAlign w:val="bottom"/>
          </w:tcPr>
          <w:p>
            <w:pPr>
              <w:spacing w:after="0"/>
              <w:rPr>
                <w:sz w:val="14"/>
                <w:szCs w:val="14"/>
                <w:color w:val="auto"/>
              </w:rPr>
            </w:pPr>
          </w:p>
        </w:tc>
        <w:tc>
          <w:tcPr>
            <w:tcW w:w="92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060" w:type="dxa"/>
            <w:vAlign w:val="bottom"/>
          </w:tcPr>
          <w:p>
            <w:pPr>
              <w:spacing w:after="0"/>
              <w:rPr>
                <w:sz w:val="14"/>
                <w:szCs w:val="14"/>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r>
      <w:tr>
        <w:trPr>
          <w:trHeight w:val="202"/>
        </w:trPr>
        <w:tc>
          <w:tcPr>
            <w:tcW w:w="606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r>
      <w:tr>
        <w:trPr>
          <w:trHeight w:val="203"/>
        </w:trPr>
        <w:tc>
          <w:tcPr>
            <w:tcW w:w="6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7"/>
                <w:szCs w:val="17"/>
                <w:color w:val="auto"/>
              </w:rPr>
            </w:pPr>
          </w:p>
        </w:tc>
      </w:tr>
      <w:tr>
        <w:trPr>
          <w:trHeight w:val="196"/>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outstanding—June 30, 2022</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30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8.74</w:t>
            </w:r>
          </w:p>
        </w:tc>
      </w:tr>
      <w:tr>
        <w:trPr>
          <w:trHeight w:val="20"/>
        </w:trPr>
        <w:tc>
          <w:tcPr>
            <w:tcW w:w="6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June 30, 2022 and December 31, 2021, stock awards issued under the 2017 and 2020 Plans of 1,314,082 and 1,285,432 common shares, respectively, were vested.</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4"/>
                <w:szCs w:val="14"/>
                <w:b w:val="1"/>
                <w:bCs w:val="1"/>
                <w:color w:val="auto"/>
              </w:rPr>
              <w:t>As of</w:t>
            </w:r>
          </w:p>
        </w:tc>
      </w:tr>
      <w:tr>
        <w:trPr>
          <w:trHeight w:val="146"/>
        </w:trPr>
        <w:tc>
          <w:tcPr>
            <w:tcW w:w="6380" w:type="dxa"/>
            <w:vAlign w:val="bottom"/>
          </w:tcPr>
          <w:p>
            <w:pPr>
              <w:spacing w:after="0"/>
              <w:rPr>
                <w:sz w:val="12"/>
                <w:szCs w:val="12"/>
                <w:color w:val="auto"/>
              </w:rPr>
            </w:pPr>
          </w:p>
        </w:tc>
        <w:tc>
          <w:tcPr>
            <w:tcW w:w="1340" w:type="dxa"/>
            <w:vAlign w:val="bottom"/>
            <w:gridSpan w:val="2"/>
          </w:tcPr>
          <w:p>
            <w:pPr>
              <w:jc w:val="right"/>
              <w:ind w:right="459"/>
              <w:spacing w:after="0" w:line="147" w:lineRule="exact"/>
              <w:rPr>
                <w:sz w:val="20"/>
                <w:szCs w:val="20"/>
                <w:color w:val="auto"/>
              </w:rPr>
            </w:pPr>
            <w:r>
              <w:rPr>
                <w:rFonts w:ascii="Arial" w:cs="Arial" w:eastAsia="Arial" w:hAnsi="Arial"/>
                <w:sz w:val="14"/>
                <w:szCs w:val="14"/>
                <w:b w:val="1"/>
                <w:bCs w:val="1"/>
                <w:color w:val="auto"/>
              </w:rPr>
              <w:t>June 30,</w:t>
            </w:r>
          </w:p>
        </w:tc>
        <w:tc>
          <w:tcPr>
            <w:tcW w:w="1180" w:type="dxa"/>
            <w:vAlign w:val="bottom"/>
            <w:gridSpan w:val="2"/>
          </w:tcPr>
          <w:p>
            <w:pPr>
              <w:jc w:val="right"/>
              <w:ind w:right="13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3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6"/>
        </w:trPr>
        <w:tc>
          <w:tcPr>
            <w:tcW w:w="6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72.57-74.99 %</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60.00 %</w:t>
            </w: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34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1.99 - 3.33 %</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0.66 - 1.44 %</w:t>
            </w:r>
          </w:p>
        </w:tc>
      </w:tr>
      <w:tr>
        <w:trPr>
          <w:trHeight w:val="239"/>
        </w:trPr>
        <w:tc>
          <w:tcPr>
            <w:tcW w:w="63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3.6 - 6.3</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4.1- 6.3</w:t>
            </w:r>
          </w:p>
        </w:tc>
        <w:tc>
          <w:tcPr>
            <w:tcW w:w="160" w:type="dxa"/>
            <w:vAlign w:val="bottom"/>
          </w:tcPr>
          <w:p>
            <w:pPr>
              <w:spacing w:after="0"/>
              <w:rPr>
                <w:sz w:val="20"/>
                <w:szCs w:val="20"/>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2020 Plan was $17.19 and $12.82 on June 30, 2022 and December 31, 2021,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net for the three and six months ended June 30, 2022 and 2021,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00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7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969</w:t>
            </w: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1,860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1,396</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8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5,661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2,481</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9,063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4,693</w:t>
            </w:r>
          </w:p>
        </w:tc>
      </w:tr>
      <w:tr>
        <w:trPr>
          <w:trHeight w:val="196"/>
        </w:trPr>
        <w:tc>
          <w:tcPr>
            <w:tcW w:w="3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7,371</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3,807</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12,267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7,058</w:t>
            </w:r>
          </w:p>
        </w:tc>
      </w:tr>
      <w:tr>
        <w:trPr>
          <w:trHeight w:val="20"/>
        </w:trPr>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Options and RSUs issued under the 2017 Plan and 2020 Plan are included in stockholder’s equity, and SARs are included in other non-current liabilities, in the Company’s unaudited condensed consolidated balance sheet. As of June 30, 2022, the total unrecognized stock-based compensation expense related to Options and RSUs was $90,381. Such amount will be recognized in the Company’s consolidated statement of operations over a weighted average period of 3.3 years.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2021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Internal Revenue Code. For both the three and six months ended June 30, 2022, there were 14,889 shares issued under the ESPP. There were no shares issued under the ESPP for the three and six months ended June 30, 2021. The discount on the ESPP for the three and six months ended June 30, 2022 was $91 and $185, respectively, and $23 for both the three and six months ended June 30, 2021, and is recorded within stock-based compensation expense.</w:t>
      </w: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reported net income for the three and six months ended June 30, 2022 and 2021. Diluted net income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restricted stock units and 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 period or when issued if later. The Company reports the more dilutive of the approaches (treasury stock or ‘if converted’) as its diluted net income per share during the period.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5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58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23,531</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14,117</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45,016</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21,503</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580" w:type="dxa"/>
            <w:vAlign w:val="bottom"/>
          </w:tcPr>
          <w:p>
            <w:pPr>
              <w:ind w:left="100"/>
              <w:spacing w:after="0" w:line="202" w:lineRule="exact"/>
              <w:rPr>
                <w:sz w:val="20"/>
                <w:szCs w:val="20"/>
                <w:color w:val="auto"/>
              </w:rPr>
            </w:pPr>
            <w:r>
              <w:rPr>
                <w:rFonts w:ascii="Arial" w:cs="Arial" w:eastAsia="Arial" w:hAnsi="Arial"/>
                <w:sz w:val="18"/>
                <w:szCs w:val="18"/>
                <w:color w:val="auto"/>
              </w:rPr>
              <w:t>Net income per common share - basic</w:t>
            </w: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0.25</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0.76</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r>
      <w:tr>
        <w:trPr>
          <w:trHeight w:val="203"/>
        </w:trPr>
        <w:tc>
          <w:tcPr>
            <w:tcW w:w="3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income per common share - diluted</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0.39</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0.74</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r>
      <w:tr>
        <w:trPr>
          <w:trHeight w:val="184"/>
        </w:trPr>
        <w:tc>
          <w:tcPr>
            <w:tcW w:w="3580" w:type="dxa"/>
            <w:vAlign w:val="bottom"/>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1"/>
        </w:trPr>
        <w:tc>
          <w:tcPr>
            <w:tcW w:w="3580" w:type="dxa"/>
            <w:vAlign w:val="bottom"/>
          </w:tcPr>
          <w:p>
            <w:pPr>
              <w:ind w:left="100"/>
              <w:spacing w:after="0"/>
              <w:rPr>
                <w:sz w:val="20"/>
                <w:szCs w:val="20"/>
                <w:color w:val="auto"/>
              </w:rPr>
            </w:pPr>
            <w:r>
              <w:rPr>
                <w:rFonts w:ascii="Arial" w:cs="Arial" w:eastAsia="Arial" w:hAnsi="Arial"/>
                <w:sz w:val="18"/>
                <w:szCs w:val="18"/>
                <w:color w:val="auto"/>
              </w:rPr>
              <w:t>common stock - basic</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59,063,358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56,940,840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58,986,370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56,916,282</w:t>
            </w:r>
          </w:p>
        </w:tc>
      </w:tr>
      <w:tr>
        <w:trPr>
          <w:trHeight w:val="184"/>
        </w:trPr>
        <w:tc>
          <w:tcPr>
            <w:tcW w:w="358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1"/>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diluted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60,922,672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58,592,876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60,759,026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58,635,195</w:t>
            </w: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Securities outstanding that are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4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54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r>
      <w:tr>
        <w:trPr>
          <w:trHeight w:val="164"/>
        </w:trPr>
        <w:tc>
          <w:tcPr>
            <w:tcW w:w="454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Stock options, SARs, and RSUs to purchase common</w:t>
            </w: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1,859,314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1,461,958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1,772,656</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1,511,899</w:t>
            </w: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Warrants</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190,078</w:t>
            </w:r>
          </w:p>
        </w:tc>
        <w:tc>
          <w:tcPr>
            <w:tcW w:w="16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207,013</w:t>
            </w:r>
          </w:p>
        </w:tc>
      </w:tr>
      <w:tr>
        <w:trPr>
          <w:trHeight w:val="196"/>
        </w:trPr>
        <w:tc>
          <w:tcPr>
            <w:tcW w:w="4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1,859,314</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1,652,036</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1,772,656</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1,718,912</w:t>
            </w: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Potential common shares issuable that were excluded from the computation of diluted weighted-average shares outstanding, as well as the warrant fair value adjustments excluded from the numerator, are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4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54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r>
      <w:tr>
        <w:trPr>
          <w:trHeight w:val="164"/>
        </w:trPr>
        <w:tc>
          <w:tcPr>
            <w:tcW w:w="454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Stock options, SARs, and RSUs to purchase common</w:t>
            </w: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5,058,223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4,731,119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5,144,881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4,681,177</w:t>
            </w: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Warrants</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220,161</w:t>
            </w:r>
          </w:p>
        </w:tc>
        <w:tc>
          <w:tcPr>
            <w:tcW w:w="16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203,226</w:t>
            </w:r>
          </w:p>
        </w:tc>
      </w:tr>
      <w:tr>
        <w:trPr>
          <w:trHeight w:val="196"/>
        </w:trPr>
        <w:tc>
          <w:tcPr>
            <w:tcW w:w="4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5,058,223</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4,951,280</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5,144,881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4,884,403</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RELATED-PARTY TRANSACTIONS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The Company terminated the management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The Company incurred $ 71 for each of the three months ended June 30, 2022 and 2021, and $ 142 for each of the six months ended June 30, 2022 and 2021, in expenses to this related party, which are included in general and administrative expense in the unaudited condensed consolidated statements of operations and comprehensive loss. As of June 30, 2022 and December 31, 2021, there were no amounts due to or due from related parties included in the unaudited condensed consolidated balance sheets.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July 31, 2022, Harmony entered into that certain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will pay an upfront, non-refundable $30,000 licensing fee as well as additional payments of up to $150,000 due under the 2022 LCA upon the achievement of certain future development and sales-based milestones. In addition, there are certain payments due upon achievement of development milestones for new indications and formulations agreed upon by both parties. The 2022 LCA also requires a fixed trademark royalty and a tiered royalty based on net sales upon commercialization, which will be payable to Bioprojet on a quarterly basis. The closing of the 2022 LCA is contingent upon clearance under the Hart-Scott-Rodino Antitrust Improvements Act of 1976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the anticipated impact of the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43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right="99" w:hanging="315"/>
        <w:spacing w:after="0" w:line="28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scope of our license agreement with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w:t>
      </w:r>
      <w:r>
        <w:rPr>
          <w:rFonts w:ascii="Times New Roman" w:cs="Times New Roman" w:eastAsia="Times New Roman" w:hAnsi="Times New Roman"/>
          <w:sz w:val="18"/>
          <w:szCs w:val="18"/>
          <w:color w:val="auto"/>
        </w:rPr>
        <w:t>“</w:t>
      </w:r>
      <w:r>
        <w:rPr>
          <w:rFonts w:ascii="Arial" w:cs="Arial" w:eastAsia="Arial" w:hAnsi="Arial"/>
          <w:sz w:val="18"/>
          <w:szCs w:val="18"/>
          <w:color w:val="auto"/>
        </w:rPr>
        <w:t>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and/or acquire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In August 2019, WAKIX was approved by the U.S. Food and Drug</w:t>
      </w:r>
    </w:p>
    <w:p>
      <w:pPr>
        <w:spacing w:after="0" w:line="1"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Administration (the “FDA”) for the treatment of excessive daytime sleepiness (“EDS”) in adult patients with narcolepsy, and its U.S. commercial launch was initiated in November 2019. In October 2020, WAKIX was</w:t>
      </w:r>
    </w:p>
    <w:p>
      <w:pPr>
        <w:sectPr>
          <w:pgSz w:w="11900" w:h="16838" w:orient="portrait"/>
          <w:cols w:equalWidth="0" w:num="1">
            <w:col w:w="9019"/>
          </w:cols>
          <w:pgMar w:left="1440" w:top="513"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Regarding pediatric narcolepsy and a pediatric indication for WAKIX, our partner, Bioropjet, has completed a Phase 3 trial in pediatric patients with narcolepsy. Bioprojet recently submitted the data to the European Medical Agency (“EMA”) seeking approval for a pediatric narcolepsy indication. The EMA’s decision on Bioprojet’s pediatric narcolepsy submission could help inform our strategy toward submitting the data to the FDA. In the meantime, we are committed to obtaining pediatric exclusivity for WAKIX and plan to submit a request for a pediatric written request later this year.</w:t>
      </w:r>
    </w:p>
    <w:p>
      <w:pPr>
        <w:spacing w:after="0" w:line="179" w:lineRule="exact"/>
        <w:rPr>
          <w:sz w:val="20"/>
          <w:szCs w:val="20"/>
          <w:color w:val="auto"/>
        </w:rPr>
      </w:pPr>
    </w:p>
    <w:p>
      <w:pPr>
        <w:jc w:val="both"/>
        <w:ind w:left="60" w:right="79" w:firstLine="648"/>
        <w:spacing w:after="0" w:line="213"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w:t>
      </w:r>
    </w:p>
    <w:p>
      <w:pPr>
        <w:spacing w:after="0" w:line="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are taking a mechanism-based approach to managing the life cycle of pitolisant and have identified idiopathic hypersomnia (“IH”), another central disorder of hypersomnolence like narcolepsy, as our next potential new indication for WAKIX. In April, we initiated a Phase 3 registrational trial (the “INTUNE Study”) to evaluate the efficacy and safety of pitolisant in adult patients with IH. We are focusing our development efforts on other rare neurological disorders in which EDS is a prominent symptom, including Prader-Willi Syndrome (“PWS”) and myotonic dystrophy, otherwise known as dystrophia myotonica (“DM”). In December 2020, we initiated a Phase 2 proof-of-concept clinical trial to evaluate pitolisant for the treatment of EDS and other key symptoms in patients with PWS and are on track for topline results from this trial in the fourth quarter of 2022. In June 2021, we initiated a Phase 2 clinical trial to evaluate pitolisant for the treatment of EDS, fatigue and cognitive dysfunction in adult patients with DM1 and anticipate topline results from this trial in 2023.</w:t>
      </w:r>
    </w:p>
    <w:p>
      <w:pPr>
        <w:spacing w:after="0" w:line="188"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are currently on track to begin a preclinical proof-of-concept study to assess the effect of HBS-102 on hyperphagia, weight gain, and other metabolic parameters in a mouse model of PWS later in 2022.</w:t>
      </w:r>
    </w:p>
    <w:p>
      <w:pPr>
        <w:spacing w:after="0" w:line="18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 with obstructive sleep apnea. We acquired an exclusive license to develop, manufacture and commercialize pitolisant in the United States pursuant to our license agreement with Bioprojet (as amended, the “Bioprojet License Agreement”)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investigational new drug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applications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the development of WAKIX/pitolisant in PWS, DM and IH and have initiated clinical trials in pursuit of potential new indications in those rare disease patient populations.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of June 30 2022, we continue to see growth in unique healthcare professional (“HCP”) prescribers of WAKIX. The average number of patients on WAKIX for the three months ended June 30, 2022 was approximately 4,300. Additionally, as of June 30, 2022,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Business Update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COVID-19 pandemic, we developed a response strategy that included establishing cross-functional response teams and implementing business continuity plans to manage the impact of the pandemic on our employees, patients, HCPs, and our business.</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Despite our response strategy, the COVID-19 pandemic has had an effect on our business and the pharmaceutical industry in general. Although the pandemic has impacted the way stakeholders interact with one another, we have leveraged technology and virtual engagement initiatives to offset our reduced in-person access to HCPs. The COVID-19 pandemic also led to high unemployment and corresponding loss of medical insurance for many patients, caused a change in relationship dynamics between patients and their HCPs, and impacted the way patients took, or did not take, their medication. As a result, we were not able to adequately gauge our growth rate and believe that our growth may be adversely impacted in the future if there is a reemergence or future outbreak of COVID-19, including any COVID-19 variant.</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intend to maintain meaningful engagement, generate awareness and educate our patients, HCPs and payors to support our commercial performance.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Commercialization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With respect to our commercialization activities, we believe the COVID-19 pandemic has put pressure on top-line prescription demand for WAKIX, primarily due to (i) our field sales team’s reduced ability to access HCPs in person, and (ii) fewer patients seeing HCPs for prescriptions or treatments. The impact on demand for WAKIX may have also been related to a reduced ability of prescribers to diagnose narcolepsy patients given the limitations in access to sleep testing, the reduced ability to see patients due to (i) cancelled appointments and</w:t>
      </w:r>
    </w:p>
    <w:p>
      <w:pPr>
        <w:jc w:val="both"/>
        <w:ind w:left="60" w:right="59" w:hanging="10"/>
        <w:spacing w:after="0" w:line="236" w:lineRule="auto"/>
        <w:tabs>
          <w:tab w:leader="none" w:pos="3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reprioritization of healthcare resources toward the treatment of COVID-19, both of which lead to fewer prescriptions. Despite these challenges, we continued to engage and educate HCPs virtually on the overall benefit/risk profile of WAKIX and continued to provide support for people living with narcolepsy. As offices, clinics and institutions have increased in-person interactions pursuant to health authority and local government guidelines, our field teams are re-initiating in-person interactions with HCPs and customers, but the timing and level of engagement may vary by account and region and may be adversely impacted in the future where reemergence or future outbreaks of COVID-19, including the rise of variants, may occur. Access to HCPs for our sales team is still limited and despite the opening up of the economy, we are still in a transition phase and expect continued, but decreasing, pressure on top line demand in future quarters as the challenges presented by COVID-19 begin to subside.</w:t>
      </w:r>
    </w:p>
    <w:p>
      <w:pPr>
        <w:spacing w:after="0" w:line="18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During the pandemic, elevated unemployment and the corresponding loss of health insurance caused some eligible patients to shift from commercial insurance to free drug and patient assistance programs, which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impacted our ability to convert demand into revenue. Given the high unemployment rates and resulting loss of employer-sponsored insurance coverage, some patients also shifted from commercial payor coverage to government payor coverage, which may have impacted, and may continue to impact, our net revenue.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Supply Chain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currently expect to have adequate supply of WAKIX into the fourth quarter of 2023, with additional API on-hand inventory to support at least 36 months beyond this time frame. We continue to work closely with our third-party manufacturers, distributors and other partners to manage our supply chain activities and mitigate potential disruptions to our product supplies as a result of the COVID -19 pandemic. We believe that our access to the required production lines to produce additional API and WAKIX finished product throughout the next 12 to 18 months may not be directly impacted should there be a need to reprioritize manufacturing resources for the production of materials utilized for COVID-19 vaccines.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manufacturing partners in France and the United States continue to be operational. If there is a subsequent outbreak of COVID-19, or if it reemerges for an extended period of time and/or begins to impact essential distribution systems such as transatlantic freight, FedEx, UPS and postal delivery, we may experience disruptions to our supply chain and operations with associated delays in the manufacturing and supply of our products.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COVID-19 pandemic has negatively impacted the pharmaceutical industry’s ability to conduct clinical trials and this impact was recently accentuated with the emergence of the Omicron variant during the second half of 2021. As a result of some challenges that we have experienced due to the COVID-19 pandemic, we have taken measures and put contingency plans in place in order to advance our clinical development programs. We implemented remote and virtual approaches to clinical trials, including the ability to perform screening remotely and allow electronic signatures on informed consent forms, using telemedicine for remote clinic visits to perform efficacy assessments and sending out licensed HCPs to patients to collect safety assessments (e.g. labs, electrocardiograms) as required by the protocols. We performed and continue to perform remote site visits and data monitoring where possible. These measures were instituted with the intent of maintaining patient safety and trial continuity while preserving study integrity. One unique challenge we continue to face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The COVID-19 pandemic has also affected us at the clinical trial site level due to staffing shortages and/or personnel being pulled off clinical trials to care for patients with COVID-19. In addition, the COVID-19 pandemic has resulted in a significant increase in FDA workload as well as the need to reprioritize the projects under review. As a result, we may continue to experience delays in FDA timelines along the course of the regulatory process (e.g. milestone meetings) and PDUFA action dates. If there is a subsequent outbreak of COVID-19 or any variant thereof or if it reemerges for an extended period of time in the future, we may experience significant delays in our clinical development timelines, which would. adversely affect our business, financial condition, results of operations and growth prospects.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COVID-19 pandemic evolved rapidly and caused a significant disruption of domestic and global financial markets. In addition, the pandemic limited our ability to conduct in-person due diligence and other interactions to identify new opportunities. If there is a subsequent outbreak of COVID-19 or any variant thereof or if it reemerges for an extended period of time, we may be unable to access additional capital, which could negatively affect our ability to execute on certain corporate development transactions or other important investment opportunities.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COVID-19 pandemic has also affected, and may continue to affect, our business operations and financial results. The extent of the impact of the COVID-19 pandemic or the potential impact of a reemergence or outbreak of the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Responsibility Impact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strive to attract and retain employees that are dedicated to keeping patients at the heart of all we do while also supporting the communities where we live and work. Our commitment toward this objective has been exemplified during the COVID-19 crisis. At the onset of the pandemic we took steps to ensure the health, safety and welfare of our employees and their families by abiding by government-issued work-from-home orders and encouraging a flexible work environment, and implementing a COVID-19 leave policy allowing for paid leave for employees affected by the virus outside of their accrued paid leave. We also made no furloughs, layoffs, or adjustments to salaries as a result of the pandemic. As pandemic-related restrictions began to and cases began to decline, all of our have returned to in-person operations with flexibility as needed, which we feel is critical to collaboration, innovation, productivity, employee well-being and engagement, and enhances our culture. We continually look for ways to support our employees in all roles across the organization in balancing their work and personal lives.</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commitment extends beyond ensuring our that our employees are supported to supporting the communities where we live and work. We have contributed to relief efforts in our local communities, to patient-focused organizations and other charitable organizations during the COVID-19 pandemic, including corporate donations, food and medical supplies and other resources. We made charitable contribution matches to local nonprofit organizations on behalf of our employees, further extending our charitable reach. We initiated our Progress at the Heart funding program to support nonprofit organizations in their efforts to address disparities, injustice and inequities in rare neurological disease diagnosis and treatment. These commitments collectively allow us to ensure that our employees are engaged in their communities in ways that make a lasting impact.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sales includes gross sales of WAKIX less provisions for sales discounts and allowances, which includes trade allowances, rebates to government and commercial entities, and discounts. Although we expect net sales to increase over time, the provisions for sales discounts and allowances may fluctuate based on the mix of sales to different customer segments and/or changes in our estimates.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Our cost of product sales is increasing moderately as we continue to ramp up production and sales infrastructure to meet expected demand for WAKIX.</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May 2023. We regularly review our inventory levels and expect write-offs from time to time. We will continue to assess inventory levels in future periods as demand for WAKIX and the rate of inventory turnover evolves.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generally include development programs for potential new indications for pitolisant in patients with IH, PWS and DM.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clinical data presentations to payors upon request and our clinical development team to identify potential clinical trial sites. Research and development costs are expensed as incurred. We have significantly increased our research and development efforts as we advance our clinical programs in IH, PWS and DM and assess other product candidates to expand our pipeline. Research and development expenses also include:</w:t>
      </w:r>
    </w:p>
    <w:p>
      <w:pPr>
        <w:spacing w:after="0" w:line="183" w:lineRule="exact"/>
        <w:rPr>
          <w:sz w:val="20"/>
          <w:szCs w:val="20"/>
          <w:color w:val="auto"/>
        </w:rPr>
      </w:pPr>
    </w:p>
    <w:p>
      <w:pPr>
        <w:ind w:left="1040" w:right="51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69"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w:t>
      </w:r>
      <w:r>
        <w:rPr>
          <w:rFonts w:ascii="Times New Roman" w:cs="Times New Roman" w:eastAsia="Times New Roman" w:hAnsi="Times New Roman"/>
          <w:sz w:val="18"/>
          <w:szCs w:val="18"/>
          <w:color w:val="auto"/>
        </w:rPr>
        <w:t>“</w:t>
      </w:r>
      <w:r>
        <w:rPr>
          <w:rFonts w:ascii="Arial" w:cs="Arial" w:eastAsia="Arial" w:hAnsi="Arial"/>
          <w:sz w:val="18"/>
          <w:szCs w:val="18"/>
          <w:color w:val="auto"/>
        </w:rPr>
        <w:t>CMOs</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6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(i.e., consultants, advisors) directly attributable to the development of our product candidates; and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that could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spacing w:after="0" w:line="271" w:lineRule="auto"/>
        <w:rPr>
          <w:sz w:val="20"/>
          <w:szCs w:val="20"/>
          <w:color w:val="auto"/>
        </w:rPr>
      </w:pPr>
      <w:r>
        <w:rPr>
          <w:rFonts w:ascii="Arial" w:cs="Arial" w:eastAsia="Arial" w:hAnsi="Arial"/>
          <w:sz w:val="18"/>
          <w:szCs w:val="18"/>
          <w:color w:val="auto"/>
        </w:rPr>
        <w:t>be impacted by future shelter-in-place orders and needs of the health care system to focus on managing patients affected by COVID-19;</w:t>
      </w:r>
    </w:p>
    <w:p>
      <w:pPr>
        <w:spacing w:after="0" w:line="154"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to pursue additional indications for pitolisant;</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our indications for the treatment of EDS or cataplexy in adult patients with narcolepsy and to expand our portfolio with the anticipated growth from potential additional indications.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Paragon Agreements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were party to a management services agreement with Paragon Biosciences, LLC (“Paragon”), which was terminated upon the consummation of our IPO, pursuant to which Paragon provided us with certain professional services.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three and six months ended June 30, 2022, we paid $0.1 million and $0.2 million, respectively, pursuant to this agreement.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net consists primarily of interest expense on debt facilities, amortization of debt issuance costs and amortization of premiums on our debt securities, partially offset by interest income earned on our cash and investment balances and accretion of discounts on our debt securities.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71"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02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4"/>
          </w:tcPr>
          <w:p>
            <w:pPr>
              <w:jc w:val="right"/>
              <w:ind w:right="51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right"/>
              <w:ind w:right="431"/>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107,028</w:t>
            </w:r>
          </w:p>
        </w:tc>
        <w:tc>
          <w:tcPr>
            <w:tcW w:w="4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73,821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192,341</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12,687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33,637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88,107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61,134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158,704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20,246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20,160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17,022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37,743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22,163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40,043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28,848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54,991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37,822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98,032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72,554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60,672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37,844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(7,227)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(8,096)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29,231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16,089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52,616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(7,600)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14,117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45,016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increased by $33.2 million, or 45.0%, for the three months ended June 30, 2022 and increased by $58.8 million, or 44.1%, for the six months ended June 30, 2022, compared to the same periods in 2021. The increase in both comparable periods was due to the growth in the average number of patients on WAKIX and price increases.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Cost of product sales increased by $6.3 million, or 49.1%, for the three months ended June 30, 2022 and increased by $10.5 million, or 45.6%, for the six months ended June 30, 2022, compared to the same periods in 2021. The increase in both comparable periods was due to higher sales of WAKIX. Cost of product sales is primarily comprised of the royalty to Bioprojet.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Research and development expenses increased by $6.2 million, or 95.0%, for the three months ended June 30, 2022, and increased by $9.1 million, or 81.1%, for the six months ended June 30, 2022, compared to the same periods in 2021. The increase in both comparable periods was due to clinical development work associated with PWS, DM and IH and increased personnel costs.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Sales and marketing expenses increased by $ 3.1 million, or 18.4%, for the three months ended June 30, 2022, and increased by $5.2 million, or 16.0%, for the six months ended June 30, 2022, compared to the same periods in 2021. The increase in both comparable periods was primarily due to patient engagement and marketing activities driven by our commercialization of WAKIX and increased personnel costs related to sales force expansion.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General and administrative expenses increased by $7.9 million, or 55.0%, for the three months ended June 30, 2022 and increased by $11.2 million, or 38.8%, for the six months ended June 30, 2022, as compared to the same periods in 2021. The increase in both comparable periods was primarily due to an increase to stock compensation associated with new awards, an increase in intangible asset amortization as a result of the $40.0 million milestone payment upon attaining $500.0 million in life-to-date aggregate net sales of WAKIX in the United States and an increase in personnel costs.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decreased by $3.3 million, or 45.7%, for the three months ended June 30, 2022 and decreased by $6.3 million, or 43.6%, for the six months ended June 30, 2022, compared to the same periods in 2021 primarily due to lower interest rates as a result of entering into the Blackstone Credit Agreement in August 2021, partially offset by an increase in amortization of deferred financing costs.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interim periods, we estimate the annual effective income tax rate and apply the estimated rate to the year-to-date income or loss before income taxes. The effective income tax rate was 19.5% and 12.3% for the three months ended June 30, 2022 and 2021, respectively, and 14.4% and 8.4% for the six months ended June 30, 2022 and 2021, respectively. The increase in the effective income tax rate for both comparable periods was primarily driven by an increase in taxable income. Currently, we have recorded a full valuation allowance against our net deferred tax assets, primarily related to federal and state net operating losses.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To date, we have financed our operations primarily with (a) proceeds from sales of our convertible preferred stock; (b) borrowings under our (i) CRG Loan, (ii) our Credit Agreement with OrbiMed and (iii) our Blackstone Credit Agreement; (c) the proceeds from our IPO; and (d) the proceeds from the sale of common stock to Blackstone. From our inception through our IPO, we received aggregate proceeds of $345.0 million from sales of our convertible preferred stock. In August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June 30, 2022, we had cash, cash equivalents, restricted cash and investments of $259.7 million and accumulated deficit of $408.6 million. As of June 30, 2022, we had outstanding debt of $198.5 million.</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have invested a portion of our available cash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Our investment portfolio may be adversely impacted by future disruptions in the credit markets.</w:t>
      </w:r>
    </w:p>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believe that our anticipated cash from operating and financing activities, including as a result of potential availability under the DDTL (defined below), existing cash and cash equivalents and investments will enable us to meet our operational liquidity needs and fund our planned investing activities for the next</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12 months. We have based this estimate on assumptions that may prove to be incorrect, and we could use our capital resources sooner than we expect.</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$ 200.0 million (the “Initial Term Loan”) and (ii) a senior secured delayed draw term loan facility in an aggregate principal amount up to $100.0 million (the “DDTL” and, together with the Initial Term Loans, the “Loans”). The DDTL was initially available to draw down through August 9, 2022. In August 2022, the Company entered into an agreement to extend the expiration date of the DDTL to August 9, 2023, for which the Company will pay a ticking fee at a rate of 1% per annun on the undrawn portion of the DDTL, commencing on August 10, 2022. We used substantially all of the proceeds from the Blackstone Credit Agreement, and the related sale of our common stock, to repay the balance of the OrbiMed Credit Agreement.</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repayment schedule for the Initial Loan consists of quarterly $0.5 million principal payments commencing on December 31, 2021 and increasing to quarterly $5 million payments beginning on March 31, 2024, with a $145.5 million payment due on the maturity date of August 9, 2026 (“Maturity Date”). Interest is payable quarterly commencing on November 9, 2021 and continuing through the Maturity Date. The Initial Term Loan bears interest at a per annum rate equal to LIBOR, subject to a 1.00% floor, plus 6.50%. The Loans are guaranteed by our subsidiary Harmony Biosciences, LLC.</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 The Company is in compliance with all covenants as of June 30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the Company entered into an asset purchase agreement with ConSynance Therapeutics, Inc. to acquire HBS-102 (formerly “CSTI-100”), a potential first-in-class molecule with a novel mechanism of action. Under the terms of the agreement, the Company acquired full development and commercialization rights globally, with the exception of Greater China, for $ 3.5 million. Additionally, there are payments due upon the achievement of certain milestones including $1.8 million for preclinical milestones, $19.0 million for development milestones, $44.0 million for regulatory milestones and $110.0 million for sales milestones.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Milestone Payment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Upon FDA approval of WAKIX for the treatment of cataplexy in adult patients with narcolepsy in October 2020 (the “Cataplexy Milestone Trigger Date”), we became obligated to make the $100.0 million milestone payment (the “Cataplexy Milestone Payment”) to Bioprojet under the provisions of the Bioprojet License Agreement. Subsequently, in October 2020, we made a payment to Bioprojet of $2.0 million to extend the Cataplexy Milestone Payment due date to within 90 days of the Cataplexy Milestone Trigger Date. In January 2021, we made the $100.0 million Cataplexy Milestone Payment in full to Bioprojet. In addition, we made a final $40.0 million milestone payment to Bioprojet in March 2022 upon WAKIX attaining $500.0 million in life-to-date aggregate net sales in the United States.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a summary of our cash flows for the six months ended June 30, 2022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6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62,583</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(62,492)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operating activities for the six months ended June 30, 2022 consisted of our net income of $ 45.0 million adjusted for non-cash items of $11.3 million related to intangible amortization and depreciation and $ 12.3 million related to stock-based compensation expense. Net working capital excluding cash decreased by $7.5 million.</w:t>
      </w:r>
    </w:p>
    <w:p>
      <w:pPr>
        <w:spacing w:after="0" w:line="174"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Net cash provided by operating activities for the six months ended June 30, 2021 consisted of our net income of $ 21.5 million adjusted for non-cash items of $9.4 million related to intangible amortization and depreciation and $ 7.2 million related to stock-based compensation expense. Net working capital excluding cash decreased by $8.7 million.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Net cash used in investing activities for the six months ended June 30, 2022 was $ 62.5 million, which was primarily attributable to a final $40.0 million milestone payment associated with the Bioprojet License Agreement and $22.4 million in purchases of debt securities. Net cash used in investing activities for the six months ended June 30, 2021 was $100.2 million, which was primarily attributable to the $100.0 million milestone payment associated with the Bioprojet License Agreement.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Net cash provided by financing activities for the six months ended June 30, 2022 was $2.1 million, which primarily consisted of $3.1 million in proceeds from exercised options offset by $1.0 million in principal payments associated with the Blackstone Credit Agreement. Net cash provided by financing activities for the six months ended June, 2021 was $0.7 million related to proceeds from exercised options.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about the carrying value of assets and liabilities that are not readily apparent from other sources. Actual results may differ from these estimates under different assumptions or conditions.</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$22.4 million of investments in money market funds, U.S. treasury notes, corporate bonds and municipal obligations as of June 30, 2022, an immediate 10% change in market interest rates would not have a material impact on the fair market value of our investment portfolio or on our financial position or results of operations.</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June 30, 2022, we had $198.5 million in borrowings outstanding. The Initial Term Loan bears interest at an interest rate equal to LIBOR (subject to a 1.00% floor) plus 6.50%. Based on the $198.5 million of principal outstanding as of June 30, 2022, an immediate 10% change in the LIBOR would not have a material impact on our debt-related obligations, financial position or results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three and six months ended June 30, 2022 and 2021.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June 30, 2022. Based on that evaluation, our principal executive officer and principal financial officer concluded that, as of June 30, 2022,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2022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2021,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July 31, 2022, Harmony entered into that certain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will pay an upfront, non-refundable $30 million licensing fee as well as additional payments of up to $150 million due under the 2022 LCA upon the achievement of certain future development and sales-based milestones. In addition, there are certain payments due upon achievement of development milestones for new indications and formulations agreed upon by both parties. The 2022 LCA also requires a fixed trademark royalty and a tiered royalty based on net sales upon commercialization, which will be payable to Bioprojet on a quarterly basis. The closing of the 2022 LCA is contingent upon clearance under the Hart-Scott-Rodino Antitrust Improvements Act of 1976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980" w:type="dxa"/>
            <w:vAlign w:val="bottom"/>
          </w:tcPr>
          <w:p>
            <w:pPr>
              <w:jc w:val="right"/>
              <w:ind w:right="294"/>
              <w:spacing w:after="0" w:line="137" w:lineRule="exact"/>
              <w:rPr>
                <w:sz w:val="20"/>
                <w:szCs w:val="20"/>
                <w:color w:val="auto"/>
              </w:rPr>
            </w:pPr>
            <w:r>
              <w:rPr>
                <w:rFonts w:ascii="Arial" w:cs="Arial" w:eastAsia="Arial" w:hAnsi="Arial"/>
                <w:sz w:val="14"/>
                <w:szCs w:val="14"/>
                <w:b w:val="1"/>
                <w:bCs w:val="1"/>
                <w:color w:val="auto"/>
              </w:rPr>
              <w:t>No.</w:t>
            </w:r>
          </w:p>
        </w:tc>
        <w:tc>
          <w:tcPr>
            <w:tcW w:w="180" w:type="dxa"/>
            <w:vAlign w:val="bottom"/>
          </w:tcPr>
          <w:p>
            <w:pPr>
              <w:spacing w:after="0"/>
              <w:rPr>
                <w:sz w:val="12"/>
                <w:szCs w:val="12"/>
                <w:color w:val="auto"/>
              </w:rPr>
            </w:pPr>
          </w:p>
        </w:tc>
        <w:tc>
          <w:tcPr>
            <w:tcW w:w="4780" w:type="dxa"/>
            <w:vAlign w:val="bottom"/>
            <w:gridSpan w:val="14"/>
          </w:tcPr>
          <w:p>
            <w:pPr>
              <w:ind w:left="1640"/>
              <w:spacing w:after="0" w:line="137"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76"/>
              <w:spacing w:after="0" w:line="137"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jc w:val="center"/>
              <w:ind w:left="56"/>
              <w:spacing w:after="0" w:line="137"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6"/>
        </w:trPr>
        <w:tc>
          <w:tcPr>
            <w:tcW w:w="980" w:type="dxa"/>
            <w:vAlign w:val="bottom"/>
            <w:tcBorders>
              <w:top w:val="single" w:sz="8" w:color="auto"/>
            </w:tcBorders>
          </w:tcPr>
          <w:p>
            <w:pPr>
              <w:jc w:val="right"/>
              <w:ind w:right="354"/>
              <w:spacing w:after="0" w:line="17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4620" w:type="dxa"/>
            <w:vAlign w:val="bottom"/>
            <w:tcBorders>
              <w:top w:val="single" w:sz="8" w:color="auto"/>
            </w:tcBorders>
            <w:gridSpan w:val="13"/>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Amended and Restated Certificate of Incorporation of</w:t>
              </w:r>
            </w:hyperlink>
          </w:p>
        </w:tc>
        <w:tc>
          <w:tcPr>
            <w:tcW w:w="160" w:type="dxa"/>
            <w:vAlign w:val="bottom"/>
          </w:tcPr>
          <w:p>
            <w:pPr>
              <w:spacing w:after="0"/>
              <w:rPr>
                <w:sz w:val="15"/>
                <w:szCs w:val="15"/>
                <w:color w:val="auto"/>
              </w:rPr>
            </w:pPr>
          </w:p>
        </w:tc>
        <w:tc>
          <w:tcPr>
            <w:tcW w:w="560" w:type="dxa"/>
            <w:vAlign w:val="bottom"/>
            <w:tcBorders>
              <w:top w:val="single" w:sz="8" w:color="auto"/>
            </w:tcBorders>
          </w:tcPr>
          <w:p>
            <w:pPr>
              <w:jc w:val="center"/>
              <w:ind w:left="76"/>
              <w:spacing w:after="0" w:line="176" w:lineRule="exact"/>
              <w:rPr>
                <w:sz w:val="20"/>
                <w:szCs w:val="20"/>
                <w:color w:val="auto"/>
              </w:rPr>
            </w:pPr>
            <w:r>
              <w:rPr>
                <w:rFonts w:ascii="Arial" w:cs="Arial" w:eastAsia="Arial" w:hAnsi="Arial"/>
                <w:sz w:val="18"/>
                <w:szCs w:val="18"/>
                <w:color w:val="auto"/>
                <w:w w:val="99"/>
              </w:rPr>
              <w:t>8-K</w:t>
            </w:r>
          </w:p>
        </w:tc>
        <w:tc>
          <w:tcPr>
            <w:tcW w:w="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6"/>
              <w:spacing w:after="0" w:line="176"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98"/>
              </w:rPr>
            </w:pPr>
            <w:hyperlink r:id="rId53">
              <w:r>
                <w:rPr>
                  <w:rFonts w:ascii="Arial" w:cs="Arial" w:eastAsia="Arial" w:hAnsi="Arial"/>
                  <w:sz w:val="18"/>
                  <w:szCs w:val="18"/>
                  <w:color w:val="0000EE"/>
                  <w:w w:val="98"/>
                </w:rPr>
                <w:t>Harmony Biosciences Holdings, Inc.</w:t>
              </w:r>
            </w:hyperlink>
          </w:p>
        </w:tc>
        <w:tc>
          <w:tcPr>
            <w:tcW w:w="9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3"/>
          </w:tcPr>
          <w:p>
            <w:pPr>
              <w:jc w:val="center"/>
              <w:ind w:left="216"/>
              <w:spacing w:after="0" w:line="182" w:lineRule="exact"/>
              <w:rPr>
                <w:sz w:val="20"/>
                <w:szCs w:val="20"/>
                <w:color w:val="auto"/>
              </w:rPr>
            </w:pPr>
            <w:r>
              <w:rPr>
                <w:rFonts w:ascii="Arial" w:cs="Arial" w:eastAsia="Arial" w:hAnsi="Arial"/>
                <w:sz w:val="18"/>
                <w:szCs w:val="18"/>
                <w:color w:val="auto"/>
                <w:w w:val="99"/>
              </w:rPr>
              <w:t>2020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ind w:right="354"/>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4780" w:type="dxa"/>
            <w:vAlign w:val="bottom"/>
            <w:gridSpan w:val="14"/>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Amended and Restated Bylaws.</w:t>
              </w:r>
            </w:hyperlink>
          </w:p>
        </w:tc>
        <w:tc>
          <w:tcPr>
            <w:tcW w:w="560" w:type="dxa"/>
            <w:vAlign w:val="bottom"/>
          </w:tcPr>
          <w:p>
            <w:pPr>
              <w:jc w:val="center"/>
              <w:ind w:left="76"/>
              <w:spacing w:after="0" w:line="196"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6"/>
              <w:spacing w:after="0" w:line="196" w:lineRule="exact"/>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3"/>
            <w:vMerge w:val="restart"/>
          </w:tcPr>
          <w:p>
            <w:pPr>
              <w:jc w:val="center"/>
              <w:ind w:left="216"/>
              <w:spacing w:after="0"/>
              <w:rPr>
                <w:sz w:val="20"/>
                <w:szCs w:val="20"/>
                <w:color w:val="auto"/>
              </w:rPr>
            </w:pPr>
            <w:r>
              <w:rPr>
                <w:rFonts w:ascii="Arial" w:cs="Arial" w:eastAsia="Arial" w:hAnsi="Arial"/>
                <w:sz w:val="18"/>
                <w:szCs w:val="18"/>
                <w:color w:val="auto"/>
                <w:w w:val="99"/>
              </w:rPr>
              <w:t>2020</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980" w:type="dxa"/>
            <w:vAlign w:val="bottom"/>
            <w:vMerge w:val="restart"/>
          </w:tcPr>
          <w:p>
            <w:pPr>
              <w:jc w:val="right"/>
              <w:ind w:right="294"/>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0"/>
                <w:szCs w:val="20"/>
                <w:color w:val="auto"/>
              </w:rPr>
            </w:pPr>
          </w:p>
        </w:tc>
        <w:tc>
          <w:tcPr>
            <w:tcW w:w="4780" w:type="dxa"/>
            <w:vAlign w:val="bottom"/>
            <w:gridSpan w:val="14"/>
            <w:vMerge w:val="restart"/>
          </w:tcPr>
          <w:p>
            <w:pPr>
              <w:spacing w:after="0"/>
              <w:rPr>
                <w:sz w:val="20"/>
                <w:szCs w:val="20"/>
                <w:color w:val="auto"/>
              </w:rPr>
            </w:pPr>
            <w:r>
              <w:rPr>
                <w:rFonts w:ascii="Arial" w:cs="Arial" w:eastAsia="Arial" w:hAnsi="Arial"/>
                <w:sz w:val="18"/>
                <w:szCs w:val="18"/>
                <w:color w:val="0000EE"/>
              </w:rPr>
              <w:t>Certification of Chief Executive Officer pursuant to</w:t>
            </w:r>
          </w:p>
        </w:tc>
        <w:tc>
          <w:tcPr>
            <w:tcW w:w="560" w:type="dxa"/>
            <w:vAlign w:val="bottom"/>
          </w:tcPr>
          <w:p>
            <w:pPr>
              <w:spacing w:after="0"/>
              <w:rPr>
                <w:sz w:val="20"/>
                <w:szCs w:val="20"/>
                <w:color w:val="auto"/>
              </w:rPr>
            </w:pPr>
          </w:p>
        </w:tc>
        <w:tc>
          <w:tcPr>
            <w:tcW w:w="1580" w:type="dxa"/>
            <w:vAlign w:val="bottom"/>
            <w:gridSpan w:val="3"/>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780" w:type="dxa"/>
            <w:vAlign w:val="bottom"/>
            <w:gridSpan w:val="14"/>
            <w:vMerge w:val="continue"/>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Rules 13a-14(a) and 15d-14(a) of the Securities</w:t>
            </w:r>
          </w:p>
        </w:tc>
        <w:tc>
          <w:tcPr>
            <w:tcW w:w="18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4"/>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tcPr>
          <w:p>
            <w:pPr>
              <w:jc w:val="right"/>
              <w:ind w:right="294"/>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8"/>
              </w:rPr>
              <w:t>to Section 302 of the Sarbanes-Oxley Act of 2002.</w:t>
            </w:r>
          </w:p>
        </w:tc>
        <w:tc>
          <w:tcPr>
            <w:tcW w:w="600" w:type="dxa"/>
            <w:vAlign w:val="bottom"/>
            <w:tcBorders>
              <w:top w:val="single" w:sz="8" w:color="0000EE"/>
            </w:tcBorders>
            <w:gridSpan w:val="5"/>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4"/>
          </w:tcPr>
          <w:p>
            <w:pPr>
              <w:spacing w:after="0" w:line="196" w:lineRule="exact"/>
              <w:rPr>
                <w:sz w:val="20"/>
                <w:szCs w:val="20"/>
                <w:color w:val="auto"/>
              </w:rPr>
            </w:pPr>
            <w:r>
              <w:rPr>
                <w:rFonts w:ascii="Arial" w:cs="Arial" w:eastAsia="Arial" w:hAnsi="Arial"/>
                <w:sz w:val="18"/>
                <w:szCs w:val="18"/>
                <w:color w:val="0000EE"/>
              </w:rPr>
              <w:t>Certification of Chief Financial Officer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Rules 13a-14(a) and 15d-14(a) of the Securities</w:t>
            </w:r>
          </w:p>
        </w:tc>
        <w:tc>
          <w:tcPr>
            <w:tcW w:w="120" w:type="dxa"/>
            <w:vAlign w:val="bottom"/>
            <w:tcBorders>
              <w:top w:val="single" w:sz="8" w:color="0000EE"/>
            </w:tcBorders>
          </w:tcPr>
          <w:p>
            <w:pPr>
              <w:spacing w:after="0"/>
              <w:rPr>
                <w:sz w:val="15"/>
                <w:szCs w:val="15"/>
                <w:color w:val="auto"/>
              </w:rPr>
            </w:pPr>
          </w:p>
        </w:tc>
        <w:tc>
          <w:tcPr>
            <w:tcW w:w="2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24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4"/>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tcPr>
          <w:p>
            <w:pPr>
              <w:jc w:val="right"/>
              <w:ind w:right="214"/>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8"/>
              </w:rPr>
              <w:t>to Section 302 of the Sarbanes-Oxley Act of 2002.</w:t>
            </w:r>
          </w:p>
        </w:tc>
        <w:tc>
          <w:tcPr>
            <w:tcW w:w="600" w:type="dxa"/>
            <w:vAlign w:val="bottom"/>
            <w:tcBorders>
              <w:top w:val="single" w:sz="8" w:color="0000EE"/>
            </w:tcBorders>
            <w:gridSpan w:val="5"/>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4"/>
          </w:tcPr>
          <w:p>
            <w:pPr>
              <w:spacing w:after="0" w:line="196" w:lineRule="exact"/>
              <w:rPr>
                <w:sz w:val="20"/>
                <w:szCs w:val="20"/>
                <w:color w:val="auto"/>
              </w:rPr>
            </w:pPr>
            <w:r>
              <w:rPr>
                <w:rFonts w:ascii="Arial" w:cs="Arial" w:eastAsia="Arial" w:hAnsi="Arial"/>
                <w:sz w:val="18"/>
                <w:szCs w:val="18"/>
                <w:color w:val="0000EE"/>
              </w:rPr>
              <w:t>Certification of Chief Executive Officer pursuant to 18</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U.S.C. Section 1350, as adopted pursuant to Section</w:t>
            </w:r>
          </w:p>
        </w:tc>
        <w:tc>
          <w:tcPr>
            <w:tcW w:w="560" w:type="dxa"/>
            <w:vAlign w:val="bottom"/>
            <w:gridSpan w:val="5"/>
          </w:tcPr>
          <w:p>
            <w:pPr>
              <w:jc w:val="right"/>
              <w:ind w:right="240"/>
              <w:spacing w:after="0" w:line="182" w:lineRule="exact"/>
              <w:rPr>
                <w:sz w:val="20"/>
                <w:szCs w:val="20"/>
                <w:color w:val="auto"/>
              </w:rPr>
            </w:pPr>
            <w:r>
              <w:rPr>
                <w:rFonts w:ascii="Arial" w:cs="Arial" w:eastAsia="Arial" w:hAnsi="Arial"/>
                <w:sz w:val="18"/>
                <w:szCs w:val="18"/>
                <w:color w:val="0000EE"/>
                <w:w w:val="99"/>
              </w:rPr>
              <w:t>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right"/>
              <w:ind w:right="214"/>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45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14"/>
          </w:tcPr>
          <w:p>
            <w:pPr>
              <w:spacing w:after="0" w:line="182" w:lineRule="exact"/>
              <w:rPr>
                <w:sz w:val="20"/>
                <w:szCs w:val="20"/>
                <w:color w:val="auto"/>
              </w:rPr>
            </w:pPr>
            <w:r>
              <w:rPr>
                <w:rFonts w:ascii="Arial" w:cs="Arial" w:eastAsia="Arial" w:hAnsi="Arial"/>
                <w:sz w:val="18"/>
                <w:szCs w:val="18"/>
                <w:color w:val="0000EE"/>
              </w:rPr>
              <w:t>Certification of Chief Financial Officer pursuant to 18</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U.S.C. Section 1350, as adopted pursuant to Section</w:t>
            </w:r>
          </w:p>
        </w:tc>
        <w:tc>
          <w:tcPr>
            <w:tcW w:w="620" w:type="dxa"/>
            <w:vAlign w:val="bottom"/>
            <w:gridSpan w:val="6"/>
          </w:tcPr>
          <w:p>
            <w:pPr>
              <w:jc w:val="right"/>
              <w:ind w:right="240"/>
              <w:spacing w:after="0" w:line="182" w:lineRule="exact"/>
              <w:rPr>
                <w:sz w:val="20"/>
                <w:szCs w:val="20"/>
                <w:color w:val="auto"/>
              </w:rPr>
            </w:pPr>
            <w:r>
              <w:rPr>
                <w:rFonts w:ascii="Arial" w:cs="Arial" w:eastAsia="Arial" w:hAnsi="Arial"/>
                <w:sz w:val="18"/>
                <w:szCs w:val="18"/>
                <w:color w:val="0000EE"/>
              </w:rPr>
              <w:t>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right"/>
              <w:ind w:right="434"/>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45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top w:val="single" w:sz="8" w:color="0000EE"/>
            </w:tcBorders>
            <w:gridSpan w:val="2"/>
          </w:tcPr>
          <w:p>
            <w:pPr>
              <w:spacing w:after="0" w:line="204" w:lineRule="exact"/>
              <w:rPr>
                <w:sz w:val="20"/>
                <w:szCs w:val="20"/>
                <w:color w:val="auto"/>
              </w:rPr>
            </w:pPr>
            <w:r>
              <w:rPr>
                <w:rFonts w:ascii="Arial" w:cs="Arial" w:eastAsia="Arial" w:hAnsi="Arial"/>
                <w:sz w:val="18"/>
                <w:szCs w:val="18"/>
                <w:color w:val="auto"/>
              </w:rPr>
              <w:t>The following financial statements</w:t>
            </w:r>
          </w:p>
        </w:tc>
        <w:tc>
          <w:tcPr>
            <w:tcW w:w="2000" w:type="dxa"/>
            <w:vAlign w:val="bottom"/>
            <w:gridSpan w:val="12"/>
          </w:tcPr>
          <w:p>
            <w:pPr>
              <w:spacing w:after="0" w:line="204" w:lineRule="exact"/>
              <w:rPr>
                <w:sz w:val="20"/>
                <w:szCs w:val="20"/>
                <w:color w:val="auto"/>
              </w:rPr>
            </w:pPr>
            <w:r>
              <w:rPr>
                <w:rFonts w:ascii="Arial" w:cs="Arial" w:eastAsia="Arial" w:hAnsi="Arial"/>
                <w:sz w:val="18"/>
                <w:szCs w:val="18"/>
                <w:color w:val="auto"/>
              </w:rPr>
              <w:t>from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Quarterly Report on Form 10-Q for the fiscal quarter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4"/>
          </w:tcPr>
          <w:p>
            <w:pPr>
              <w:spacing w:after="0" w:line="202" w:lineRule="exact"/>
              <w:rPr>
                <w:sz w:val="20"/>
                <w:szCs w:val="20"/>
                <w:color w:val="auto"/>
              </w:rPr>
            </w:pPr>
            <w:r>
              <w:rPr>
                <w:rFonts w:ascii="Arial" w:cs="Arial" w:eastAsia="Arial" w:hAnsi="Arial"/>
                <w:sz w:val="18"/>
                <w:szCs w:val="18"/>
                <w:color w:val="auto"/>
              </w:rPr>
              <w:t>ended June 30, 2022 formatted in Inline XBRL:</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(i) Balance Sheets, (ii) Statements of Operations,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(iii) Statements of Stockholders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Equity and (vi) Notes to</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4"/>
          </w:tcPr>
          <w:p>
            <w:pPr>
              <w:spacing w:after="0" w:line="202" w:lineRule="exact"/>
              <w:rPr>
                <w:sz w:val="20"/>
                <w:szCs w:val="20"/>
                <w:color w:val="auto"/>
              </w:rPr>
            </w:pPr>
            <w:r>
              <w:rPr>
                <w:rFonts w:ascii="Arial" w:cs="Arial" w:eastAsia="Arial" w:hAnsi="Arial"/>
                <w:sz w:val="18"/>
                <w:szCs w:val="18"/>
                <w:color w:val="auto"/>
              </w:rPr>
              <w:t>Financial Statements, tagged as blocks of text and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4"/>
          </w:tcPr>
          <w:p>
            <w:pPr>
              <w:spacing w:after="0" w:line="202" w:lineRule="exact"/>
              <w:rPr>
                <w:sz w:val="20"/>
                <w:szCs w:val="20"/>
                <w:color w:val="auto"/>
              </w:rPr>
            </w:pPr>
            <w:r>
              <w:rPr>
                <w:rFonts w:ascii="Arial" w:cs="Arial" w:eastAsia="Arial" w:hAnsi="Arial"/>
                <w:sz w:val="18"/>
                <w:szCs w:val="18"/>
                <w:color w:val="auto"/>
              </w:rPr>
              <w:t>including detailed tags.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right"/>
              <w:ind w:right="434"/>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Cover Page Interactive Date File (formatted as Inline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gridSpan w:val="14"/>
          </w:tcPr>
          <w:p>
            <w:pPr>
              <w:spacing w:after="0"/>
              <w:rPr>
                <w:sz w:val="20"/>
                <w:szCs w:val="20"/>
                <w:color w:val="auto"/>
              </w:rPr>
            </w:pPr>
            <w:r>
              <w:rPr>
                <w:rFonts w:ascii="Arial" w:cs="Arial" w:eastAsia="Arial" w:hAnsi="Arial"/>
                <w:sz w:val="18"/>
                <w:szCs w:val="18"/>
                <w:color w:val="auto"/>
              </w:rPr>
              <w:t>XBRL and contained in Exhibit 101)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194945</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6"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380" w:right="139" w:hanging="330"/>
        <w:spacing w:after="0" w:line="24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Jacobs</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John C. Jacobs</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2, 2022</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(principal financial</w:t>
            </w:r>
          </w:p>
        </w:tc>
      </w:tr>
      <w:tr>
        <w:trPr>
          <w:trHeight w:val="202"/>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2,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TO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HARMONY BIOSCIENCES HOLDINGS,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00" w:lineRule="exact"/>
        <w:rPr>
          <w:sz w:val="20"/>
          <w:szCs w:val="20"/>
          <w:color w:val="auto"/>
        </w:rPr>
      </w:pPr>
    </w:p>
    <w:p>
      <w:pPr>
        <w:spacing w:after="0" w:line="353" w:lineRule="exact"/>
        <w:rPr>
          <w:sz w:val="20"/>
          <w:szCs w:val="20"/>
          <w:color w:val="auto"/>
        </w:rPr>
      </w:pPr>
    </w:p>
    <w:p>
      <w:pPr>
        <w:jc w:val="both"/>
        <w:ind w:left="200" w:right="219" w:firstLine="441"/>
        <w:spacing w:after="0" w:line="272" w:lineRule="auto"/>
        <w:rPr>
          <w:sz w:val="20"/>
          <w:szCs w:val="20"/>
          <w:color w:val="auto"/>
        </w:rPr>
      </w:pPr>
      <w:r>
        <w:rPr>
          <w:rFonts w:ascii="Times New Roman" w:cs="Times New Roman" w:eastAsia="Times New Roman" w:hAnsi="Times New Roman"/>
          <w:sz w:val="20"/>
          <w:szCs w:val="20"/>
          <w:color w:val="auto"/>
        </w:rPr>
        <w:t>THIS AMENDMENT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to the Harmony Biosciences Holdings, Inc. 2020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made and adopted by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Harmony Biosciences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effective as of March 24, 2022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All capitalized terms used but not otherwise defined herein shall have the respective meanings ascribed to such terms in the Plan (as defined below).</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maintains the Plan, as may be amended from time to time;</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10.4 of the Plan, the Board may amend the Plan at any time; and</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believes it is in the best interests of the Company and its stockholders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among other things, amend the Plan as set forth herein.</w:t>
      </w:r>
    </w:p>
    <w:p>
      <w:pPr>
        <w:spacing w:after="0" w:line="200" w:lineRule="exact"/>
        <w:rPr>
          <w:sz w:val="20"/>
          <w:szCs w:val="20"/>
          <w:color w:val="auto"/>
        </w:rPr>
      </w:pPr>
    </w:p>
    <w:p>
      <w:pPr>
        <w:spacing w:after="0" w:line="289"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NOW THEREFORE, BE IT RESOLVED</w:t>
      </w:r>
      <w:r>
        <w:rPr>
          <w:rFonts w:ascii="Times New Roman" w:cs="Times New Roman" w:eastAsia="Times New Roman" w:hAnsi="Times New Roman"/>
          <w:sz w:val="20"/>
          <w:szCs w:val="20"/>
          <w:color w:val="auto"/>
        </w:rPr>
        <w:t>: that the Plan is hereby amended as follows,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Effective Date: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200" w:lineRule="exact"/>
        <w:rPr>
          <w:sz w:val="20"/>
          <w:szCs w:val="20"/>
          <w:color w:val="auto"/>
        </w:rPr>
      </w:pPr>
    </w:p>
    <w:p>
      <w:pPr>
        <w:spacing w:after="0" w:line="371" w:lineRule="exact"/>
        <w:rPr>
          <w:sz w:val="20"/>
          <w:szCs w:val="20"/>
          <w:color w:val="auto"/>
        </w:rPr>
      </w:pPr>
    </w:p>
    <w:p>
      <w:pPr>
        <w:ind w:left="860" w:hanging="651"/>
        <w:spacing w:after="0"/>
        <w:tabs>
          <w:tab w:leader="none" w:pos="8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4.5 of the Plan is hereby deleted and replaced in its entirety with the following:</w:t>
      </w:r>
    </w:p>
    <w:p>
      <w:pPr>
        <w:spacing w:after="0" w:line="200" w:lineRule="exact"/>
        <w:rPr>
          <w:sz w:val="20"/>
          <w:szCs w:val="20"/>
          <w:color w:val="auto"/>
        </w:rPr>
      </w:pPr>
    </w:p>
    <w:p>
      <w:pPr>
        <w:spacing w:after="0" w:line="353" w:lineRule="exact"/>
        <w:rPr>
          <w:sz w:val="20"/>
          <w:szCs w:val="20"/>
          <w:color w:val="auto"/>
        </w:rPr>
      </w:pPr>
    </w:p>
    <w:p>
      <w:pPr>
        <w:jc w:val="both"/>
        <w:ind w:left="1500" w:right="859"/>
        <w:spacing w:after="0" w:line="270" w:lineRule="auto"/>
        <w:rPr>
          <w:sz w:val="20"/>
          <w:szCs w:val="20"/>
          <w:color w:val="auto"/>
        </w:rPr>
      </w:pPr>
      <w:r>
        <w:rPr>
          <w:rFonts w:ascii="Times New Roman" w:cs="Times New Roman" w:eastAsia="Times New Roman" w:hAnsi="Times New Roman"/>
          <w:sz w:val="20"/>
          <w:szCs w:val="20"/>
          <w:color w:val="auto"/>
        </w:rPr>
        <w:t>“Notwithstanding any provision to the contrary in the Plan, the Administrator may establish compensation for non-employee Directors from time to time, subject to the limitations in the Plan.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jc w:val="both"/>
        <w:ind w:left="1500" w:right="859"/>
        <w:spacing w:after="0" w:line="271" w:lineRule="auto"/>
        <w:rPr>
          <w:sz w:val="20"/>
          <w:szCs w:val="20"/>
          <w:color w:val="auto"/>
        </w:rPr>
      </w:pPr>
      <w:r>
        <w:rPr>
          <w:rFonts w:ascii="Times New Roman" w:cs="Times New Roman" w:eastAsia="Times New Roman" w:hAnsi="Times New Roman"/>
          <w:sz w:val="20"/>
          <w:szCs w:val="20"/>
          <w:color w:val="auto"/>
        </w:rPr>
        <w:t>the Company may not exceed $750,000 increased to $1,000,000 in the fiscal year of a non-employee Director’s initial service as a non-employee Director (the “</w:t>
      </w:r>
      <w:r>
        <w:rPr>
          <w:rFonts w:ascii="Times New Roman" w:cs="Times New Roman" w:eastAsia="Times New Roman" w:hAnsi="Times New Roman"/>
          <w:sz w:val="20"/>
          <w:szCs w:val="20"/>
          <w:b w:val="1"/>
          <w:bCs w:val="1"/>
          <w:i w:val="1"/>
          <w:iCs w:val="1"/>
          <w:color w:val="auto"/>
        </w:rPr>
        <w:t>Director Limit</w:t>
      </w:r>
      <w:r>
        <w:rPr>
          <w:rFonts w:ascii="Times New Roman" w:cs="Times New Roman" w:eastAsia="Times New Roman" w:hAnsi="Times New Roman"/>
          <w:sz w:val="20"/>
          <w:szCs w:val="20"/>
          <w:color w:val="auto"/>
        </w:rPr>
        <w:t>”). The Administrator may make exceptions to this limit for individual non-employee Directors in extraordinary circumstances, as the Administrator may determine in its discretion.”</w:t>
      </w:r>
    </w:p>
    <w:p>
      <w:pPr>
        <w:spacing w:after="0" w:line="200" w:lineRule="exact"/>
        <w:rPr>
          <w:sz w:val="20"/>
          <w:szCs w:val="20"/>
          <w:color w:val="auto"/>
        </w:rPr>
      </w:pPr>
    </w:p>
    <w:p>
      <w:pPr>
        <w:spacing w:after="0" w:line="311" w:lineRule="exact"/>
        <w:rPr>
          <w:sz w:val="20"/>
          <w:szCs w:val="20"/>
          <w:color w:val="auto"/>
        </w:rPr>
      </w:pPr>
    </w:p>
    <w:p>
      <w:pPr>
        <w:ind w:left="860" w:hanging="651"/>
        <w:spacing w:after="0"/>
        <w:tabs>
          <w:tab w:leader="none" w:pos="8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and is hereby incorporated into and forms a part of the Plan.</w:t>
      </w:r>
    </w:p>
    <w:p>
      <w:pPr>
        <w:spacing w:after="0" w:line="200" w:lineRule="exact"/>
        <w:rPr>
          <w:rFonts w:ascii="Times New Roman" w:cs="Times New Roman" w:eastAsia="Times New Roman" w:hAnsi="Times New Roman"/>
          <w:sz w:val="20"/>
          <w:szCs w:val="20"/>
          <w:color w:val="auto"/>
        </w:rPr>
      </w:pPr>
    </w:p>
    <w:p>
      <w:pPr>
        <w:spacing w:after="0" w:line="353" w:lineRule="exact"/>
        <w:rPr>
          <w:rFonts w:ascii="Times New Roman" w:cs="Times New Roman" w:eastAsia="Times New Roman" w:hAnsi="Times New Roman"/>
          <w:sz w:val="20"/>
          <w:szCs w:val="20"/>
          <w:color w:val="auto"/>
        </w:rPr>
      </w:pPr>
    </w:p>
    <w:p>
      <w:pPr>
        <w:ind w:left="860" w:right="239" w:hanging="651"/>
        <w:spacing w:after="0" w:line="297" w:lineRule="auto"/>
        <w:tabs>
          <w:tab w:leader="none" w:pos="8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terms and conditions of the Plan shall remain in full force and effect.</w:t>
      </w:r>
    </w:p>
    <w:p>
      <w:pPr>
        <w:spacing w:after="0" w:line="200" w:lineRule="exact"/>
        <w:rPr>
          <w:sz w:val="20"/>
          <w:szCs w:val="20"/>
          <w:color w:val="auto"/>
        </w:rPr>
      </w:pPr>
    </w:p>
    <w:p>
      <w:pPr>
        <w:spacing w:after="0" w:line="284" w:lineRule="exact"/>
        <w:rPr>
          <w:sz w:val="20"/>
          <w:szCs w:val="20"/>
          <w:color w:val="auto"/>
        </w:rPr>
      </w:pPr>
    </w:p>
    <w:p>
      <w:pPr>
        <w:ind w:left="3160"/>
        <w:spacing w:after="0"/>
        <w:tabs>
          <w:tab w:leader="none" w:pos="3780" w:val="left"/>
          <w:tab w:leader="none" w:pos="4440" w:val="left"/>
          <w:tab w:leader="none" w:pos="5080" w:val="left"/>
          <w:tab w:leader="none" w:pos="57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Jacobs, certify that:</w:t>
      </w:r>
    </w:p>
    <w:p>
      <w:pPr>
        <w:spacing w:after="0" w:line="225" w:lineRule="exact"/>
        <w:rPr>
          <w:sz w:val="20"/>
          <w:szCs w:val="20"/>
          <w:color w:val="auto"/>
        </w:rPr>
      </w:pPr>
    </w:p>
    <w:p>
      <w:pPr>
        <w:ind w:left="700" w:hanging="341"/>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John C. Jacobs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67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June 30, 2022,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August 2, 2022</w:t>
      </w:r>
      <w:r>
        <w:rPr>
          <w:sz w:val="20"/>
          <w:szCs w:val="20"/>
          <w:color w:val="auto"/>
        </w:rPr>
        <w:tab/>
      </w:r>
      <w:r>
        <w:rPr>
          <w:rFonts w:ascii="Arial" w:cs="Arial" w:eastAsia="Arial" w:hAnsi="Arial"/>
          <w:sz w:val="18"/>
          <w:szCs w:val="18"/>
          <w:color w:val="auto"/>
        </w:rPr>
        <w:t>By: /s/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John C. Jacobs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 President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June 30, 2022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40" w:type="dxa"/>
            <w:vAlign w:val="bottom"/>
            <w:vMerge w:val="restart"/>
          </w:tcPr>
          <w:p>
            <w:pPr>
              <w:spacing w:after="0"/>
              <w:rPr>
                <w:sz w:val="20"/>
                <w:szCs w:val="20"/>
                <w:color w:val="auto"/>
              </w:rPr>
            </w:pPr>
            <w:r>
              <w:rPr>
                <w:rFonts w:ascii="Arial" w:cs="Arial" w:eastAsia="Arial" w:hAnsi="Arial"/>
                <w:sz w:val="18"/>
                <w:szCs w:val="18"/>
                <w:color w:val="auto"/>
              </w:rPr>
              <w:t>Date: August 2, 2022</w:t>
            </w:r>
          </w:p>
        </w:tc>
        <w:tc>
          <w:tcPr>
            <w:tcW w:w="1680" w:type="dxa"/>
            <w:vAlign w:val="bottom"/>
          </w:tcPr>
          <w:p>
            <w:pPr>
              <w:ind w:left="13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3040" w:type="dxa"/>
            <w:vAlign w:val="bottom"/>
            <w:vMerge w:val="continue"/>
          </w:tcPr>
          <w:p>
            <w:pPr>
              <w:spacing w:after="0"/>
              <w:rPr>
                <w:sz w:val="16"/>
                <w:szCs w:val="16"/>
                <w:color w:val="auto"/>
              </w:rPr>
            </w:pPr>
          </w:p>
        </w:tc>
        <w:tc>
          <w:tcPr>
            <w:tcW w:w="1680" w:type="dxa"/>
            <w:vAlign w:val="bottom"/>
          </w:tcPr>
          <w:p>
            <w:pPr>
              <w:ind w:left="13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3"/>
    </w:lvl>
  </w:abstractNum>
  <w:abstractNum w:abstractNumId="7">
    <w:nsid w:val="6B68079A"/>
    <w:multiLevelType w:val="hybridMultilevel"/>
    <w:lvl w:ilvl="0">
      <w:lvlJc w:val="left"/>
      <w:lvlText w:val="%1."/>
      <w:numFmt w:val="decimal"/>
      <w:start w:val="14"/>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lowerRoman"/>
      <w:start w:val="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3" Type="http://schemas.openxmlformats.org/officeDocument/2006/relationships/hyperlink" Target="https://www.sec.gov/Archives/edgar/data/0001802665/000119312520226978/d97999dex31.htm" TargetMode="External"/><Relationship Id="rId54" Type="http://schemas.openxmlformats.org/officeDocument/2006/relationships/hyperlink" Target="https://www.sec.gov/Archives/edgar/data/0001802665/000119312520226978/d979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2022-08-02T07:04:40Z</dcterms:created>
  <dcterms:modified xsi:type="dcterms:W3CDTF">2022-08-02T07:04:40Z</dcterms:modified>
</cp:coreProperties>
</file>