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2025</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19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left="60" w:right="1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359" w:firstLine="648"/>
        <w:spacing w:after="0" w:line="285" w:lineRule="auto"/>
        <w:rPr>
          <w:sz w:val="20"/>
          <w:szCs w:val="20"/>
          <w:color w:val="auto"/>
        </w:rPr>
      </w:pPr>
      <w:r>
        <w:rPr>
          <w:rFonts w:ascii="Arial" w:cs="Arial" w:eastAsia="Arial" w:hAnsi="Arial"/>
          <w:sz w:val="14"/>
          <w:szCs w:val="14"/>
          <w:color w:val="auto"/>
        </w:rPr>
        <w:t>As of October 31, 2025, there were 57,596,358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left="60" w:right="79"/>
        <w:spacing w:after="0" w:line="280" w:lineRule="auto"/>
        <w:rPr>
          <w:sz w:val="20"/>
          <w:szCs w:val="20"/>
          <w:color w:val="auto"/>
        </w:rPr>
      </w:pPr>
      <w:r>
        <w:rPr>
          <w:rFonts w:ascii="Arial" w:cs="Arial" w:eastAsia="Arial" w:hAnsi="Arial"/>
          <w:sz w:val="17"/>
          <w:szCs w:val="17"/>
          <w:b w:val="1"/>
          <w:bCs w:val="1"/>
          <w:color w:val="auto"/>
        </w:rPr>
        <w:t>HARMONY BIOSCIENCES HOLDINGS, INC. AND SUBSIDIARIES UNAUDITED CONDENSED CONSOLIDATED BALANCE SHEETS (In thousands, except share and per share data)</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646,999</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453,001</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25,582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14,185</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100,651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83,033</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6,882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7,198</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13,714</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838,800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579,252</w:t>
            </w:r>
          </w:p>
        </w:tc>
        <w:tc>
          <w:tcPr>
            <w:tcW w:w="0" w:type="dxa"/>
            <w:vAlign w:val="bottom"/>
          </w:tcPr>
          <w:p>
            <w:pPr>
              <w:spacing w:after="0"/>
              <w:rPr>
                <w:sz w:val="1"/>
                <w:szCs w:val="1"/>
                <w:color w:val="auto"/>
              </w:rPr>
            </w:pPr>
          </w:p>
        </w:tc>
      </w:tr>
      <w:tr>
        <w:trPr>
          <w:trHeight w:val="156"/>
        </w:trPr>
        <w:tc>
          <w:tcPr>
            <w:tcW w:w="654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Investments, long-term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105,831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108,874</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95,380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113,263</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Deferred tax asset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157,075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190,398</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155"/>
        </w:trPr>
        <w:tc>
          <w:tcPr>
            <w:tcW w:w="654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369,418</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419,948</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1,208,218</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999,200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380" w:type="dxa"/>
            <w:vAlign w:val="bottom"/>
            <w:gridSpan w:val="2"/>
          </w:tcPr>
          <w:p>
            <w:pPr>
              <w:jc w:val="right"/>
              <w:ind w:right="8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26,341</w:t>
            </w:r>
          </w:p>
        </w:tc>
        <w:tc>
          <w:tcPr>
            <w:tcW w:w="140" w:type="dxa"/>
            <w:vAlign w:val="bottom"/>
          </w:tcPr>
          <w:p>
            <w:pPr>
              <w:spacing w:after="0"/>
              <w:rPr>
                <w:sz w:val="14"/>
                <w:szCs w:val="1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13,744</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18,776</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161,302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120,640</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223,403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175,082</w:t>
            </w:r>
          </w:p>
        </w:tc>
        <w:tc>
          <w:tcPr>
            <w:tcW w:w="0" w:type="dxa"/>
            <w:vAlign w:val="bottom"/>
          </w:tcPr>
          <w:p>
            <w:pPr>
              <w:spacing w:after="0"/>
              <w:rPr>
                <w:sz w:val="1"/>
                <w:szCs w:val="1"/>
                <w:color w:val="auto"/>
              </w:rPr>
            </w:pPr>
          </w:p>
        </w:tc>
      </w:tr>
      <w:tr>
        <w:trPr>
          <w:trHeight w:val="156"/>
        </w:trPr>
        <w:tc>
          <w:tcPr>
            <w:tcW w:w="6540" w:type="dxa"/>
            <w:vAlign w:val="bottom"/>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148,506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163,016</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149,692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164,963</w:t>
            </w:r>
          </w:p>
        </w:tc>
        <w:tc>
          <w:tcPr>
            <w:tcW w:w="0" w:type="dxa"/>
            <w:vAlign w:val="bottom"/>
          </w:tcPr>
          <w:p>
            <w:pPr>
              <w:spacing w:after="0"/>
              <w:rPr>
                <w:sz w:val="1"/>
                <w:szCs w:val="1"/>
                <w:color w:val="auto"/>
              </w:rPr>
            </w:pPr>
          </w:p>
        </w:tc>
      </w:tr>
      <w:tr>
        <w:trPr>
          <w:trHeight w:val="155"/>
        </w:trPr>
        <w:tc>
          <w:tcPr>
            <w:tcW w:w="654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373,095</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340,045</w:t>
            </w: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COMMITMENTS AND CONTINGENCIES (Note 13)</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September 30, 2025 and</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December 31, 2024, respectively; 57,596,358 and 57,144,887 shares issued and outstanding at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September 30, 2025 and December 31, 2024, respectively</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Additional paid in capital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696,348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656,872</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Retained earnings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138,417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835,123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659,155</w:t>
            </w:r>
          </w:p>
        </w:tc>
        <w:tc>
          <w:tcPr>
            <w:tcW w:w="0" w:type="dxa"/>
            <w:vAlign w:val="bottom"/>
          </w:tcPr>
          <w:p>
            <w:pPr>
              <w:spacing w:after="0"/>
              <w:rPr>
                <w:sz w:val="1"/>
                <w:szCs w:val="1"/>
                <w:color w:val="auto"/>
              </w:rPr>
            </w:pPr>
          </w:p>
        </w:tc>
      </w:tr>
      <w:tr>
        <w:trPr>
          <w:trHeight w:val="155"/>
        </w:trPr>
        <w:tc>
          <w:tcPr>
            <w:tcW w:w="6540" w:type="dxa"/>
            <w:vAlign w:val="bottom"/>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1,208,218</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999,200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239,455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186,038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624,677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513,467</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59,650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42,778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129,797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102,406</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179,805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143,260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494,880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411,061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54,962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139,661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111,159</w:t>
            </w:r>
          </w:p>
        </w:tc>
        <w:tc>
          <w:tcPr>
            <w:tcW w:w="0" w:type="dxa"/>
            <w:vAlign w:val="bottom"/>
          </w:tcPr>
          <w:p>
            <w:pPr>
              <w:spacing w:after="0"/>
              <w:rPr>
                <w:sz w:val="1"/>
                <w:szCs w:val="1"/>
                <w:color w:val="auto"/>
              </w:rPr>
            </w:pPr>
          </w:p>
        </w:tc>
      </w:tr>
      <w:tr>
        <w:trPr>
          <w:trHeight w:val="203"/>
        </w:trPr>
        <w:tc>
          <w:tcPr>
            <w:tcW w:w="342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29,549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27,576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90,333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83,316</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29,807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28,587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94,974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81,487</w:t>
            </w:r>
          </w:p>
        </w:tc>
        <w:tc>
          <w:tcPr>
            <w:tcW w:w="0" w:type="dxa"/>
            <w:vAlign w:val="bottom"/>
          </w:tcPr>
          <w:p>
            <w:pPr>
              <w:spacing w:after="0"/>
              <w:rPr>
                <w:sz w:val="1"/>
                <w:szCs w:val="1"/>
                <w:color w:val="auto"/>
              </w:rPr>
            </w:pPr>
          </w:p>
        </w:tc>
      </w:tr>
      <w:tr>
        <w:trPr>
          <w:trHeight w:val="196"/>
        </w:trPr>
        <w:tc>
          <w:tcPr>
            <w:tcW w:w="342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114,318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81,550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324,968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275,962</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65,487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169,912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135,099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5,730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4,932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16,070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14,065</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67,490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62,170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174,304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135,649</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(16,625)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(16,077)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(38,103)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(39,631)</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50,865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46,093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136,201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96,018</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income on investments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50,983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46,826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136,492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96,515</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342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0.87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0.79</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basic</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57,550,902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56,870,234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57,655,272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56,815,167</w:t>
            </w:r>
          </w:p>
        </w:tc>
        <w:tc>
          <w:tcPr>
            <w:tcW w:w="0" w:type="dxa"/>
            <w:vAlign w:val="bottom"/>
          </w:tcPr>
          <w:p>
            <w:pPr>
              <w:spacing w:after="0"/>
              <w:rPr>
                <w:sz w:val="1"/>
                <w:szCs w:val="1"/>
                <w:color w:val="auto"/>
              </w:rPr>
            </w:pPr>
          </w:p>
        </w:tc>
      </w:tr>
      <w:tr>
        <w:trPr>
          <w:trHeight w:val="184"/>
        </w:trPr>
        <w:tc>
          <w:tcPr>
            <w:tcW w:w="342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20"/>
              <w:spacing w:after="0"/>
              <w:rPr>
                <w:sz w:val="20"/>
                <w:szCs w:val="20"/>
                <w:color w:val="auto"/>
              </w:rPr>
            </w:pPr>
            <w:r>
              <w:rPr>
                <w:rFonts w:ascii="Arial" w:cs="Arial" w:eastAsia="Arial" w:hAnsi="Arial"/>
                <w:sz w:val="18"/>
                <w:szCs w:val="18"/>
                <w:color w:val="auto"/>
              </w:rPr>
              <w:t>common stock - diluted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58,717,910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58,103,963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58,738,361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57,754,016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June 30, 2025</w:t>
            </w:r>
          </w:p>
        </w:tc>
        <w:tc>
          <w:tcPr>
            <w:tcW w:w="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57,531,080</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685,288</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239</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87,552</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773,080</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50,865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50,865</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65,278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10,969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10,969</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September 30, 2025</w:t>
            </w:r>
          </w:p>
        </w:tc>
        <w:tc>
          <w:tcPr>
            <w:tcW w:w="18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57,596,358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696,348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138,417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835,123</w:t>
            </w: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49"/>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2024</w:t>
            </w:r>
          </w:p>
        </w:tc>
        <w:tc>
          <w:tcPr>
            <w:tcW w:w="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57,144,887</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656,872</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2,216</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659,155</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136,201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136,201</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r>
      <w:tr>
        <w:trPr>
          <w:trHeight w:val="153"/>
        </w:trPr>
        <w:tc>
          <w:tcPr>
            <w:tcW w:w="2620" w:type="dxa"/>
            <w:vAlign w:val="bottom"/>
          </w:tcPr>
          <w:p>
            <w:pPr>
              <w:ind w:left="220"/>
              <w:spacing w:after="0" w:line="153" w:lineRule="exact"/>
              <w:rPr>
                <w:sz w:val="20"/>
                <w:szCs w:val="20"/>
                <w:color w:val="auto"/>
              </w:rPr>
            </w:pPr>
            <w:r>
              <w:rPr>
                <w:rFonts w:ascii="Arial" w:cs="Arial" w:eastAsia="Arial" w:hAnsi="Arial"/>
                <w:sz w:val="14"/>
                <w:szCs w:val="14"/>
                <w:color w:val="auto"/>
              </w:rPr>
              <w:t>Exercise of options and restricted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2620" w:type="dxa"/>
            <w:vAlign w:val="bottom"/>
          </w:tcPr>
          <w:p>
            <w:pPr>
              <w:ind w:left="220"/>
              <w:spacing w:after="0"/>
              <w:rPr>
                <w:sz w:val="20"/>
                <w:szCs w:val="20"/>
                <w:color w:val="auto"/>
              </w:rPr>
            </w:pPr>
            <w:r>
              <w:rPr>
                <w:rFonts w:ascii="Arial" w:cs="Arial" w:eastAsia="Arial" w:hAnsi="Arial"/>
                <w:sz w:val="14"/>
                <w:szCs w:val="14"/>
                <w:color w:val="auto"/>
              </w:rPr>
              <w:t>stock units</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451,471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4,553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4,553</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34,923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34,923</w:t>
            </w:r>
          </w:p>
        </w:tc>
      </w:tr>
      <w:tr>
        <w:trPr>
          <w:trHeight w:val="156"/>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September 30, 2025</w:t>
            </w:r>
          </w:p>
        </w:tc>
        <w:tc>
          <w:tcPr>
            <w:tcW w:w="18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57,596,358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696,348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138,417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835,123</w:t>
            </w: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6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ind w:left="1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June 30, 2024</w:t>
            </w:r>
          </w:p>
        </w:tc>
        <w:tc>
          <w:tcPr>
            <w:tcW w:w="8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56,833,771</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632,168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(93,352)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538,583</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46,093</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options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197,126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11,048</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September 30, 2024</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57,030,897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643,563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596,804</w:t>
            </w: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6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ind w:left="1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8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56,769,081</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610,266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(143,277)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96,018</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r>
      <w:tr>
        <w:trPr>
          <w:trHeight w:val="153"/>
        </w:trPr>
        <w:tc>
          <w:tcPr>
            <w:tcW w:w="2620" w:type="dxa"/>
            <w:vAlign w:val="bottom"/>
          </w:tcPr>
          <w:p>
            <w:pPr>
              <w:ind w:left="220"/>
              <w:spacing w:after="0" w:line="153" w:lineRule="exact"/>
              <w:rPr>
                <w:sz w:val="20"/>
                <w:szCs w:val="20"/>
                <w:color w:val="auto"/>
              </w:rPr>
            </w:pPr>
            <w:r>
              <w:rPr>
                <w:rFonts w:ascii="Arial" w:cs="Arial" w:eastAsia="Arial" w:hAnsi="Arial"/>
                <w:sz w:val="14"/>
                <w:szCs w:val="14"/>
                <w:color w:val="auto"/>
              </w:rPr>
              <w:t>Exercise of stock options and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262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261,816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32,530</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September 30, 2024</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57,030,897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643,563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596,804</w:t>
            </w: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060" w:right="379" w:hanging="3045"/>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w:t>
      </w:r>
      <w:r>
        <w:rPr>
          <w:rFonts w:ascii="Arial" w:cs="Arial" w:eastAsia="Arial" w:hAnsi="Arial"/>
          <w:sz w:val="16"/>
          <w:szCs w:val="16"/>
          <w:color w:val="auto"/>
        </w:rPr>
        <w: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63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136,201</w:t>
            </w:r>
          </w:p>
        </w:tc>
        <w:tc>
          <w:tcPr>
            <w:tcW w:w="2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96,018</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17,883</w:t>
            </w: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42,595</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32,530</w:t>
            </w: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(255)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(14,677)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(22,586)</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Other non-cash expenses</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923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1,619</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(17,618)</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(7,362)</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6,942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(4,851)</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(8,596)</w:t>
            </w:r>
          </w:p>
        </w:tc>
        <w:tc>
          <w:tcPr>
            <w:tcW w:w="20" w:type="dxa"/>
            <w:vAlign w:val="bottom"/>
          </w:tcPr>
          <w:p>
            <w:pPr>
              <w:spacing w:after="0"/>
              <w:rPr>
                <w:sz w:val="14"/>
                <w:szCs w:val="14"/>
                <w:color w:val="auto"/>
              </w:rPr>
            </w:pPr>
          </w:p>
        </w:tc>
      </w:tr>
      <w:tr>
        <w:trPr>
          <w:trHeight w:val="162"/>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20" w:type="dxa"/>
            <w:vAlign w:val="bottom"/>
          </w:tcPr>
          <w:p>
            <w:pPr>
              <w:spacing w:after="0"/>
              <w:rPr>
                <w:sz w:val="14"/>
                <w:szCs w:val="14"/>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222,048</w:t>
            </w: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144,259</w:t>
            </w:r>
          </w:p>
        </w:tc>
        <w:tc>
          <w:tcPr>
            <w:tcW w:w="20" w:type="dxa"/>
            <w:vAlign w:val="bottom"/>
          </w:tcPr>
          <w:p>
            <w:pPr>
              <w:spacing w:after="0"/>
              <w:rPr>
                <w:sz w:val="13"/>
                <w:szCs w:val="13"/>
                <w:color w:val="auto"/>
              </w:rPr>
            </w:pPr>
          </w:p>
        </w:tc>
      </w:tr>
      <w:tr>
        <w:trPr>
          <w:trHeight w:val="156"/>
        </w:trPr>
        <w:tc>
          <w:tcPr>
            <w:tcW w:w="634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investment securities</w:t>
            </w: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(67,313)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(69,604)</w:t>
            </w: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60,500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68,516</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20" w:type="dxa"/>
            <w:vAlign w:val="bottom"/>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Acquisition of Epygenix Therapeutics, Inc., net of cash acquired</w:t>
            </w:r>
          </w:p>
        </w:tc>
        <w:tc>
          <w:tcPr>
            <w:tcW w:w="8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(33,069)</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upfront fee related to research collaboration, option and license agreement</w:t>
            </w: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20" w:type="dxa"/>
            <w:vAlign w:val="bottom"/>
          </w:tcPr>
          <w:p>
            <w:pPr>
              <w:spacing w:after="0"/>
              <w:rPr>
                <w:sz w:val="14"/>
                <w:szCs w:val="14"/>
                <w:color w:val="auto"/>
              </w:rPr>
            </w:pPr>
          </w:p>
        </w:tc>
      </w:tr>
      <w:tr>
        <w:trPr>
          <w:trHeight w:val="155"/>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(22,016)</w:t>
            </w:r>
          </w:p>
        </w:tc>
        <w:tc>
          <w:tcPr>
            <w:tcW w:w="2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(60,297)</w:t>
            </w:r>
          </w:p>
        </w:tc>
        <w:tc>
          <w:tcPr>
            <w:tcW w:w="20" w:type="dxa"/>
            <w:vAlign w:val="bottom"/>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Principal repayment of long-term debt</w:t>
            </w:r>
          </w:p>
        </w:tc>
        <w:tc>
          <w:tcPr>
            <w:tcW w:w="8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(11,250)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(11,250)</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(2,341)</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20" w:type="dxa"/>
            <w:vAlign w:val="bottom"/>
          </w:tcPr>
          <w:p>
            <w:pPr>
              <w:spacing w:after="0"/>
              <w:rPr>
                <w:sz w:val="14"/>
                <w:szCs w:val="14"/>
                <w:color w:val="auto"/>
              </w:rPr>
            </w:pPr>
          </w:p>
        </w:tc>
      </w:tr>
      <w:tr>
        <w:trPr>
          <w:trHeight w:val="162"/>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exercised options</w:t>
            </w: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20" w:type="dxa"/>
            <w:vAlign w:val="bottom"/>
          </w:tcPr>
          <w:p>
            <w:pPr>
              <w:spacing w:after="0"/>
              <w:rPr>
                <w:sz w:val="14"/>
                <w:szCs w:val="14"/>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(6,034)</w:t>
            </w: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(8,255)</w:t>
            </w:r>
          </w:p>
        </w:tc>
        <w:tc>
          <w:tcPr>
            <w:tcW w:w="20" w:type="dxa"/>
            <w:vAlign w:val="bottom"/>
          </w:tcPr>
          <w:p>
            <w:pPr>
              <w:spacing w:after="0"/>
              <w:rPr>
                <w:sz w:val="13"/>
                <w:szCs w:val="13"/>
                <w:color w:val="auto"/>
              </w:rPr>
            </w:pPr>
          </w:p>
        </w:tc>
      </w:tr>
      <w:tr>
        <w:trPr>
          <w:trHeight w:val="155"/>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193,998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75,707</w:t>
            </w:r>
          </w:p>
        </w:tc>
        <w:tc>
          <w:tcPr>
            <w:tcW w:w="20" w:type="dxa"/>
            <w:vAlign w:val="bottom"/>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453,271</w:t>
            </w: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311,930</w:t>
            </w:r>
          </w:p>
        </w:tc>
        <w:tc>
          <w:tcPr>
            <w:tcW w:w="20" w:type="dxa"/>
            <w:vAlign w:val="bottom"/>
          </w:tcPr>
          <w:p>
            <w:pPr>
              <w:spacing w:after="0"/>
              <w:rPr>
                <w:sz w:val="13"/>
                <w:szCs w:val="13"/>
                <w:color w:val="auto"/>
              </w:rPr>
            </w:pPr>
          </w:p>
        </w:tc>
      </w:tr>
      <w:tr>
        <w:trPr>
          <w:trHeight w:val="155"/>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647,269</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387,637</w:t>
            </w:r>
          </w:p>
        </w:tc>
        <w:tc>
          <w:tcPr>
            <w:tcW w:w="20" w:type="dxa"/>
            <w:vAlign w:val="bottom"/>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11,168</w:t>
            </w:r>
          </w:p>
        </w:tc>
        <w:tc>
          <w:tcPr>
            <w:tcW w:w="2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13,170</w:t>
            </w:r>
          </w:p>
        </w:tc>
        <w:tc>
          <w:tcPr>
            <w:tcW w:w="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taxes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35,430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58,549</w:t>
            </w:r>
          </w:p>
        </w:tc>
        <w:tc>
          <w:tcPr>
            <w:tcW w:w="20" w:type="dxa"/>
            <w:vAlign w:val="bottom"/>
          </w:tcPr>
          <w:p>
            <w:pPr>
              <w:spacing w:after="0"/>
              <w:rPr>
                <w:sz w:val="14"/>
                <w:szCs w:val="14"/>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42" w:lineRule="auto"/>
        <w:rPr>
          <w:sz w:val="20"/>
          <w:szCs w:val="20"/>
          <w:color w:val="auto"/>
        </w:rPr>
      </w:pPr>
      <w:r>
        <w:rPr>
          <w:rFonts w:ascii="Arial" w:cs="Arial" w:eastAsia="Arial" w:hAnsi="Arial"/>
          <w:sz w:val="18"/>
          <w:szCs w:val="18"/>
          <w:color w:val="auto"/>
        </w:rPr>
        <w:t>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subsidiaries, Harmony Biosciences, LLC (“Harmony”), and Harmony Biosciences Management, Inc. The Company is headquartered in Plymouth Meeting, Pennsylvania.</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w:t>
      </w:r>
    </w:p>
    <w:p>
      <w:pPr>
        <w:spacing w:after="0" w:line="163" w:lineRule="exact"/>
        <w:rPr>
          <w:sz w:val="20"/>
          <w:szCs w:val="20"/>
          <w:color w:val="auto"/>
        </w:rPr>
      </w:pPr>
    </w:p>
    <w:p>
      <w:pPr>
        <w:jc w:val="both"/>
        <w:ind w:left="60" w:right="59" w:firstLine="648"/>
        <w:spacing w:after="0" w:line="223" w:lineRule="auto"/>
        <w:rPr>
          <w:sz w:val="20"/>
          <w:szCs w:val="20"/>
          <w:color w:val="auto"/>
        </w:rPr>
      </w:pPr>
      <w:r>
        <w:rPr>
          <w:rFonts w:ascii="Arial" w:cs="Arial" w:eastAsia="Arial" w:hAnsi="Arial"/>
          <w:sz w:val="18"/>
          <w:szCs w:val="18"/>
          <w:color w:val="auto"/>
        </w:rPr>
        <w:t>In July 2017, the Company entered into a License Agreement (the “2017 LCA”) with Bioprojet Société Civile de Recherche (“Bioprojet”) whereby the Company acquired the exclusive right to commercialize the pharmaceutical compound pitolisant. Our lead product, WAKIX® (pitolisant) (“WAKIX”), is a first-in-class therapy with a novel mechanism of action designed to enhance histamine signaling in the brain by binding to H</w:t>
      </w:r>
      <w:r>
        <w:rPr>
          <w:rFonts w:ascii="Arial" w:cs="Arial" w:eastAsia="Arial" w:hAnsi="Arial"/>
          <w:sz w:val="26"/>
          <w:szCs w:val="26"/>
          <w:color w:val="auto"/>
          <w:vertAlign w:val="subscript"/>
        </w:rPr>
        <w:t>3</w:t>
      </w:r>
    </w:p>
    <w:p>
      <w:pPr>
        <w:jc w:val="both"/>
        <w:ind w:left="60" w:right="59"/>
        <w:spacing w:after="0" w:line="237" w:lineRule="auto"/>
        <w:rPr>
          <w:sz w:val="20"/>
          <w:szCs w:val="20"/>
          <w:color w:val="auto"/>
        </w:rPr>
      </w:pPr>
      <w:r>
        <w:rPr>
          <w:rFonts w:ascii="Arial" w:cs="Arial" w:eastAsia="Arial" w:hAnsi="Arial"/>
          <w:sz w:val="18"/>
          <w:szCs w:val="18"/>
          <w:color w:val="auto"/>
        </w:rPr>
        <w:t>receptors. Since its initial FDA approval in 2019 for excessive daytime sleepiness (“EDS”) in adult patients with narcolepsy, WAKIX has subsequently been approved for cataplexy in adult patients in 2020 and EDS in pediatric patients six years and older in 2024. Beyond narcolepsy, we are also advancing late-stage clinical programs exploring pitolisant in Prader-Willi syndrome (“PWS”) and continue to grow our impact in other rare neurological diseases. In July 2022, the Company entered into a License and Commercialization Agreement (the “2022 LCA”) with Bioprojet whereby we obtained exclusive rights to manufacture, develop and commercialize one or more next generation pitolisant based products in the United States and Latin America. Two of the next generations formulations, Pitolisant Gastro-Resistant (“Pitolisant GR”) and Pitolisant High-Dose (“Pitolisant HD”) are currently in clinical development.</w:t>
      </w:r>
    </w:p>
    <w:p>
      <w:pPr>
        <w:spacing w:after="0" w:line="16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Along with nurturing the growth of our original pipeline, our innovation strategy includes targeted business development that strengthens our foundation and strategically extends our patient reach as we look to expand our portfolio to new diseases beyond histaminergic science. In October 2023, the Company acquired Zynerba Pharmaceuticals, Inc. (together with its subsidiary, Zynerba Pharmaceutical Pty, Ltd., “Zynerba”). Zynerba was a clinical -stage pharmaceutical company focused on innovative, pharmaceutically produced transdermal cannabidiol therapies for orphan neurobehavioral disorders, including Fragile X Syndrome and 22q deletion syndrome. As of July 1, 2024, Zynerba Pharmaceuticals, Inc. was renamed and is known as Harmony Biosciences Management, Inc.</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expanded into orexin science through a sublicense agreement with Bioprojet for an orexin 2 receptor agonist (“BP1.15205”) in preclinical development for narcolepsy and other potential indications. Under the sublicense agreement the Company obtained the exclusive right to develop, manufacture and commercialize BP1.15205 in the United States and Latin American territories, which are rights originally licensed from Teijin Pharma, the innovator of BP1.15205. We further broadened our portfolio into rare epilepsy when the Company acquired Epygenix Therapeutics, Inc. (“Epygenix”) in April 2024. As a result, the Company now has an exclusive license relating to the use of clemizole hydrochloride, initially for the treatment of Dravet Syndrome (“DS”) and Lennox-Gastaut Syndrome (“LGS”), and a liquid formulation of lorcaserin for the treatment of developmental and epileptic encephalopathies.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retained earnings of $138,417 and $2,216, as of September 30, 2025, and December 31, 2024, respectively. As of September 30, 2025, the Company had cash, cash equivalents and investments of $778,412.</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September 30, 2025, as well as additional cash generated from operating and financing activities will meet its operational liquidity needs and fund potential investing activities for at least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36"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September 30, 2025, the unaudited condensed consolidated statements of cash flows for the nine months ended September 30, 2025, and 2024, and the unaudited condensed consolidated statements of operations and comprehensive income and the unaudited condensed consolidated statements of shareholders’ equity for the three and nine months ended September 30, 2025, and 2024, are unaudited. The balance sheet as of December 31, 2024, was derived from audited financial statements as of and for the year ended December 31, 2024. The unaudited interim condensed consolidated financial statements have been prepared on the same basis as the audited annual financial statements as of and for the year ended December 31, 2024, and, in the opinion of management, reflect all adjustments, which include only normal recurring adjustments, necessary for the fair presentation of the Company’s financial position as of September 30, 2025, and the results of its operations and its cash flows for the nine months ended September 30, 2025, and 2024.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2024.</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Reclassifications</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212529"/>
        </w:rPr>
        <w:t>Certain prior period amounts within the unaudited condensed consolidated balance sheets have been reclassified to conform to current period presentation. In particular, restricted cash was previously classified as a separate caption and is now included within other noncurrent assets. The reclassification of this item had no impact on net income, earnings per share or accumulated deficit in current or prior periods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manufactured and sold or being developed by other companies, including generic competition; the price of, and demand for, the Company’s products, if approved; the Company’s ability to negotiate favorable licensing or other manufacturing and marketing agreements for its product candidates.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currently has one commercialized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preparation of financial statements in conformity with GAAP requires the Company to make estimates and assumptions that affect the reported amounts and disclosures in the unaudited condensed consolidated financial statements, including the notes thereto, and elsewhere in this report. Actual results may differ significantly from estimates, which include rebates payable pursuant to commercial and government contracts, accrued research and development expenses, stock-based compensation expense and income taxes.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has determined it operates in a single operating segment, rare neurological diseases and, therefore, has one reportable segment. The Company holds all its tangible assets, conducts its operations, and generates its revenue in the United States.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other pricing sources. The Company did not classify any assets or liabilities as Level 3 as of September 30, 2025, or December 31, 2024.</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the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0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646,999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453,001</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 included in other noncurrent assets</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50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647,269</w:t>
            </w:r>
          </w:p>
        </w:tc>
        <w:tc>
          <w:tcPr>
            <w:tcW w:w="3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453,271</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5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Interest income earned on cash and investment balances, accretion of the discount on investments in debt securities, amortization of premiums and realized gains and losses, if any, are recorded in interest income on the unaudited condensed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six financial institutions. Due to their size, the Company believes these financial institutions represent minimal credit risk. Deposits may exceed the amount of insurance provided on such deposits by the Federal Deposit Insurance Corporation for U.S. institutions. The Company believes that it is not exposed to significant credit risk due to the financial position of the depository institutions in which those deposits are held.</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is subject to credit risk from its trade receivables related to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for uncollectible amounts, if necessary. As of September 30, 2025, three customers accounted for 100% of gross accounts receivable; Caremark LLC (“CVS Caremark”), which accounted for 38% of gross accounts receivable; Accredo Health Group, Inc. (“Accredo”), which accounted for 36% of gross accounts receivable; and PANTHERx Specialty Pharmacy LLC (“Pantherx”), which accounted for 26% of gross accounts receivable. As of December 31, 2024, three customers accounted for 100% of gross accounts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receivable; CVS Caremark, which accounted for 39% of gross accounts receivable, Pantherx, which accounted for 31% of gross accounts receivable; and Accredo, which accounted for 30% of gross accounts receivable.</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nine months ended September 30, 2025, three customers accounted for 100% of gross product revenue; CVS Caremark accounted for 38% of gross product revenue; Accredo accounted for 36% of gross product revenue; and Pantherx accounted for 26% of gross product revenue. For the nine months ended September 30, 2024, three customers accounted for 100% of gross product revenue; CVS Caremark accounted for 40% of gross product revenue; Accredo accounted for 33% of gross product revenue; and Pantherx accounted for 27% of gross product revenue.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depends on a single supplier of the active pharmaceutical ingredient (“API”) for its commercial product, WAKIX, and single API suppliers for each of its potential product candidates.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a more detailed discussion of the Company’s acquisition of Epygenix.</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November 2023, the FASB issued Accounting Standards Update (“ASU”) No. 2023-07, Improvements to Reportable Segment Disclosures (“ASU 2023-07”). ASU 2023-07 is intended to improve reportable segment disclosures primarily through enhanced disclosure of reportable segment expenses and requires that a public entity that has a single reportable segment provide all the disclosures required by ASU 2023-07 and all existing segment disclosures in Topic 280. This ASU was effective for annual reporting periods beginning after December 15, 2023, and interim periods within fiscal years beginning after December 15, 2024. Early adoption was permitted. ASU 2023-07 was required to be applied retrospectively to all prior periods presented in the financial statements. The Company adopted this guidance in the fourth quarter of 2024. This pronouncement addresses disclosures only and had no impact on the Company’s consolidated financial statements.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December 2023, the FASB issued Accounting Standards Update (“ASU”) No 2023-09, “Income Taxes (Topic 740): Improvements to Income Tax Disclosures” (“ASU 2023-09”). ASU 2023-09 expands disclosures in the rate reconciliation and requires disclosure of income taxes paid by jurisdiction. ASU 2023-09 is effective for fiscal years beginning after December 15, 2024. Early adoption is permitted. The Company is currently evaluating the impact that ASU 2023-09 will have on its condensed consolidated financial statements.</w:t>
      </w:r>
    </w:p>
    <w:p>
      <w:pPr>
        <w:spacing w:after="0" w:line="16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ASU 2024-03 requires disclosure, in the notes to the financial statements, of specified information about certain costs and expenses, including amounts of purchases of inventory, employee compensation, depreciation, and intangible asset amortization included in each relevant expense caption, as well as a qualitative description of amounts remaining in relevant expense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captions that are not separately disaggregated quantitatively. ASU 2024-03 also requires disclosure of the total amount of selling expenses and, in annual periods, an entity’s definition of selling expenses. ASU 2024-03 is effective for fiscal years beginning after December 15, 2026, and interim periods within fiscal years beginning after December 15, 2027. The guidance may be applied prospectively or retrospectively. Early adoption is permitted. The Company is currently evaluating the impact that ASU 2024-03 will have on the Company’s consolidated financial statements.</w:t>
      </w:r>
    </w:p>
    <w:p>
      <w:pPr>
        <w:spacing w:after="0" w:line="165" w:lineRule="exact"/>
        <w:rPr>
          <w:sz w:val="20"/>
          <w:szCs w:val="20"/>
          <w:color w:val="auto"/>
        </w:rPr>
      </w:pPr>
    </w:p>
    <w:p>
      <w:pPr>
        <w:ind w:left="700" w:right="6539" w:hanging="650"/>
        <w:spacing w:after="0" w:line="485"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Acquisition of Zynerba</w:t>
      </w:r>
    </w:p>
    <w:p>
      <w:pPr>
        <w:jc w:val="both"/>
        <w:ind w:left="60" w:right="59" w:firstLine="648"/>
        <w:spacing w:after="0" w:line="239" w:lineRule="auto"/>
        <w:rPr>
          <w:sz w:val="20"/>
          <w:szCs w:val="20"/>
          <w:color w:val="auto"/>
        </w:rPr>
      </w:pPr>
      <w:r>
        <w:rPr>
          <w:rFonts w:ascii="Arial" w:cs="Arial" w:eastAsia="Arial" w:hAnsi="Arial"/>
          <w:sz w:val="18"/>
          <w:szCs w:val="18"/>
          <w:color w:val="auto"/>
        </w:rPr>
        <w:t>In October 2023, the Company completed a tender offer to purchase the outstanding common stock of Zynerba (“Zynerba Common Stock”) for (i) $1.1059 per share of Zynerba Common Stock (the “Common Cash Amount”), the aggregate amount of which was $60,000 and was paid at closing,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amount of consideration to acquire Zynerba Common Stock was $60,000, excluding transaction-related fees of $2,645 and was paid by the Company using cash on hand.</w:t>
      </w:r>
    </w:p>
    <w:p>
      <w:pPr>
        <w:spacing w:after="0" w:line="18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 September 2025, the Company achieved a clinical milestone for ZYN002 that triggered a $15.0 million payment to CVR holders, which will be paid in the fourth quarter of 2025.</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Acquisition of Epygenix</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April 2024, the Company acquired Epygenix pursuant to the terms of a stock purchase agreement. The Company paid the former stockholders of Epygenix up front consideration of $35,000 less a working capital adjustment. In addition, the Company will be obligated to pay up to $130,000 upon the achievement of development and regulatory milestones and up to $515,000 upon the achievement of certain sales-based milestones, in each case to Epygenix’s former stockholders. As a result, the Company now has an exclusive license relating to the use of clemizole, initially for the treatment of DS and LGS.</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acquisition of Epygenix was accounted for as an asset acquisition under ASC Topic 805, Business Combinations. The Company did not acquire any outputs and there was not an acquired substantive process in place to create outputs.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$17,095 related to acquired in-process research and development expense during the year ended December 31,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34"/>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10,274</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25,569</w:t>
            </w:r>
          </w:p>
        </w:tc>
        <w:tc>
          <w:tcPr>
            <w:tcW w:w="16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25,582</w:t>
            </w:r>
          </w:p>
        </w:tc>
      </w:tr>
      <w:tr>
        <w:trPr>
          <w:trHeight w:val="197"/>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87,378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87,653</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105,487</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105,831</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7,678</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14,165</w:t>
            </w:r>
          </w:p>
        </w:tc>
        <w:tc>
          <w:tcPr>
            <w:tcW w:w="16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14,185</w:t>
            </w:r>
          </w:p>
        </w:tc>
      </w:tr>
      <w:tr>
        <w:trPr>
          <w:trHeight w:val="197"/>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86,750</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22,128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22,124</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108,874</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in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September 30, 2025, and December 31, 2024, respectively.</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September 30, 2025, or December 31,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0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September 30, 2025</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December 31, 2024</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1</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$ 280,740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280,740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$ 303,545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303,545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102,961</w:t>
            </w:r>
          </w:p>
        </w:tc>
        <w:tc>
          <w:tcPr>
            <w:tcW w:w="16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102,961</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93,257</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93,257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196"/>
        </w:trPr>
        <w:tc>
          <w:tcPr>
            <w:tcW w:w="30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$ 412,153</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280,740</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131,413</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$ 426,604</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303,545</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123,059</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7. INVENTORY</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0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100" w:type="dxa"/>
            <w:vAlign w:val="bottom"/>
            <w:gridSpan w:val="3"/>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6,882</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August 2019, the Company received FDA approval of WAKIX for the treatment of EDS in adult patients with narcolepsy. This event triggered a milestone payment of $75,000 under the provisions of the 2017 LCA which the Company capitalized as an intangible asset. The Company determined a useful life of 10 years for the intangible asset, and, as of September 30, 2025, the remaining useful life was 4.0 years.</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the intangible asset, and, as of September 30, 2025, the remaining useful life was 4.0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the intangible asset, and, as of September 30, 2025, the remaining useful life was 4.0 years.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Amortization expense was $5,961 for each of the three months ended September 30, 2025, and 2024, respectively, and $17,883 for each of the nine months ended September 30, 2025, and 2024, respectively, and is recorded in general and administrative on the unaudited condensed consolidated statements of operations and comprehensive income.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6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2025 (excluding the nine months ended September 30, 2025)</w:t>
            </w:r>
          </w:p>
        </w:tc>
        <w:tc>
          <w:tcPr>
            <w:tcW w:w="1680" w:type="dxa"/>
            <w:vAlign w:val="bottom"/>
            <w:gridSpan w:val="2"/>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5,962</w:t>
            </w:r>
          </w:p>
        </w:tc>
      </w:tr>
      <w:tr>
        <w:trPr>
          <w:trHeight w:val="203"/>
        </w:trPr>
        <w:tc>
          <w:tcPr>
            <w:tcW w:w="638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2027</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38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2029</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17,883</w:t>
            </w:r>
          </w:p>
        </w:tc>
      </w:tr>
      <w:tr>
        <w:trPr>
          <w:trHeight w:val="203"/>
        </w:trPr>
        <w:tc>
          <w:tcPr>
            <w:tcW w:w="63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95,380</w:t>
            </w:r>
          </w:p>
        </w:tc>
      </w:tr>
      <w:tr>
        <w:trPr>
          <w:trHeight w:val="20"/>
        </w:trPr>
        <w:tc>
          <w:tcPr>
            <w:tcW w:w="6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gross carrying amount and net book value of the intangible asset was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720" w:type="dxa"/>
            <w:vAlign w:val="bottom"/>
          </w:tcPr>
          <w:p>
            <w:pPr>
              <w:spacing w:after="0"/>
              <w:rPr>
                <w:sz w:val="12"/>
                <w:szCs w:val="12"/>
                <w:color w:val="auto"/>
              </w:rPr>
            </w:pPr>
          </w:p>
        </w:tc>
        <w:tc>
          <w:tcPr>
            <w:tcW w:w="11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(119,620)</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(101,737)</w:t>
            </w:r>
          </w:p>
        </w:tc>
        <w:tc>
          <w:tcPr>
            <w:tcW w:w="20" w:type="dxa"/>
            <w:vAlign w:val="bottom"/>
          </w:tcPr>
          <w:p>
            <w:pPr>
              <w:spacing w:after="0"/>
              <w:rPr>
                <w:sz w:val="17"/>
                <w:szCs w:val="17"/>
                <w:color w:val="auto"/>
              </w:rPr>
            </w:pPr>
          </w:p>
        </w:tc>
      </w:tr>
      <w:tr>
        <w:trPr>
          <w:trHeight w:val="196"/>
        </w:trPr>
        <w:tc>
          <w:tcPr>
            <w:tcW w:w="67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95,380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113,263</w:t>
            </w:r>
          </w:p>
        </w:tc>
        <w:tc>
          <w:tcPr>
            <w:tcW w:w="2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3199" w:hanging="650"/>
        <w:spacing w:after="0" w:line="485" w:lineRule="auto"/>
        <w:tabs>
          <w:tab w:leader="none" w:pos="2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Bioprojet Agreements</w:t>
      </w:r>
    </w:p>
    <w:p>
      <w:pPr>
        <w:jc w:val="both"/>
        <w:ind w:left="60" w:right="59" w:firstLine="648"/>
        <w:spacing w:after="0" w:line="237" w:lineRule="auto"/>
        <w:rPr>
          <w:sz w:val="20"/>
          <w:szCs w:val="20"/>
          <w:color w:val="auto"/>
        </w:rPr>
      </w:pPr>
      <w:r>
        <w:rPr>
          <w:rFonts w:ascii="Arial" w:cs="Arial" w:eastAsia="Arial" w:hAnsi="Arial"/>
          <w:sz w:val="18"/>
          <w:szCs w:val="18"/>
          <w:color w:val="auto"/>
        </w:rPr>
        <w:t>In July 2017, Harmony entered into the 2017 LCA with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$57,323 and $40,295 for the three months ended September 30, 2025, and 2024, respectively, and $122,663 and $95,232 for the nine months ended September 30, 2025, and 2024, respectively for sales-based, trademark and tiered royalties recognized as cost of product sold. As of September 30, 2025, and December 31, 2024, the Company had accrued $57,323 and $51,746, respectively, for sales-based, trademark and tiered royalties.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July 2022, Harmony entered into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also requires a fixed trademark royalty and a tiered royalty based on net sales upon commercialization, which will be payable to Bioprojet on a quarterly basis.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the Company announced that it entered into a sublicense agreement with Bioprojet for an orexin-2 receptor agonist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an Investigational Medicinal Product Dossier (“IMPD”) Application currently anticipated in the second half of 2025. Under the Sublicense, the Company paid Bioprojet an upfront license fee of $25,500, which the Company recognized as an IPR&amp;D charge recorded in research and development within the consolidated statements of operations and comprehensive income for the year ended December 31, 2024, and will also be obligated to pay up to $127,500 upon achievement of development and regulatory milestones and up to $240,000 upon achievement of sales-based milestones, as well as royalty rates in the mid-teens on any sales of product using the Licensed Compound in the Licensed Territories.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consolidated statement of operations and comprehensive income for the year ended December 31, 2023. In September 2024, the Company achieved a milestone for preclinical proof-of-concept, which triggered a $1,000 payment under the provisions of the APA, which the Company recognized as an IPR&amp;D charge recorded in research and development within the consolidated statement of operations and comprehensive income for the year ended December 31, 2024. There are additional payments due under the APA upon the achievement of certain milestones including $19,000 for development milestones, $44,000 for regulatory milestones and $110,000 for sales milestones.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 xml:space="preserve">In June 2025, the Company entered into a research collaboration, option and license agreement (the “CiRC Agreement”) with a related party, CiRC Biosciences, Inc. (“CiRC”). Under this agreement, the Company and CiRC will collaborate on the research and development of two discovery-stage candidates (together the “Candidates”) using cell replacement therapy for treatment of refractory epilepsies and treatment-resistant narcolepsy. In connection with the CiRC Agreement, the Company paid CiRC an upfront fee of $15,000, which was recognized as an IPR&amp;D charge recorded in research and development within the unaudited condensed consolidated statements of operations and comprehensive income for the nine months ended September 30, 2025. The Company will also be obligated to pay $2,000 to CiRC upon the achievement of certain research milestones for each of the Candidates. In addition, the Company has an option to obtain an exclusive license for each of the Candidates that would grant the Company global rights to develop, manufacture and commercialize each Candidate. Upon exercise of each option, the Company would be obligated to pay an option exercise fee of $8,000, or $16,000 in the aggregate if the options related to both Candidates were to be exercised, and the Company would be obligated upon achievement to pay future development, regulatory and sales-based milestones, as well as royalties on sales of any product derived from the Candidates. Refer to Note 19,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for further discussion of related party considerations for the CiRC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consisted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0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57,323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51,746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65,092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50,542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5,578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2,166</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9,135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Milestone payments</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3,047</w:t>
            </w:r>
          </w:p>
        </w:tc>
      </w:tr>
      <w:tr>
        <w:trPr>
          <w:trHeight w:val="203"/>
        </w:trPr>
        <w:tc>
          <w:tcPr>
            <w:tcW w:w="5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expenses</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1,840</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1,291</w:t>
            </w:r>
          </w:p>
        </w:tc>
      </w:tr>
      <w:tr>
        <w:trPr>
          <w:trHeight w:val="196"/>
        </w:trPr>
        <w:tc>
          <w:tcPr>
            <w:tcW w:w="5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161,302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120,640</w:t>
            </w:r>
          </w:p>
        </w:tc>
      </w:tr>
      <w:tr>
        <w:trPr>
          <w:trHeight w:val="20"/>
        </w:trPr>
        <w:tc>
          <w:tcPr>
            <w:tcW w:w="5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the Company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$200,000.</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the TLA Term Loan consists of quarterly $3,750 principal payments, which commenced on December 31, 2023, increasing to quarterly $5,000 principal payments beginning on December 31, 2025, with a $115,000 payment due on the maturity date of July 26, 2028. The TLA Term Loan bears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net cash received related to the TLA Term Loan as a result of the transactions, less debt issuance costs of $ 2,997, was $197,003. The debt issuance costs related to the TLA Term Loan will be amortized as additional interest expense over the loan term of the TLA Credit Agreement. The fair value of the TLA Term Loan as of September 30, 2025, was $168,253.</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consisted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168,506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148,506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163,016</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250"/>
              <w:spacing w:after="0"/>
              <w:rPr>
                <w:sz w:val="20"/>
                <w:szCs w:val="20"/>
                <w:color w:val="auto"/>
              </w:rPr>
            </w:pPr>
            <w:r>
              <w:rPr>
                <w:rFonts w:ascii="Arial" w:cs="Arial" w:eastAsia="Arial" w:hAnsi="Arial"/>
                <w:sz w:val="18"/>
                <w:szCs w:val="18"/>
                <w:color w:val="auto"/>
              </w:rPr>
              <w:t>17</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September 30, 2025, for the periods indicated below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 (excluding the nine months ended September 30, 2025)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2029</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170,000</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within the unaudited condensed consolidated statements of operations and comprehensive income and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4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$ 10,613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$ 12,756</w:t>
            </w:r>
          </w:p>
        </w:tc>
      </w:tr>
      <w:tr>
        <w:trPr>
          <w:trHeight w:val="203"/>
        </w:trPr>
        <w:tc>
          <w:tcPr>
            <w:tcW w:w="5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w:t>
            </w:r>
          </w:p>
        </w:tc>
      </w:tr>
      <w:tr>
        <w:trPr>
          <w:trHeight w:val="196"/>
        </w:trPr>
        <w:tc>
          <w:tcPr>
            <w:tcW w:w="54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4,348</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$ 11,103</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$ 13,287</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was set to expire in May 2024. The Company subsequently entered into two separate operating leases for additional office space in Plymouth Meeting, PA, which include approximately thirteen thousand square feet and seven thousand square feet of additional office space, respectively, and were extended through October 2025. The terms of the lease payments provide for rental payments on a monthly basis and on a graduated scale. The Company also leases a fleet of automobiles that are primarily used by its sales force and are classified as operating leases.</w:t>
      </w:r>
    </w:p>
    <w:p>
      <w:pPr>
        <w:spacing w:after="0" w:line="185"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recorded operating lease costs of $ 394 and $491 for the three months ended September 30, 2025, and 2024, respectively, and $1,459 and $1,622 for the nine months ended September 30, 2025, and 2024, respectively.</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2025, the weighted-average remaining lease term for operating leases was 1.7 years and the weighted-average discount rate for operating leases was 7.72%.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ind w:left="1440"/>
              <w:spacing w:after="0"/>
              <w:rPr>
                <w:sz w:val="20"/>
                <w:szCs w:val="20"/>
                <w:color w:val="auto"/>
              </w:rPr>
            </w:pPr>
            <w:r>
              <w:rPr>
                <w:rFonts w:ascii="Arial" w:cs="Arial" w:eastAsia="Arial" w:hAnsi="Arial"/>
                <w:sz w:val="14"/>
                <w:szCs w:val="14"/>
                <w:b w:val="1"/>
                <w:bCs w:val="1"/>
                <w:color w:val="auto"/>
              </w:rPr>
              <w:t>Leases</w:t>
            </w:r>
          </w:p>
        </w:tc>
        <w:tc>
          <w:tcPr>
            <w:tcW w:w="2620" w:type="dxa"/>
            <w:vAlign w:val="bottom"/>
          </w:tcPr>
          <w:p>
            <w:pPr>
              <w:ind w:left="90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3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1,228</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2,122</w:t>
            </w: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196"/>
        </w:trPr>
        <w:tc>
          <w:tcPr>
            <w:tcW w:w="32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6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w:t>
            </w:r>
          </w:p>
        </w:tc>
      </w:tr>
      <w:tr>
        <w:trPr>
          <w:trHeight w:val="20"/>
        </w:trPr>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2024</w:t>
            </w: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w:t>
            </w:r>
          </w:p>
        </w:tc>
      </w:tr>
      <w:tr>
        <w:trPr>
          <w:trHeight w:val="239"/>
        </w:trPr>
        <w:tc>
          <w:tcPr>
            <w:tcW w:w="596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1,612</w:t>
            </w:r>
          </w:p>
        </w:tc>
      </w:tr>
    </w:tbl>
    <w:p>
      <w:pPr>
        <w:spacing w:after="0" w:line="3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September 30, 2025,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 (excluding the nine months ended September 30, 2025)</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r>
      <w:tr>
        <w:trPr>
          <w:trHeight w:val="203"/>
        </w:trPr>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w:t>
            </w:r>
          </w:p>
        </w:tc>
      </w:tr>
      <w:tr>
        <w:trPr>
          <w:trHeight w:val="203"/>
        </w:trPr>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2028</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1,305</w:t>
            </w:r>
          </w:p>
        </w:tc>
      </w:tr>
      <w:tr>
        <w:trPr>
          <w:trHeight w:val="21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196"/>
        </w:trPr>
        <w:tc>
          <w:tcPr>
            <w:tcW w:w="7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1,228</w:t>
            </w: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color w:val="212529"/>
        </w:rPr>
        <w:t>time to time, the Company is subject to claims and suits arising in the ordinary course of</w:t>
      </w:r>
      <w:r>
        <w:rPr>
          <w:rFonts w:ascii="Arial" w:cs="Arial" w:eastAsia="Arial" w:hAnsi="Arial"/>
          <w:sz w:val="18"/>
          <w:szCs w:val="18"/>
          <w:color w:val="auto"/>
        </w:rPr>
        <w:t xml:space="preserve"> </w:t>
      </w:r>
      <w:r>
        <w:rPr>
          <w:rFonts w:ascii="Arial" w:cs="Arial" w:eastAsia="Arial" w:hAnsi="Arial"/>
          <w:sz w:val="18"/>
          <w:szCs w:val="18"/>
          <w:color w:val="212529"/>
        </w:rPr>
        <w:t>business. The Company accrues such liabilities when they are known, if they are deemed probable and can be reasonably 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 proceedings could have a material adverse effect on the Company’s results of operations and financial condition. As of September 30, 2025, there were no material claims or lawsuits outstanding other than the Abbreviated New Drug Application (“ANDA”) litigation discussed below</w:t>
      </w:r>
      <w:r>
        <w:rPr>
          <w:rFonts w:ascii="Arial" w:cs="Arial" w:eastAsia="Arial" w:hAnsi="Arial"/>
          <w:sz w:val="18"/>
          <w:szCs w:val="18"/>
          <w:color w:val="000000"/>
        </w:rPr>
        <w:t>.</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ANDA Litigation</w:t>
      </w:r>
    </w:p>
    <w:p>
      <w:pPr>
        <w:spacing w:after="0" w:line="198"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212529"/>
        </w:rPr>
        <w:t xml:space="preserve">In September 2023, the Company and its licensor, Bioprojet, received notice from Lupin Limited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“Lupin Notice Letter”) that Lupin has submitted ANDA No. 218846 (the “Lupin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Nos. 8,486,947 (“’947 patent”) and 8,207,197 (“’197 patent”). On September 27, 2023, the Company and Bioprojet received notice from Novugen Pharma Sdn. Bhd. (“Novugen”)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212529"/>
        </w:rPr>
        <w:t>“Novugen Notice Letter”) that Novugen has submitted ANDA No. 218834 (the “Novugen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’197 patent. The ’947 patent and the ‘197 patent are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September 2029 and March 2030, respectively. The Lupin Notice Letter and the Novugen Notice Letter assert that their generic product will not infringe the ’947 patent and the ‘197 patent and/or that the ’947 patent and the ‘197 patent are invalid or unenforceable. On November 9, 2023, we, Bioprojet and Bioprojet’s wholly owned subsidiary, Bioprojet Pharma SAS (“Bioprojet Pharma”), filed a complaint for patent infringement of the ’947 patent and the ‘197 patent against Lupin, Novugen and certain of their affiliates and agents in the United States District Court for the District of Delaware in response to the filing of their respective ANDAs with the FDA. </w:t>
      </w:r>
      <w:r>
        <w:rPr>
          <w:rFonts w:ascii="Arial" w:cs="Arial" w:eastAsia="Arial" w:hAnsi="Arial"/>
          <w:sz w:val="18"/>
          <w:szCs w:val="18"/>
          <w:color w:val="000000"/>
        </w:rPr>
        <w:t>In June 2025, the Company reached an agreement with Lupin to resolve</w:t>
      </w:r>
      <w:r>
        <w:rPr>
          <w:rFonts w:ascii="Arial" w:cs="Arial" w:eastAsia="Arial" w:hAnsi="Arial"/>
          <w:sz w:val="18"/>
          <w:szCs w:val="18"/>
          <w:color w:val="212529"/>
        </w:rPr>
        <w:t xml:space="preserve"> </w:t>
      </w:r>
      <w:r>
        <w:rPr>
          <w:rFonts w:ascii="Arial" w:cs="Arial" w:eastAsia="Arial" w:hAnsi="Arial"/>
          <w:sz w:val="18"/>
          <w:szCs w:val="18"/>
          <w:color w:val="000000"/>
        </w:rPr>
        <w:t>the dispute over Lupin’s ANDA to market a generic version of WAKIX. Under the terms of the settlement agreement, the litigation between the parties in the United States District Court for the District of Delaware will be dismissed, and Lupin will have a license to sell its generic product beginning January 2030, or earlier under certain circumstances.</w:t>
      </w:r>
    </w:p>
    <w:p>
      <w:pPr>
        <w:spacing w:after="0" w:line="27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In October 2023, the Company and Bioprojet received notice from Novitium Pharma LLC (“Novitium”),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“Novitium Notice Letter”), that Novitium has submitted ANDA No. 218495 (the “Novitium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 8,354,430 (the “’430 patent”), which is also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February 2026, ’947 patent, and ’197 patent. On October 12, 2023, the Company and Bioprojet received notice from Zenara Pharma Pvt. Ltd. (“Zenara”),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“Zenara Notice Letter”), that Zenara has submitted ANDA No. 218796 (the “Zenara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’947 patent and the ’197 patent. On October 14, 2023, the Company and Bioprojet received notice from AET Pharma US, Inc.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“AET Notice Letter”), that AET has submitted ANDA No. 218892 (the “AET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the ’197 patent. On October 16, 2023, the Company and Bioprojet received notice from Annora Pharma Private Limited (“Annora”),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“Annora Notice Letter”), that Annora has submitted ANDA No. 218832 (the “Annora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the ’947 patent and the ’197 patent. AET’s Notice Letter asserts that AET’s generic product will not infringe the ’947 patent and the ‘197 patent and/or that ’947 patent and the ‘197 patent are invalid or unenforceable. The Annora Notice Letter asserts that its generic product will not infringe the ‘430 patent, ’947 patent and the ‘197 patent and/or that the ‘430 patent, ’947 patent and the ‘197 patent are invalid or unenforceable. The Novitium Notice Letter asserts that its generic product will not infringe the ‘430 patent, ’947 patent and the ‘197 patent and/or that the ‘430 patent, ’947 patent and the ‘197 patent are invalid or unenforceable. The Zenara Notice Letter asserts that its generic product will not infringe the ‘430 patent, ’947 patent and the ‘197 patent and/or that the ‘430 patent, ’947 patent and the ‘197 patent are invalid or unenforceable. On November 21, 2023, the Company, Bioprojet and Bioprojet Pharma filed a complaint for patent infringement of the ’947 patent and the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 </w:t>
      </w:r>
      <w:r>
        <w:rPr>
          <w:rFonts w:ascii="Arial" w:cs="Arial" w:eastAsia="Arial" w:hAnsi="Arial"/>
          <w:sz w:val="18"/>
          <w:szCs w:val="18"/>
          <w:color w:val="000000"/>
        </w:rPr>
        <w:t>In March 2025, the Company</w:t>
      </w:r>
      <w:r>
        <w:rPr>
          <w:rFonts w:ascii="Arial" w:cs="Arial" w:eastAsia="Arial" w:hAnsi="Arial"/>
          <w:sz w:val="18"/>
          <w:szCs w:val="18"/>
          <w:color w:val="212529"/>
        </w:rPr>
        <w:t xml:space="preserve"> </w:t>
      </w:r>
      <w:r>
        <w:rPr>
          <w:rFonts w:ascii="Arial" w:cs="Arial" w:eastAsia="Arial" w:hAnsi="Arial"/>
          <w:sz w:val="18"/>
          <w:szCs w:val="18"/>
          <w:color w:val="000000"/>
        </w:rPr>
        <w:t>reached an agreement with Annora to resolve the dispute over Annora’s ANDA for a generic pitolisant hydrochloride product. Under the terms of the settlement agreement, the litigation between the parties in the United States District Court for the District of Delaware was ended on March 31, 2025, and Annora will have a license to sell its generic product beginning January 2030, or earlier under certain circumstances.</w:t>
      </w:r>
    </w:p>
    <w:p>
      <w:pPr>
        <w:spacing w:after="0" w:line="26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12529"/>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0"/>
          <w:szCs w:val="10"/>
          <w:color w:val="212529"/>
          <w:vertAlign w:val="subscript"/>
        </w:rPr>
        <w:t>.</w:t>
      </w:r>
      <w:r>
        <w:rPr>
          <w:rFonts w:ascii="Arial" w:cs="Arial" w:eastAsia="Arial" w:hAnsi="Arial"/>
          <w:sz w:val="18"/>
          <w:szCs w:val="18"/>
          <w:color w:val="212529"/>
        </w:rPr>
        <w:t xml:space="preserve"> On December 8, 2023, MSN Laboratories Private Limited (“MSN”) filed a declaratory judgment action in the United States District Court for the Eastern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212529"/>
        </w:rPr>
        <w:t>District of Virginia against Bioprojet claiming that the ‘430 patent, the ’947 patent and the ‘197 patent will not be infringed by MSN’s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and that the ‘947 patent is invalid. On December 11, 2023, we, Bioprojet and Bioprojet Pharma filed a complaint in the United States District Court for the District of Delaware for patent infringement of the ‘430 patent, the ’947 patent and the ‘197 patent against MSN and MSN Pharma. On January 12, 2024, the declaratory judgment action was transferred from the United States District Court for the Eastern District of Virginia to the United States District Court for the District of Delaware.</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12529"/>
        </w:rPr>
        <w:t>In April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four-day bench trial beginning on February 17, 2026.</w:t>
      </w:r>
    </w:p>
    <w:p>
      <w:pPr>
        <w:spacing w:after="0" w:line="17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In August 2024, the Company and Bioprojet received further notice from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AET Notice Letter”) that AET has submitted the AET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AET Notice Letter asserts that its generic product will not infringe the ’947 patent and the ‘197 patent and/or that the ’947 patent and the ‘197 patent are invalid or unenforceable. On August 13, 2024, we, Bioprojet and Bioprojet Pharma filed a complaint in the United States District Court for the District of Delaware for patent infringement of the ’947 patent and the ‘197 patent against AET.</w:t>
      </w:r>
    </w:p>
    <w:p>
      <w:pPr>
        <w:spacing w:after="0" w:line="17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212529"/>
        </w:rPr>
        <w:t>In October 2024, the Company reached an agreement with Novugen Pharma to resolve the dispute over Novugen’s ANDA for a generic pitolisant hydrochloride product. Under the terms of the settlement agreement, the litigation between the parties in the United States District Court for the District of Delaware was ended on November 4, 2024, and Novugen will have a license to sell its generic product beginning January 2030, or earlier under certain circumstances.</w:t>
      </w:r>
    </w:p>
    <w:p>
      <w:pPr>
        <w:spacing w:after="0" w:line="16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In December 2024, the Company and Bioprojet received further notice from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Lupin Notice Letter”) that Lupin has submitted the Lupin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Lupin Notice Letter asserts that its generic product will not infringe the ’947 patent and the ‘197 patent and/or that the ’947 patent and the ‘197 patent are invalid or unenforceable. On January 24, 2025, we, Bioprojet and Bioprojet Pharma filed a complaint in the United States District Court for the District of Delaware for patent infringement of the ’947 patent and the ‘197 patent against Lupin. As noted above, </w:t>
      </w:r>
      <w:r>
        <w:rPr>
          <w:rFonts w:ascii="Arial" w:cs="Arial" w:eastAsia="Arial" w:hAnsi="Arial"/>
          <w:sz w:val="18"/>
          <w:szCs w:val="18"/>
          <w:color w:val="000000"/>
        </w:rPr>
        <w:t>in June 2025, the Company reached an agreement</w:t>
      </w:r>
      <w:r>
        <w:rPr>
          <w:rFonts w:ascii="Arial" w:cs="Arial" w:eastAsia="Arial" w:hAnsi="Arial"/>
          <w:sz w:val="18"/>
          <w:szCs w:val="18"/>
          <w:color w:val="212529"/>
        </w:rPr>
        <w:t xml:space="preserve"> </w:t>
      </w:r>
      <w:r>
        <w:rPr>
          <w:rFonts w:ascii="Arial" w:cs="Arial" w:eastAsia="Arial" w:hAnsi="Arial"/>
          <w:sz w:val="18"/>
          <w:szCs w:val="18"/>
          <w:color w:val="000000"/>
        </w:rPr>
        <w:t>with Lupin to resolve the dispute over Lupin’s ANDA to market a generic version of WAKIX. Under the terms of the settlement agreement, the litigation between the parties in the United States District Court for the District of Delaware will be dismissed, and Lupin will have a license to sell its generic product beginning January 2030, or earlier under certain circumstances.</w:t>
      </w:r>
    </w:p>
    <w:p>
      <w:pPr>
        <w:spacing w:after="0" w:line="22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resolution of one or more of the ANDA litigation matters against the Company could have a significant negative effect on the Company’s results of operations.</w:t>
      </w:r>
    </w:p>
    <w:p>
      <w:pPr>
        <w:spacing w:after="0" w:line="167" w:lineRule="exact"/>
        <w:rPr>
          <w:sz w:val="20"/>
          <w:szCs w:val="20"/>
          <w:color w:val="auto"/>
        </w:rPr>
      </w:pPr>
    </w:p>
    <w:p>
      <w:pPr>
        <w:ind w:left="700" w:right="6399" w:hanging="650"/>
        <w:spacing w:after="0" w:line="513" w:lineRule="auto"/>
        <w:tabs>
          <w:tab w:leader="none" w:pos="35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nine months ended September 30, 2025, and 2024, no shares of common stock were repurchased by the Company under the October 2023 Repurchase Program. As of September 30, 2025, the remaining amount of common stock authorized for repurchases was $150,000.</w:t>
      </w:r>
    </w:p>
    <w:p>
      <w:pPr>
        <w:spacing w:after="0" w:line="185" w:lineRule="exact"/>
        <w:rPr>
          <w:sz w:val="20"/>
          <w:szCs w:val="20"/>
          <w:color w:val="auto"/>
        </w:rPr>
      </w:pPr>
    </w:p>
    <w:p>
      <w:pPr>
        <w:ind w:left="700" w:right="3179" w:hanging="650"/>
        <w:spacing w:after="0" w:line="485" w:lineRule="auto"/>
        <w:tabs>
          <w:tab w:leader="none" w:pos="3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Stock Appreciation Rights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SARs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September 30, 2025, there were 8,603,721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SARs or restricted stock. Following the adoption of the 2020 Plan, no further grants have been, or will be, made under the 2017 Plan. However, the 2017 Plan will continue to govern the terms and conditions of outstanding awards granted under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2025:</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49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4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2024</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7,157,235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1,399,081</w:t>
            </w:r>
          </w:p>
        </w:tc>
        <w:tc>
          <w:tcPr>
            <w:tcW w:w="1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36.24</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(323,878)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(248,080)</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37.11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2025</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7,984,358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30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16,947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0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8"/>
                <w:szCs w:val="18"/>
                <w:color w:val="auto"/>
              </w:rPr>
              <w:t>Awards exercisable—September 30, 2025</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5,532,221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32.34</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5.6</w:t>
            </w:r>
          </w:p>
        </w:tc>
        <w:tc>
          <w:tcPr>
            <w:tcW w:w="2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16,766</w:t>
            </w:r>
          </w:p>
        </w:tc>
      </w:tr>
      <w:tr>
        <w:trPr>
          <w:trHeight w:val="183"/>
        </w:trPr>
        <w:tc>
          <w:tcPr>
            <w:tcW w:w="49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Awards unvested—September 30, 2025</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2,452,137</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35.72</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181</w:t>
            </w:r>
          </w:p>
        </w:tc>
      </w:tr>
      <w:tr>
        <w:trPr>
          <w:trHeight w:val="20"/>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weighted-average grant-date fair value of stock options granted during the nine months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2025, was $36.24. The total intrinsic value of stock options exercised for the nine months ended</w:t>
      </w:r>
    </w:p>
    <w:p>
      <w:pPr>
        <w:ind w:left="60"/>
        <w:spacing w:after="0"/>
        <w:rPr>
          <w:sz w:val="20"/>
          <w:szCs w:val="20"/>
          <w:color w:val="auto"/>
        </w:rPr>
      </w:pPr>
      <w:r>
        <w:rPr>
          <w:rFonts w:ascii="Arial" w:cs="Arial" w:eastAsia="Arial" w:hAnsi="Arial"/>
          <w:sz w:val="18"/>
          <w:szCs w:val="18"/>
          <w:color w:val="auto"/>
        </w:rPr>
        <w:t>September 30, 2025, was $4,214.</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nine months ended September 30, 2025:</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5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2024</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(9,737)</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2025</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372,225</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10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exercisable—September 30, 2025</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33,471</w:t>
            </w:r>
          </w:p>
        </w:tc>
        <w:tc>
          <w:tcPr>
            <w:tcW w:w="160" w:type="dxa"/>
            <w:vAlign w:val="bottom"/>
          </w:tcPr>
          <w:p>
            <w:pPr>
              <w:spacing w:after="0"/>
              <w:rPr>
                <w:sz w:val="15"/>
                <w:szCs w:val="15"/>
                <w:color w:val="auto"/>
              </w:rPr>
            </w:pP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8.72</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3.4</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372,225</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nine months ended September 30, 2025:</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b w:val="1"/>
                <w:bCs w:val="1"/>
                <w:color w:val="auto"/>
                <w:w w:val="97"/>
              </w:rPr>
              <w:t>Average</w:t>
            </w:r>
          </w:p>
        </w:tc>
      </w:tr>
      <w:tr>
        <w:trPr>
          <w:trHeight w:val="162"/>
        </w:trPr>
        <w:tc>
          <w:tcPr>
            <w:tcW w:w="682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68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638,900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458,650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37.61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(215,795)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30.99</w:t>
            </w: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(82,168)</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33.28</w:t>
            </w: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outstanding—September 30, 2025</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799,587</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34.48</w:t>
            </w: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weighted-average per share fair value of awards issued under the 2020 Plan during the nine months ended September 30, 2025, and 2024 was $37.61 and $30.62,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290"/>
              <w:spacing w:after="0"/>
              <w:rPr>
                <w:sz w:val="20"/>
                <w:szCs w:val="20"/>
                <w:color w:val="auto"/>
              </w:rPr>
            </w:pPr>
            <w:r>
              <w:rPr>
                <w:rFonts w:ascii="Arial" w:cs="Arial" w:eastAsia="Arial" w:hAnsi="Arial"/>
                <w:sz w:val="14"/>
                <w:szCs w:val="14"/>
                <w:b w:val="1"/>
                <w:bCs w:val="1"/>
                <w:color w:val="auto"/>
                <w:w w:val="97"/>
              </w:rPr>
              <w:t>As of</w:t>
            </w:r>
          </w:p>
        </w:tc>
      </w:tr>
      <w:tr>
        <w:trPr>
          <w:trHeight w:val="155"/>
        </w:trPr>
        <w:tc>
          <w:tcPr>
            <w:tcW w:w="5780" w:type="dxa"/>
            <w:vAlign w:val="bottom"/>
          </w:tcPr>
          <w:p>
            <w:pPr>
              <w:spacing w:after="0"/>
              <w:rPr>
                <w:sz w:val="13"/>
                <w:szCs w:val="13"/>
                <w:color w:val="auto"/>
              </w:rPr>
            </w:pPr>
          </w:p>
        </w:tc>
        <w:tc>
          <w:tcPr>
            <w:tcW w:w="1640" w:type="dxa"/>
            <w:vAlign w:val="bottom"/>
            <w:gridSpan w:val="2"/>
          </w:tcPr>
          <w:p>
            <w:pPr>
              <w:jc w:val="right"/>
              <w:ind w:right="199"/>
              <w:spacing w:after="0" w:line="155" w:lineRule="exact"/>
              <w:rPr>
                <w:sz w:val="20"/>
                <w:szCs w:val="20"/>
                <w:color w:val="auto"/>
              </w:rPr>
            </w:pPr>
            <w:r>
              <w:rPr>
                <w:rFonts w:ascii="Arial" w:cs="Arial" w:eastAsia="Arial" w:hAnsi="Arial"/>
                <w:sz w:val="14"/>
                <w:szCs w:val="14"/>
                <w:b w:val="1"/>
                <w:bCs w:val="1"/>
                <w:color w:val="auto"/>
              </w:rPr>
              <w:t>September 30, 2025</w:t>
            </w:r>
          </w:p>
        </w:tc>
        <w:tc>
          <w:tcPr>
            <w:tcW w:w="148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December 31, 2024</w:t>
            </w:r>
          </w:p>
        </w:tc>
      </w:tr>
      <w:tr>
        <w:trPr>
          <w:trHeight w:val="196"/>
        </w:trPr>
        <w:tc>
          <w:tcPr>
            <w:tcW w:w="5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tcBorders>
              <w:top w:val="single" w:sz="8" w:color="CCEEFF"/>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69.18 - 71.43 %</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69.84 - 72.98 %</w:t>
            </w: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3.74 - 4.44 %</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3.51 - 4.65 %</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6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0.00 %</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1.5 - 6.1</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1.8 - 6.1</w:t>
            </w:r>
          </w:p>
        </w:tc>
        <w:tc>
          <w:tcPr>
            <w:tcW w:w="180" w:type="dxa"/>
            <w:vAlign w:val="bottom"/>
            <w:shd w:val="clear" w:color="auto" w:fill="CCEEFF"/>
          </w:tcPr>
          <w:p>
            <w:pPr>
              <w:spacing w:after="0"/>
              <w:rPr>
                <w:sz w:val="17"/>
                <w:szCs w:val="17"/>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for the three and nine months ended September 30, 2025, and 2024,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6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6,673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4,964</w:t>
            </w: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1,494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1,815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5,890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5,909</w:t>
            </w:r>
          </w:p>
        </w:tc>
      </w:tr>
      <w:tr>
        <w:trPr>
          <w:trHeight w:val="203"/>
        </w:trPr>
        <w:tc>
          <w:tcPr>
            <w:tcW w:w="3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7,072</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7,723</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22,105</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21,972</w:t>
            </w:r>
          </w:p>
        </w:tc>
      </w:tr>
      <w:tr>
        <w:trPr>
          <w:trHeight w:val="196"/>
        </w:trPr>
        <w:tc>
          <w:tcPr>
            <w:tcW w:w="3780" w:type="dxa"/>
            <w:vAlign w:val="bottom"/>
          </w:tcPr>
          <w:p>
            <w:pPr>
              <w:spacing w:after="0"/>
              <w:rPr>
                <w:sz w:val="17"/>
                <w:szCs w:val="17"/>
                <w:color w:val="auto"/>
              </w:rPr>
            </w:pPr>
          </w:p>
        </w:tc>
        <w:tc>
          <w:tcPr>
            <w:tcW w:w="2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10,824</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11,448</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34,668</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32,845</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Stock-based compensation expense related to options and RSUs issued under the 2017 Plan and 2020 Plan is included in stockholder’s equity, and a liability for SARs is included in other non-current liabilities, in the Company’s unaudited condensed consolidated balance sheet. As of September 30, 2025, the total unrecognized stock-based compensation expense was $51,371 and $22,743 for stock options and RSUs,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respectively. These amounts will be recognized in the Company’s consolidated statement of operations over a weighted average period of 2.5 years and 2.9 years for stock options and RSUs, respectively.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0 and 1,206 shares issued under the ESPP for the three months ended September 30, 2025, and 2024, respectively. There were 11,772 and 11,913 shares issued under the ESPP for the nine months ended September 30, 2025, and 2024, respectively. The discount on the ESPP was $76 and $72 for the three months ended September 30, 2025, and 2024, respectively, and $201 and $230 for the nine months ended September 30, 2025, and 2024, respectively, and is recorded within stock-based compensation expense.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SEGMENT INFORMATION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has one reportable segment: rare neurological diseases. The rare neurological diseases segment consists of the Company’s commercial product, WAKIX, and its potential product candidates, that focus on patients living with rare neurological diseases who have unmet needs. The Company currently derives all of its revenue from sales of WAKIX, which is used in the treatment of EDS and cataplexy in adult patients with narcolepsy and the treatment of EDS in pediatric patients six years and older with narcolepsy and manages its business activities on a consolidated basis.</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The accounting policies of the rare neurological diseases segment are consistent with those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and the measure of segment assets is reported on the consolidated balance sheets as total assets. The Company’s CODM is the chief executive officer. The CODM assesses performance of the rare neurological diseases segment using net income as reported in the consolidated statements of operations and comprehensive income. Net income is assessed by the CODM to make decisions on how to allocate resources, such as reinvesting profits into the rare neurological diseases segment or pursuing potential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summarizes segment revenue and significant segment expenses for the three and nine months ended September 30, 2025, and 2024:</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Rare Neurological Diseases Segment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940" w:type="dxa"/>
            <w:vAlign w:val="bottom"/>
          </w:tcPr>
          <w:p>
            <w:pPr>
              <w:spacing w:after="0"/>
              <w:rPr>
                <w:sz w:val="13"/>
                <w:szCs w:val="13"/>
                <w:color w:val="auto"/>
              </w:rPr>
            </w:pPr>
          </w:p>
        </w:tc>
        <w:tc>
          <w:tcPr>
            <w:tcW w:w="4960" w:type="dxa"/>
            <w:vAlign w:val="bottom"/>
            <w:tcBorders>
              <w:bottom w:val="single" w:sz="8" w:color="auto"/>
            </w:tcBorders>
            <w:gridSpan w:val="10"/>
          </w:tcPr>
          <w:p>
            <w:pPr>
              <w:ind w:left="20"/>
              <w:spacing w:after="0" w:line="155" w:lineRule="exact"/>
              <w:rPr>
                <w:sz w:val="20"/>
                <w:szCs w:val="20"/>
                <w:color w:val="auto"/>
              </w:rPr>
            </w:pPr>
            <w:r>
              <w:rPr>
                <w:rFonts w:ascii="Arial" w:cs="Arial" w:eastAsia="Arial" w:hAnsi="Arial"/>
                <w:sz w:val="14"/>
                <w:szCs w:val="14"/>
                <w:b w:val="1"/>
                <w:bCs w:val="1"/>
                <w:color w:val="auto"/>
              </w:rPr>
              <w:t>Three Months Ended September 30, Nine Months Ended September 30,</w:t>
            </w:r>
          </w:p>
        </w:tc>
        <w:tc>
          <w:tcPr>
            <w:tcW w:w="20" w:type="dxa"/>
            <w:vAlign w:val="bottom"/>
          </w:tcPr>
          <w:p>
            <w:pPr>
              <w:spacing w:after="0"/>
              <w:rPr>
                <w:sz w:val="13"/>
                <w:szCs w:val="13"/>
                <w:color w:val="auto"/>
              </w:rPr>
            </w:pPr>
          </w:p>
        </w:tc>
      </w:tr>
      <w:tr>
        <w:trPr>
          <w:trHeight w:val="156"/>
        </w:trPr>
        <w:tc>
          <w:tcPr>
            <w:tcW w:w="39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r>
      <w:tr>
        <w:trPr>
          <w:trHeight w:val="196"/>
        </w:trPr>
        <w:tc>
          <w:tcPr>
            <w:tcW w:w="3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product revenue</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239,455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186,038</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624,677</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513,467</w:t>
            </w:r>
          </w:p>
        </w:tc>
        <w:tc>
          <w:tcPr>
            <w:tcW w:w="20" w:type="dxa"/>
            <w:vAlign w:val="bottom"/>
          </w:tcPr>
          <w:p>
            <w:pPr>
              <w:spacing w:after="0"/>
              <w:rPr>
                <w:sz w:val="17"/>
                <w:szCs w:val="17"/>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Less: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product sold (a)</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59,643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42,777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129,777</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102,394</w:t>
            </w:r>
          </w:p>
        </w:tc>
        <w:tc>
          <w:tcPr>
            <w:tcW w:w="20" w:type="dxa"/>
            <w:vAlign w:val="bottom"/>
          </w:tcPr>
          <w:p>
            <w:pPr>
              <w:spacing w:after="0"/>
              <w:rPr>
                <w:sz w:val="17"/>
                <w:szCs w:val="17"/>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(b)</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37,704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22,477</w:t>
            </w:r>
          </w:p>
        </w:tc>
        <w:tc>
          <w:tcPr>
            <w:tcW w:w="240" w:type="dxa"/>
            <w:vAlign w:val="bottom"/>
          </w:tcPr>
          <w:p>
            <w:pPr>
              <w:spacing w:after="0"/>
              <w:rPr>
                <w:sz w:val="17"/>
                <w:szCs w:val="17"/>
                <w:color w:val="auto"/>
              </w:rPr>
            </w:pP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102,988</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62,600</w:t>
            </w:r>
          </w:p>
        </w:tc>
        <w:tc>
          <w:tcPr>
            <w:tcW w:w="20" w:type="dxa"/>
            <w:vAlign w:val="bottom"/>
          </w:tcPr>
          <w:p>
            <w:pPr>
              <w:spacing w:after="0"/>
              <w:rPr>
                <w:sz w:val="17"/>
                <w:szCs w:val="17"/>
                <w:color w:val="auto"/>
              </w:rPr>
            </w:pPr>
          </w:p>
        </w:tc>
      </w:tr>
      <w:tr>
        <w:trPr>
          <w:trHeight w:val="203"/>
        </w:trPr>
        <w:tc>
          <w:tcPr>
            <w:tcW w:w="3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marketing (c)</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28,055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25,761</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84,443</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77,407</w:t>
            </w:r>
          </w:p>
        </w:tc>
        <w:tc>
          <w:tcPr>
            <w:tcW w:w="20" w:type="dxa"/>
            <w:vAlign w:val="bottom"/>
          </w:tcPr>
          <w:p>
            <w:pPr>
              <w:spacing w:after="0"/>
              <w:rPr>
                <w:sz w:val="17"/>
                <w:szCs w:val="17"/>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(d)</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16,774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14,897</w:t>
            </w:r>
          </w:p>
        </w:tc>
        <w:tc>
          <w:tcPr>
            <w:tcW w:w="240" w:type="dxa"/>
            <w:vAlign w:val="bottom"/>
          </w:tcPr>
          <w:p>
            <w:pPr>
              <w:spacing w:after="0"/>
              <w:rPr>
                <w:sz w:val="17"/>
                <w:szCs w:val="17"/>
                <w:color w:val="auto"/>
              </w:rPr>
            </w:pP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54,986</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41,383</w:t>
            </w:r>
          </w:p>
        </w:tc>
        <w:tc>
          <w:tcPr>
            <w:tcW w:w="20" w:type="dxa"/>
            <w:vAlign w:val="bottom"/>
          </w:tcPr>
          <w:p>
            <w:pPr>
              <w:spacing w:after="0"/>
              <w:rPr>
                <w:sz w:val="17"/>
                <w:szCs w:val="17"/>
                <w:color w:val="auto"/>
              </w:rPr>
            </w:pPr>
          </w:p>
        </w:tc>
      </w:tr>
      <w:tr>
        <w:trPr>
          <w:trHeight w:val="203"/>
        </w:trPr>
        <w:tc>
          <w:tcPr>
            <w:tcW w:w="3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17,903</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18,144</w:t>
            </w:r>
          </w:p>
        </w:tc>
        <w:tc>
          <w:tcPr>
            <w:tcW w:w="20" w:type="dxa"/>
            <w:vAlign w:val="bottom"/>
          </w:tcPr>
          <w:p>
            <w:pPr>
              <w:spacing w:after="0"/>
              <w:rPr>
                <w:sz w:val="17"/>
                <w:szCs w:val="17"/>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11,448</w:t>
            </w:r>
          </w:p>
        </w:tc>
        <w:tc>
          <w:tcPr>
            <w:tcW w:w="240" w:type="dxa"/>
            <w:vAlign w:val="bottom"/>
          </w:tcPr>
          <w:p>
            <w:pPr>
              <w:spacing w:after="0"/>
              <w:rPr>
                <w:sz w:val="17"/>
                <w:szCs w:val="17"/>
                <w:color w:val="auto"/>
              </w:rPr>
            </w:pPr>
          </w:p>
        </w:tc>
        <w:tc>
          <w:tcPr>
            <w:tcW w:w="10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34,668</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32,845</w:t>
            </w:r>
          </w:p>
        </w:tc>
        <w:tc>
          <w:tcPr>
            <w:tcW w:w="20" w:type="dxa"/>
            <w:vAlign w:val="bottom"/>
          </w:tcPr>
          <w:p>
            <w:pPr>
              <w:spacing w:after="0"/>
              <w:rPr>
                <w:sz w:val="17"/>
                <w:szCs w:val="17"/>
                <w:color w:val="auto"/>
              </w:rPr>
            </w:pPr>
          </w:p>
        </w:tc>
      </w:tr>
      <w:tr>
        <w:trPr>
          <w:trHeight w:val="203"/>
        </w:trPr>
        <w:tc>
          <w:tcPr>
            <w:tcW w:w="3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11,103</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13,287</w:t>
            </w:r>
          </w:p>
        </w:tc>
        <w:tc>
          <w:tcPr>
            <w:tcW w:w="20" w:type="dxa"/>
            <w:vAlign w:val="bottom"/>
          </w:tcPr>
          <w:p>
            <w:pPr>
              <w:spacing w:after="0"/>
              <w:rPr>
                <w:sz w:val="17"/>
                <w:szCs w:val="17"/>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(5,730)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(4,932)</w:t>
            </w:r>
          </w:p>
        </w:tc>
        <w:tc>
          <w:tcPr>
            <w:tcW w:w="240" w:type="dxa"/>
            <w:vAlign w:val="bottom"/>
          </w:tcPr>
          <w:p>
            <w:pPr>
              <w:spacing w:after="0"/>
              <w:rPr>
                <w:sz w:val="17"/>
                <w:szCs w:val="17"/>
                <w:color w:val="auto"/>
              </w:rPr>
            </w:pPr>
          </w:p>
        </w:tc>
        <w:tc>
          <w:tcPr>
            <w:tcW w:w="1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(16,070)</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(14,065)</w:t>
            </w:r>
          </w:p>
        </w:tc>
        <w:tc>
          <w:tcPr>
            <w:tcW w:w="20" w:type="dxa"/>
            <w:vAlign w:val="bottom"/>
          </w:tcPr>
          <w:p>
            <w:pPr>
              <w:spacing w:after="0"/>
              <w:rPr>
                <w:sz w:val="17"/>
                <w:szCs w:val="17"/>
                <w:color w:val="auto"/>
              </w:rPr>
            </w:pPr>
          </w:p>
        </w:tc>
      </w:tr>
      <w:tr>
        <w:trPr>
          <w:trHeight w:val="203"/>
        </w:trPr>
        <w:tc>
          <w:tcPr>
            <w:tcW w:w="3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16,077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38,103</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39,631</w:t>
            </w:r>
          </w:p>
        </w:tc>
        <w:tc>
          <w:tcPr>
            <w:tcW w:w="20" w:type="dxa"/>
            <w:vAlign w:val="bottom"/>
          </w:tcPr>
          <w:p>
            <w:pPr>
              <w:spacing w:after="0"/>
              <w:rPr>
                <w:sz w:val="17"/>
                <w:szCs w:val="17"/>
                <w:color w:val="auto"/>
              </w:rPr>
            </w:pPr>
          </w:p>
        </w:tc>
      </w:tr>
      <w:tr>
        <w:trPr>
          <w:trHeight w:val="203"/>
        </w:trPr>
        <w:tc>
          <w:tcPr>
            <w:tcW w:w="3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segment items (e)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15,106</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1,124</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30,575</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43,823</w:t>
            </w:r>
          </w:p>
        </w:tc>
        <w:tc>
          <w:tcPr>
            <w:tcW w:w="20" w:type="dxa"/>
            <w:vAlign w:val="bottom"/>
          </w:tcPr>
          <w:p>
            <w:pPr>
              <w:spacing w:after="0"/>
              <w:rPr>
                <w:sz w:val="17"/>
                <w:szCs w:val="17"/>
                <w:color w:val="auto"/>
              </w:rPr>
            </w:pPr>
          </w:p>
        </w:tc>
      </w:tr>
      <w:tr>
        <w:trPr>
          <w:trHeight w:val="196"/>
        </w:trPr>
        <w:tc>
          <w:tcPr>
            <w:tcW w:w="3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50,865</w:t>
            </w: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46,093</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136,201</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96,018</w:t>
            </w:r>
          </w:p>
        </w:tc>
        <w:tc>
          <w:tcPr>
            <w:tcW w:w="20" w:type="dxa"/>
            <w:vAlign w:val="bottom"/>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040" w:hanging="315"/>
        <w:spacing w:after="0"/>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Cost of product sold excluding depreciation.</w:t>
      </w:r>
    </w:p>
    <w:p>
      <w:pPr>
        <w:spacing w:after="0" w:line="5" w:lineRule="exact"/>
        <w:rPr>
          <w:rFonts w:ascii="Arial" w:cs="Arial" w:eastAsia="Arial" w:hAnsi="Arial"/>
          <w:sz w:val="14"/>
          <w:szCs w:val="14"/>
          <w:color w:val="auto"/>
        </w:rPr>
      </w:pPr>
    </w:p>
    <w:p>
      <w:pPr>
        <w:ind w:left="1040" w:hanging="315"/>
        <w:spacing w:after="0"/>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Research and development excluding stock-based compensation and IPR&amp;D.</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Sales and marketing excluding stock-based compensation.</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General and administrative excluding stock-based compensation, depreciation and amortization.</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Other segment items include other expense, net and IPR&amp;D charges.</w:t>
      </w:r>
    </w:p>
    <w:p>
      <w:pPr>
        <w:spacing w:after="0" w:line="233" w:lineRule="exact"/>
        <w:rPr>
          <w:rFonts w:ascii="Arial" w:cs="Arial" w:eastAsia="Arial" w:hAnsi="Arial"/>
          <w:sz w:val="14"/>
          <w:szCs w:val="14"/>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4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50,865</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46,093</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136,201</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96,018</w:t>
            </w: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4"/>
        </w:trPr>
        <w:tc>
          <w:tcPr>
            <w:tcW w:w="3440" w:type="dxa"/>
            <w:vAlign w:val="bottom"/>
          </w:tcPr>
          <w:p>
            <w:pPr>
              <w:ind w:left="100"/>
              <w:spacing w:after="0" w:line="183" w:lineRule="exact"/>
              <w:rPr>
                <w:sz w:val="20"/>
                <w:szCs w:val="20"/>
                <w:color w:val="auto"/>
              </w:rPr>
            </w:pPr>
            <w:r>
              <w:rPr>
                <w:rFonts w:ascii="Arial" w:cs="Arial" w:eastAsia="Arial" w:hAnsi="Arial"/>
                <w:sz w:val="18"/>
                <w:szCs w:val="18"/>
                <w:color w:val="auto"/>
              </w:rPr>
              <w:t>Net income per share of common stock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1"/>
        </w:trPr>
        <w:tc>
          <w:tcPr>
            <w:tcW w:w="344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184"/>
        </w:trPr>
        <w:tc>
          <w:tcPr>
            <w:tcW w:w="344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Net income per share of common stock-</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1"/>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184"/>
        </w:trPr>
        <w:tc>
          <w:tcPr>
            <w:tcW w:w="3440" w:type="dxa"/>
            <w:vAlign w:val="bottom"/>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1"/>
        </w:trPr>
        <w:tc>
          <w:tcPr>
            <w:tcW w:w="3440" w:type="dxa"/>
            <w:vAlign w:val="bottom"/>
          </w:tcPr>
          <w:p>
            <w:pPr>
              <w:ind w:left="100"/>
              <w:spacing w:after="0"/>
              <w:rPr>
                <w:sz w:val="20"/>
                <w:szCs w:val="20"/>
                <w:color w:val="auto"/>
              </w:rPr>
            </w:pPr>
            <w:r>
              <w:rPr>
                <w:rFonts w:ascii="Arial" w:cs="Arial" w:eastAsia="Arial" w:hAnsi="Arial"/>
                <w:sz w:val="18"/>
                <w:szCs w:val="18"/>
                <w:color w:val="auto"/>
              </w:rPr>
              <w:t>common stock - basic</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57,550,902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56,870,234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57,655,272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56,815,167</w:t>
            </w:r>
          </w:p>
        </w:tc>
      </w:tr>
      <w:tr>
        <w:trPr>
          <w:trHeight w:val="184"/>
        </w:trPr>
        <w:tc>
          <w:tcPr>
            <w:tcW w:w="344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1"/>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diluted</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58,717,910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58,103,963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58,738,361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57,754,016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Securities outstanding and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6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72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2024</w:t>
            </w:r>
          </w:p>
        </w:tc>
      </w:tr>
      <w:tr>
        <w:trPr>
          <w:trHeight w:val="164"/>
        </w:trPr>
        <w:tc>
          <w:tcPr>
            <w:tcW w:w="372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Stock options, SARs, and RSUs to purchase</w:t>
            </w: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1"/>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1,167,008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1,233,729</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1,083,089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938,849</w:t>
            </w:r>
          </w:p>
        </w:tc>
      </w:tr>
    </w:tbl>
    <w:p>
      <w:pPr>
        <w:spacing w:after="0" w:line="200" w:lineRule="exact"/>
        <w:rPr>
          <w:sz w:val="20"/>
          <w:szCs w:val="20"/>
          <w:color w:val="auto"/>
        </w:rPr>
      </w:pPr>
    </w:p>
    <w:p>
      <w:pPr>
        <w:spacing w:after="0" w:line="38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Potential shares of common stock that were excluded from the computation of diluted weighted-average shares outstanding excluded from the numerator,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6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4"/>
        </w:trPr>
        <w:tc>
          <w:tcPr>
            <w:tcW w:w="358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Stock options, SARs, and RSUs to</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7,734,327</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7,650,408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6,868,642</w:t>
            </w: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7,163,522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July 4, 2025, the "One Big Beautiful Bill Act" (the "OBBBA") was enacted into law. The OBBBA contains several changes to corporate taxation, including the allowance of immediate expensing of domestic research and development expenses. As a result, the Company recorded a $48,000 reduction to deferred tax assets related to domestic research and development expenses which is reflected in its condensed consolidated balance sheet as of September 30, 2025. The reduction in deferred tax assets will reduce the amount of federal tax payments owed by the Company for the 2025 tax year. There was no material impact to the Company’s expected tax rate as a result of this legislation.</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 reconciliation between the statutory federal income tax rate and the Company’s effective income tax rate for the three and nine months ended September 30, 2025, and 2024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8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r>
      <w:tr>
        <w:trPr>
          <w:trHeight w:val="196"/>
        </w:trPr>
        <w:tc>
          <w:tcPr>
            <w:tcW w:w="3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(0.2)</w:t>
            </w: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7"/>
                <w:szCs w:val="17"/>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Credits</w:t>
            </w: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(0.9)</w:t>
            </w:r>
          </w:p>
        </w:tc>
        <w:tc>
          <w:tcPr>
            <w:tcW w:w="12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(2.6)</w:t>
            </w: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(1.2)</w:t>
            </w: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Nondeductible IPR&amp;D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7"/>
                <w:szCs w:val="17"/>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32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00" w:type="dxa"/>
            <w:vAlign w:val="bottom"/>
          </w:tcPr>
          <w:p>
            <w:pPr>
              <w:spacing w:after="0"/>
              <w:rPr>
                <w:sz w:val="17"/>
                <w:szCs w:val="17"/>
                <w:color w:val="auto"/>
              </w:rPr>
            </w:pPr>
          </w:p>
        </w:tc>
        <w:tc>
          <w:tcPr>
            <w:tcW w:w="128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tcPr>
          <w:p>
            <w:pPr>
              <w:spacing w:after="0"/>
              <w:rPr>
                <w:sz w:val="17"/>
                <w:szCs w:val="17"/>
                <w:color w:val="auto"/>
              </w:rPr>
            </w:pP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7"/>
                <w:szCs w:val="17"/>
                <w:color w:val="auto"/>
              </w:rPr>
            </w:pPr>
          </w:p>
        </w:tc>
      </w:tr>
      <w:tr>
        <w:trPr>
          <w:trHeight w:val="196"/>
        </w:trPr>
        <w:tc>
          <w:tcPr>
            <w:tcW w:w="38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w:t>
            </w:r>
          </w:p>
        </w:tc>
        <w:tc>
          <w:tcPr>
            <w:tcW w:w="340" w:type="dxa"/>
            <w:vAlign w:val="bottom"/>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RELATED-PARTY TRANSACTIONS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is a party to a right of use agreement with Paragon Biosciences, LLC (“Paragon”) whereby it has access to and the right to use certain office space leased by Paragon in Chicago, IL. In addition, the Company received consulting services from Paragon during the nine months ended September 30, 2025. Paragon is an entity that shares common ownership with the Company. In addition, the Chairman of the Company’s board of directors is the Founder, Chairman and CEO of Paragon. The Company incurred $73 for each of the three months ended September 30, 2025, and 2024, and incurred $401 and $218 for the nine months ended September 30, 2025, and 2024, respectively, in expenses to Paragon, which are included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general and administrative in the unaudited condensed consolidated statements of operations and comprehensive loss. As of September 30, 2025, and December 31, 2024, there were no amounts due to or due from Paragon included in the unaudited condensed consolidated balance sheets.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In June 2025, the Company entered into the CiRC Agreement with CiRC, an entity controlled by Paragon. The Company paid a $ 15,000 upfront payment to CiRC pursuant to the CiRC Agreement which was recorded as an IPR&amp;D charge in research and development in the unaudited condensed consolidated statements of operations and comprehensive income. As of September 30, 2025, there were no amounts due to or due from CiRC under the CiRC agreement. Refer to Note 9, </w:t>
      </w:r>
      <w:r>
        <w:rPr>
          <w:rFonts w:ascii="Arial" w:cs="Arial" w:eastAsia="Arial" w:hAnsi="Arial"/>
          <w:sz w:val="18"/>
          <w:szCs w:val="18"/>
          <w:i w:val="1"/>
          <w:iCs w:val="1"/>
          <w:color w:val="auto"/>
        </w:rPr>
        <w:t>License Agreements</w:t>
      </w:r>
      <w:r>
        <w:rPr>
          <w:rFonts w:ascii="Arial" w:cs="Arial" w:eastAsia="Arial" w:hAnsi="Arial"/>
          <w:sz w:val="18"/>
          <w:szCs w:val="18"/>
          <w:color w:val="auto"/>
        </w:rPr>
        <w:t>, for further discussion regarding the CiRC Agreement.</w:t>
      </w: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51"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 progress developing the new Pitolisant Gastro-resistant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GR</w:t>
      </w:r>
      <w:r>
        <w:rPr>
          <w:rFonts w:ascii="Times New Roman" w:cs="Times New Roman" w:eastAsia="Times New Roman" w:hAnsi="Times New Roman"/>
          <w:sz w:val="18"/>
          <w:szCs w:val="18"/>
          <w:color w:val="auto"/>
        </w:rPr>
        <w:t>”</w:t>
      </w:r>
      <w:r>
        <w:rPr>
          <w:rFonts w:ascii="Arial" w:cs="Arial" w:eastAsia="Arial" w:hAnsi="Arial"/>
          <w:sz w:val="18"/>
          <w:szCs w:val="18"/>
          <w:color w:val="auto"/>
        </w:rPr>
        <w:t>) and Pitolisant High Dose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HD</w:t>
      </w:r>
      <w:r>
        <w:rPr>
          <w:rFonts w:ascii="Times New Roman" w:cs="Times New Roman" w:eastAsia="Times New Roman" w:hAnsi="Times New Roman"/>
          <w:sz w:val="18"/>
          <w:szCs w:val="18"/>
          <w:color w:val="auto"/>
        </w:rPr>
        <w:t>”</w:t>
      </w:r>
      <w:r>
        <w:rPr>
          <w:rFonts w:ascii="Arial" w:cs="Arial" w:eastAsia="Arial" w:hAnsi="Arial"/>
          <w:sz w:val="18"/>
          <w:szCs w:val="18"/>
          <w:color w:val="auto"/>
        </w:rPr>
        <w:t>) formulations, and the development of ZYN002, BP1-15205, clemizole hydrochloride (</w:t>
      </w:r>
      <w:r>
        <w:rPr>
          <w:rFonts w:ascii="Times New Roman" w:cs="Times New Roman" w:eastAsia="Times New Roman" w:hAnsi="Times New Roman"/>
          <w:sz w:val="18"/>
          <w:szCs w:val="18"/>
          <w:color w:val="auto"/>
        </w:rPr>
        <w:t>“</w:t>
      </w:r>
      <w:r>
        <w:rPr>
          <w:rFonts w:ascii="Arial" w:cs="Arial" w:eastAsia="Arial" w:hAnsi="Arial"/>
          <w:sz w:val="18"/>
          <w:szCs w:val="18"/>
          <w:color w:val="auto"/>
        </w:rPr>
        <w:t>EPX-100</w:t>
      </w:r>
      <w:r>
        <w:rPr>
          <w:rFonts w:ascii="Times New Roman" w:cs="Times New Roman" w:eastAsia="Times New Roman" w:hAnsi="Times New Roman"/>
          <w:sz w:val="18"/>
          <w:szCs w:val="18"/>
          <w:color w:val="auto"/>
        </w:rPr>
        <w:t>”</w:t>
      </w:r>
      <w:r>
        <w:rPr>
          <w:rFonts w:ascii="Arial" w:cs="Arial" w:eastAsia="Arial" w:hAnsi="Arial"/>
          <w:sz w:val="18"/>
          <w:szCs w:val="18"/>
          <w:color w:val="auto"/>
        </w:rPr>
        <w:t>) and other compounds;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Further, we have in-licensed from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 Our operations are conducted by our wholly owned subsidiaries, Harmony Biosciences, LLC and Harmony Biosciences Management, Inc.</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Sleep/Wake Franchise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U.S. Food and Drug Administration (the “FDA”) for the treatment of EDS in adult patients with narcolepsy, and its U.S. commercial launch was initiated in November 2019. In October 2020, WAKIX was approved by the FDA for the treatment of cataplexy in adult patients with narcolepsy.</w:t>
      </w:r>
    </w:p>
    <w:p>
      <w:pPr>
        <w:spacing w:after="0" w:line="18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We believe that pitolisant’s ability to regulate histamine mediated through histamine-3 receptor antagonist and inverse agonist activity gives it the potential to provide therapeutic benefit in other rare neurological diseases.</w:t>
      </w:r>
    </w:p>
    <w:p>
      <w:pPr>
        <w:spacing w:after="0" w:line="47"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has the potential to serve as the registrational trial and also support our efforts to seek pediatric exclusivity for pitolisant. In February 2024, the FDA granted Orphan Drug designation to pitolisant for the treatment of PWS. The Phase 3 registrational trial, the TEMPO study, was initiated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two most prominent non-muscular symptoms in patients with DM1. The safety and tolerability profile of pitolisant in adult patients with DM1 was consistent with the established safety and tolerability profile of pitolisant with no new safety signals detected and no serious adverse events reported.</w:t>
      </w:r>
    </w:p>
    <w:p>
      <w:pPr>
        <w:spacing w:after="0" w:line="18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w:t>
      </w:r>
    </w:p>
    <w:p>
      <w:pPr>
        <w:sectPr>
          <w:pgSz w:w="11900" w:h="16838" w:orient="portrait"/>
          <w:cols w:equalWidth="0" w:num="1">
            <w:col w:w="9019"/>
          </w:cols>
          <w:pgMar w:left="1440" w:top="512" w:right="1440"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 2024, we held a Type A meeting with the FDA to discuss the pediatric cataplexy indication and reached alignment on a path to sNDA resubmission, which was submitted in the third quarter of 2025.</w:t>
      </w:r>
    </w:p>
    <w:p>
      <w:pPr>
        <w:spacing w:after="0" w:line="18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remain committed to obtaining pediatric exclusivity for WAKIX. We believe the initiation of the PWS Phase 3 registrational trial, the TEMPO study, and our current data in pediatric narcolepsy, which resulted in the FDA’s approval of WAKIX in its current pediatric indication, are supportive of our efforts in obtaining pediatric exclusivity for WAKIX.</w:t>
      </w:r>
    </w:p>
    <w:p>
      <w:pPr>
        <w:spacing w:after="0" w:line="17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have expanded our pipeline through the acquisition of additional assets that focus on addressing the unmet needs of patients living with rare neurological diseases as well as patients living with other neurological diseases who have unmet medical needs. We target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In addition, we completed the Dosing Optimization study that supports imitating pitolisant GR at the therapeutic dose of 17.8mg without titration. We initiated the pivotal bioequivalence study in the first quarter of 2025 and anticipate the topline data readout in the fourth quarter of 2025. We anticipate a PDUFA date for Pitolisant GR in the first quarter of 2027. We received data from the Pitolisant HD pilot pharmacokinetics study in June 2024, which also supports advancing this development program toward pivotal trials. In addition, we submitted an Investigational New Drug (“IND”) application for pitolisant HD with the FDA and preparations are ongoing to initiate Phase 3 registrational trials in narcolepsy and idiopathic hypersomnia (“IH”) in the fourth quarter of 2025. We anticipate a PDUFA date for the Pitolisant HD narcolepsy and IH programs in 2028. A phase 1b study was conducted to evaluate the safety and tolerability of pitolisant at repeat doses of up to 180mg and the initial results are consistent with the known safety profile of pitolisant and support advancement of the Pitolisant HD development program. Utility patents have been filed for Pitolisant GR and Pitolisant HD, with the potential for patent protection to the mid-2040’s.</w:t>
      </w:r>
    </w:p>
    <w:p>
      <w:pPr>
        <w:spacing w:after="0" w:line="19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(“BP1.15205”) to be evaluated for the treatment of narcolepsy and other potential indications (the “Sublicense”). Under the Sublicense, we obtained the exclusive right to develop, manufacture and commercialize BP1.15205 in the United States and Latin American territories, which are rights that Bioprojet originally licensed from Teijin Pharma, the innovator of BP1.15205. In June 2025, we announced positive pre-clinical data demonstrating significant wake-promoting and cataplexy-suppressing effects in a standard transgenic mouse model of narcolepsy type 1, and presented safety data from the three month GLP toxicity studies in two different species. We filed an investigational medicinal product dossier (“IMPD”) with the EMA and are on track to begin first-in-human studies in the fourth quarter of 2025 with topline data anticipated in 2026.</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Harmony and CiRC will collaborate on the research and development of two discovery-stage candidates (together the “Candidates”) using cell replacement therapy for the treatment of refractory epilepsies and treatment-resistant narcolepsy.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In addition, a 13-week toxicology study has been completed. The results from these preclinical studies are encouraging.</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Neurobehavioral Franchise</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In October 2023, we acquired Zynerba Pharmaceuticals, Inc. (“Zynerba”), adding global rights to develop, manufacture and commercialize ZYN002, which is a pharmaceutically manufactured 100% synthetic, patent protected permeation enhanced cannabidiol gel for transdermal delivery. Transdermal delivery provides better gastrointestinal tolerability and minimize the potential for drug interactions or impacts on liver function tests by avoiding first-pass metabolism in the liver. The most common adverse effect observed in clinical studies has been application site pain, which has occurred in less than 7% of patients. In September 2025, ZYN002 completed a Phase 3 registrational trial, the RECONNECT study, for the treatment of Fragile X Syndrome (“FXS”), which was designed to confirm the positive findings from the prespecified analysis of the primary outcome in the subgroup of patients with complete methylation from the Phase 2/3 CONNECT study conducted by Zynerba. The RECONNECT study did not meet the primary endpoint of improvement in social avoidance primarily due to a higher than expected placebo response rate. We are currently reviewing the full data set from the RECONNECT study and determining the next steps for the FXS program. We have paused the initiation of a Phase 3 study in 22q deletion syndrome, another rare disorder with prominent neurobehavioral symptoms.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Rare Epilepsy Franchise</w:t>
      </w:r>
    </w:p>
    <w:p>
      <w:pPr>
        <w:spacing w:after="0" w:line="19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we acquired Epygenix Therapeutics, Inc. (“Epygenix”), pursuant to the terms of a stock purchase agreement (the “Epygenix Agreement”). As a result, we now have an exclusive license relating to the use of EPX-100 for the treatment of Dravet Syndrome (“DS”), Lennox-Gastaut Syndrome (“LGS”) and other developmental and epileptic encephalopathies (“DEEs”). Patients with both conditions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and rare pediatric disease designation by the FDA for treatment of both DS and LGS. EPX-100 is currently in two Phase 3 registrational clinical trials, one for each of DS (the ARGUS Study) and LGS (the LIGHTHOUSE Study).</w:t>
      </w:r>
    </w:p>
    <w:p>
      <w:pPr>
        <w:spacing w:after="0" w:line="16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we are currently developing a liquid formulation of lorcaserin for the treatment of DEEs (“EPX-200”), another asset acquired pursuant to the terms of the Epygenix Agreement. EPX-200 is currently in the pre-IND phase.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have continued to see growth in the number of unique healthcare professional (“HCP”) prescribers of WAKIX since it became available in November 2019. As of September 30, 2025, there are approximately 9,000 HCPs who treat patients living with narcolepsy, with approximately 4,000 enrolled in oxybate risk-evaluation and mitigation strategies (“REMS”) and approximately 5,000 HCPs who do not participate in the oxybate REMS programs. The average number of patients on WAKIX for the three months ended September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30, 2025, was approximately 8,100. Additionally, as of September 30, 2025, we have formulary access for more than 80% of all insured lives (Commercial, Medicare and Medicaid) in the United States.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includes revenue from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patient segments and/or changes in our estimates.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depreciation and salaries of employees involved with oversight of production. We expect the cost of product sales to increase as we continue to ramp up production in order to meet future demand for WAKIX and diversify our supply chain for WAKIX.</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shelf life of WAKIX is four years from the date of manufacture, with the earliest expiration of current inventory expected to be January 2027. We regularly review our inventory levels and expect write-offs from time to time. We will continue to assess inventory levels in future periods as demand for WAKIX and the rate of inventory turnover evolves. We currently have adequate supply of WAKIX to cover demand into the third quarter of 2027, with additional API on-hand inventory to support at least two years beyond this time frame.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PWS and DM1 and the development of our product candidates ZYN002, EPX-100, EPX-200 Pitolisant GR, Pitolisant HD, BP1.15205 and HBS-102.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p>
    <w:p>
      <w:pPr>
        <w:spacing w:after="0" w:line="180" w:lineRule="exact"/>
        <w:rPr>
          <w:sz w:val="20"/>
          <w:szCs w:val="20"/>
          <w:color w:val="auto"/>
        </w:rPr>
      </w:pPr>
    </w:p>
    <w:p>
      <w:pPr>
        <w:ind w:left="1040" w:right="51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319" w:hanging="315"/>
        <w:spacing w:after="0" w:line="300" w:lineRule="auto"/>
        <w:tabs>
          <w:tab w:leader="none" w:pos="104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direct third-party costs such as expenses incurred under agreements with clinical research organizations (“CROs”), and contract development and manufacturing organizations (“CDMOs”);</w:t>
      </w:r>
    </w:p>
    <w:p>
      <w:pPr>
        <w:spacing w:after="0" w:line="131"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labelling and distribution of clinical supplies;</w:t>
      </w:r>
    </w:p>
    <w:p>
      <w:pPr>
        <w:spacing w:after="0" w:line="224" w:lineRule="exact"/>
        <w:rPr>
          <w:rFonts w:ascii="Times New Roman" w:cs="Times New Roman" w:eastAsia="Times New Roman" w:hAnsi="Times New Roman"/>
          <w:sz w:val="18"/>
          <w:szCs w:val="18"/>
          <w:color w:val="auto"/>
        </w:rPr>
      </w:pPr>
    </w:p>
    <w:p>
      <w:pPr>
        <w:ind w:left="1040" w:right="2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CDMOs,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additional indications for pitolisant, complete the Phase 3 clinical trials for EPX-100 and advance the development of Pitolisant GR, Pitolisant HD, BP1.15205, EPX-200 and HBS-102 toward new indications.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 in pediatric patients 6 years of age and older with narcolepsy and to expand our portfolio with the anticipated growth from potential additional indications.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legal fees, including ANDA litigation expenses, and professional fees, including tax and accounting, insurance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Additionally, we received consulting services from Paragon. We paid fees of $0.1 million and $0.4 million to Paragon related to rent and consulting services for the three and nine months ended September 30, 2025, respectively.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Borders>
              <w:bottom w:val="single" w:sz="8" w:color="auto"/>
            </w:tcBorders>
            <w:gridSpan w:val="5"/>
          </w:tcPr>
          <w:p>
            <w:pPr>
              <w:spacing w:after="0" w:line="159" w:lineRule="exact"/>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3"/>
                <w:szCs w:val="13"/>
                <w:color w:val="auto"/>
              </w:rPr>
            </w:pPr>
          </w:p>
        </w:tc>
        <w:tc>
          <w:tcPr>
            <w:tcW w:w="2440" w:type="dxa"/>
            <w:vAlign w:val="bottom"/>
            <w:tcBorders>
              <w:bottom w:val="single" w:sz="8" w:color="auto"/>
            </w:tcBorders>
            <w:gridSpan w:val="6"/>
          </w:tcPr>
          <w:p>
            <w:pPr>
              <w:jc w:val="right"/>
              <w:spacing w:after="0" w:line="159" w:lineRule="exact"/>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3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239,455</w:t>
            </w:r>
          </w:p>
        </w:tc>
        <w:tc>
          <w:tcPr>
            <w:tcW w:w="62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186,038</w:t>
            </w:r>
          </w:p>
        </w:tc>
        <w:tc>
          <w:tcPr>
            <w:tcW w:w="40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624,677</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7"/>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513,467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59,650</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42,778</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129,797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102,406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179,805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143,260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494,880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411,061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54,962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25,387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111,159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29,549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27,576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90,333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83,316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29,807</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28,587</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94,974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81,487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114,318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81,550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324,968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95"/>
              </w:rPr>
              <w:t>275,962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65,487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61,710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169,912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135,099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(3,621)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(4,348)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(11,103)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5,730</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4,932</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16,070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67,490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62,170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174,304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95"/>
              </w:rPr>
              <w:t>135,649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(16,625)</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(16,077)</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(38,103)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(39,631)</w:t>
            </w: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50,865</w:t>
            </w:r>
          </w:p>
        </w:tc>
        <w:tc>
          <w:tcPr>
            <w:tcW w:w="2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46,093</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136,201</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Net product revenue increased by $53.4 million, or 28.7%, for the three months ended September 30, 2025, and increased by $111.2 million, or 21.7%, for the nine months ended September 30, 2025, compared to the same periods in 2024. The increase for the three months ended September 30, 2025, was primarily due to a 26.8% increase in the number of units shipped, and the impact of a 7.0% price increase partially offset by higher rebates of approximately 5.1%. </w:t>
      </w:r>
      <w:r>
        <w:rPr>
          <w:rFonts w:ascii="Arial" w:cs="Arial" w:eastAsia="Arial" w:hAnsi="Arial"/>
          <w:sz w:val="18"/>
          <w:szCs w:val="18"/>
          <w:color w:val="212529"/>
        </w:rPr>
        <w:t>The increase for the nine months ended September 30, 2025, was</w:t>
      </w:r>
      <w:r>
        <w:rPr>
          <w:rFonts w:ascii="Arial" w:cs="Arial" w:eastAsia="Arial" w:hAnsi="Arial"/>
          <w:sz w:val="18"/>
          <w:szCs w:val="18"/>
          <w:color w:val="auto"/>
        </w:rPr>
        <w:t xml:space="preserve"> </w:t>
      </w:r>
      <w:r>
        <w:rPr>
          <w:rFonts w:ascii="Arial" w:cs="Arial" w:eastAsia="Arial" w:hAnsi="Arial"/>
          <w:sz w:val="18"/>
          <w:szCs w:val="18"/>
          <w:color w:val="212529"/>
        </w:rPr>
        <w:t xml:space="preserve">primarily due to an 18.0% increase in the number of units shipped, and the impact of a 7.0% price increase partially offset by higher rebates of approximately 3.0%. </w:t>
      </w:r>
      <w:r>
        <w:rPr>
          <w:rFonts w:ascii="Arial" w:cs="Arial" w:eastAsia="Arial" w:hAnsi="Arial"/>
          <w:sz w:val="18"/>
          <w:szCs w:val="18"/>
          <w:color w:val="000000"/>
        </w:rPr>
        <w:t>The price increase occurred in January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140" w:firstLine="648"/>
        <w:spacing w:after="0"/>
        <w:rPr>
          <w:sz w:val="20"/>
          <w:szCs w:val="20"/>
          <w:color w:val="auto"/>
        </w:rPr>
      </w:pPr>
      <w:r>
        <w:rPr>
          <w:rFonts w:ascii="Arial" w:cs="Arial" w:eastAsia="Arial" w:hAnsi="Arial"/>
          <w:sz w:val="18"/>
          <w:szCs w:val="18"/>
          <w:color w:val="auto"/>
        </w:rPr>
        <w:t>Cost of product sales increased by $16.9 million, or 39.4%, for the three months ended September 30, 2025, and increased by $27.4 million, or 26.7%, for the nine months ended September 30, 2025, compared to the same period in 2024. Cost of product sales as a percentage of net product revenue was 24.9% and 20.8% for the three and nine months ended September 30, 2025, respectively, compared to 23.0% and 19.9% for the three and nine months ended September 30, 2024, respectively. The increase in cost of product sales in both comparable periods was primarily due to higher royalties as a result of the increase in net product revenue of WAKIX. The increase in cost of product sales as a percentage of net revenue in both comparable periods was due to triggering a higher royalty tier under the 2017 LCA earlier in 2025 compared to 2024.</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Change</w:t>
            </w:r>
          </w:p>
        </w:tc>
      </w:tr>
      <w:tr>
        <w:trPr>
          <w:trHeight w:val="196"/>
        </w:trPr>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(832)$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color w:val="auto"/>
              </w:rPr>
              <w:t>ZYN002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21,025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9,248</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EPX-100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r>
      <w:tr>
        <w:trPr>
          <w:trHeight w:val="405"/>
        </w:trPr>
        <w:tc>
          <w:tcPr>
            <w:tcW w:w="2640" w:type="dxa"/>
            <w:vAlign w:val="bottom"/>
          </w:tcPr>
          <w:p>
            <w:pPr>
              <w:ind w:left="20"/>
              <w:spacing w:after="0"/>
              <w:rPr>
                <w:sz w:val="20"/>
                <w:szCs w:val="20"/>
                <w:color w:val="auto"/>
              </w:rPr>
            </w:pPr>
            <w:r>
              <w:rPr>
                <w:rFonts w:ascii="Arial" w:cs="Arial" w:eastAsia="Arial" w:hAnsi="Arial"/>
                <w:sz w:val="18"/>
                <w:szCs w:val="18"/>
                <w:color w:val="auto"/>
              </w:rPr>
              <w:t>IPR&amp;D</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14,000</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43,595</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(13,595)</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 GR and Pitolisant HD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24,133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6,731</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16"/>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Other research and development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9,249</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r>
      <w:tr>
        <w:trPr>
          <w:trHeight w:val="39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54,962</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29,575</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28,502</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140" w:firstLine="648"/>
        <w:spacing w:after="0" w:line="238" w:lineRule="auto"/>
        <w:rPr>
          <w:sz w:val="20"/>
          <w:szCs w:val="20"/>
          <w:color w:val="auto"/>
        </w:rPr>
      </w:pPr>
      <w:r>
        <w:rPr>
          <w:rFonts w:ascii="Arial" w:cs="Arial" w:eastAsia="Arial" w:hAnsi="Arial"/>
          <w:sz w:val="18"/>
          <w:szCs w:val="18"/>
          <w:color w:val="auto"/>
        </w:rPr>
        <w:t>Research and development expenses increased by $ 29.6 million, or 116.5%, for the three months ended September 30, 2025, and increased by $28.5 million, or 25.6%, for the nine months ended September 30, 2025, compared to the same periods in 2024. The increase for the three months ended September 30, 2025 was primarily driven by IPR&amp;D charges of $15.0 million related to a clinical milestone achieved for ZYN002 that occurred during the three months ended September 30, 2025, a combined $11.6 million increase in research and development expenses for EPX-100, ZYN002 and Pitolisant GR and HD as we progressed clinical trials and manufacturing, a $1.9 million increase in personnel costs associated with higher headcount, a $0.3 million increase in stock compensation associated with new equity awards and $2.6 million in other research and development expenses primarily associated with BP.15205, offset by a $0.8 million decrease in clinical development associated with pitolisant, driven by a decrease in clinical trial expenses for the IH indication, and a $1.0 million preclinical milestone achieved for HBS-102 that occurred during the three months ended September 30, 2024.</w:t>
      </w:r>
    </w:p>
    <w:p>
      <w:pPr>
        <w:spacing w:after="0" w:line="183" w:lineRule="exact"/>
        <w:rPr>
          <w:sz w:val="20"/>
          <w:szCs w:val="20"/>
          <w:color w:val="auto"/>
        </w:rPr>
      </w:pPr>
    </w:p>
    <w:p>
      <w:pPr>
        <w:jc w:val="both"/>
        <w:ind w:left="60" w:right="140" w:firstLine="648"/>
        <w:spacing w:after="0"/>
        <w:rPr>
          <w:sz w:val="20"/>
          <w:szCs w:val="20"/>
          <w:color w:val="auto"/>
        </w:rPr>
      </w:pPr>
      <w:r>
        <w:rPr>
          <w:rFonts w:ascii="Arial" w:cs="Arial" w:eastAsia="Arial" w:hAnsi="Arial"/>
          <w:sz w:val="18"/>
          <w:szCs w:val="18"/>
          <w:color w:val="auto"/>
        </w:rPr>
        <w:t>The increase for the nine months ended September 30, 2025 was primarily driven by IPR&amp;D charges of $30.0 million related to a $15.0 million clinical milestone achieved for ZYN002 and a $15.0 million upfront fee related to the CiRC Agreement, a combined $35.0 million increase in research and development expenses for EPX-100, ZYN002 and Pitolisant GR and HD as we progressed clinical trials and manufacturing, a $6.7 million increase in personnel costs associated with higher headcount, a $1.7 million increase in stock compensation associated with new equity awards and $4.1 million in other research and development expenses primarily associated with BP.15205 offset by $43.6 million in IPR&amp;D charges associated with the acquisition of</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40" w:top="512" w:right="1359"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Epygenix ($17.1 million), a preclinical milestone achieved for HBS-102 ($1.0 million) and the Bioprojet Sublicense Agreement ($25.5 million) that occurred during the nine months ended September 30, 2024, and a $5.5 million decrease in clinical development associated with pitolisant, driven by a decrease in clinical trial expenses for the IH indication.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Sales and marketing expenses increased by $2.0 million, or 7.2%, for the three months ended September 30, 2025, and increased by $7.0 million, or 8.4%, for the nine months ended September 30, 2025, compared to the same periods in 2024. The increase for the three months ended September 30, 2025, was primarily due to a $1.6 million increase in patient engagement and marketing activities and a $0.7 million increase in personnel costs, offset by a $0.3 million decrease in stock compensation expense. The increase for the nine months ended September 30, 2025, was primarily due to a $4.5 million increase in patient engagement and marketing activities and a $2.5 million increase in personnel costs. The increase in patient engagement and marketing activities for both comparable periods was driven by our continued growth of WAKIX and the increase in personnel costs was driven primarily by higher headcount.</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General and administrative expenses increased by $1.2 million, or 4.3%, for the three months ended September 30, 2025, and increased by $13.5 million, or 16.6%, for the nine months ended September 30, 2025, compared to the same periods in 2024. The increase in the three months ended September 30, 2025, was primarily due to a $ 1.2 million increase in legal and professional fees, primarily associated with patent lawsuits and a $0.6 million increase in personnel costs associated with higher headcount offset by a $0.7 million decrease in stock compensation. The increase in the nine months ended September 30, 2025, was primarily due to a $11.8 million increase in legal and professional fees, primarily associated with patent lawsuits, and a $1.4 million increase in personnel costs associated with higher headcount.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decreased by $0.7 million, or 16.7%, for the three months ended September 30, 2025, and decreased by $2.2 million, or 16.4%, for the nine months ended September 30, 2025, compared to the same periods in 2024. The decrease for the three and nine months ended September 30, 2025, was primarily due to lower average outstanding debt balances compared to the prior year.</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income increased by $0.8 million, or 16.2%, for the three months ended September 30, 2025, and increased by $2.0 million, or 14.3%, for the nine months ended September 30, 2025, compared to the same periods in 2024. The increase for the three and nine months ended September 30, 2025, was primarily a result of having higher invested balances compared to the prior year.</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Income tax expense was $16.6 million, representing a 24.6% effective tax rate, for the three months ended September 30, 2025, compared to $16.1 million, representing a 25.9% effective tax rate, for the three months ended September 30, 2024. Income tax expense was $ 38.1 million, representing a 21.9% effective tax rate, for the nine months ended September 30, 2025, compared to $39.6 million, representing a 29.2% effective tax rate, for the nine months ended September 30, 2024. The decrease in our effective tax rate for both comparable periods was primarily driven by an increase in the benefits from research and development and orphan drug credits and a decrease in state taxes, partially offset by an IPR&amp;D charge of $ 15.0 million related to ZYN002 clinical milestones that was incurred during the three months ended September 30, 2025, which is nondeductible for tax purposes. The effective tax rate of 24.6% for the three months ended September 30, 2025, included 3.5% in nondeductible IPR&amp;D and 1.7% in state income taxes, offset by a 2.2% benefit from</w:t>
      </w:r>
    </w:p>
    <w:p>
      <w:pPr>
        <w:sectPr>
          <w:pgSz w:w="11900" w:h="16838" w:orient="portrait"/>
          <w:cols w:equalWidth="0" w:num="1">
            <w:col w:w="9019"/>
          </w:cols>
          <w:pgMar w:left="1440" w:top="512"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credits. The effective tax rate of 21.9% for the nine months ended September 30, 2025, included 1.6% in state income taxes and 1.4% in nondeductible IPR&amp;D, offset by a 2.6% benefit from credits.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September 30, 2025, we had cash, cash equivalents, and investments of $778.4 million, outstanding debt of $170.0 million and retained earnings of $138.4 million.</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September 30, 2025, will enable us to meet our operational liquidity needs and fund our potential investing activities for at least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 million.</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the TLA Term Loan consists of $3.8 million quarterly principal payments, which commenced on December 31, 2023, increasing to $5.0 million quarterly principal payments beginning on December 31, 2025, with a $115.0 million payment due on the maturity date of July 26, 2028. The TLA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September 30, 2025.</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our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nine months ended September 30, 2025, no shares of common stock were repurchased by the Company under the October 2023 Repurchase Program. As of September 30, 2025, the remaining amount of common stock authorized for repurchases was $150.0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April 2024, we acquired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$515.0</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million upon the achievement of certain sales-based milestones, in each case to Epygenix’s former stockholders. As a result, the Company now has an exclusive license relating to the use of clemizole, initially for the treatment of DS and LGS.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In March 2023, we achieved a preclinical milestone, which triggered a $0.8 million payment under the provisions of the APA, which we recognized as an IPR&amp;D charge recorded in research and development within the consolidated statement of operations and comprehensive income for the year ended December 31, 2023. In September 2024, we achieved a milestone for preclinical proof-of concept, which triggered a $1.0 million payment under the provisions of the APA, which we recognized as an IPR&amp;D charge recorded in research and development within the consolidated statement of operations and comprehensive income for the year ended December 31, 2024. There are additional payments due upon the achievement of certain milestones, including $ 19.0 million for development milestones, $44.0 million for regulatory milestones and $110.0 million for sales milestones.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Bioprojet Agreements</w:t>
      </w:r>
    </w:p>
    <w:p>
      <w:pPr>
        <w:spacing w:after="0" w:line="21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submission currently anticipated in the second half of 2025. Under the Sublicense, the Company paid Bioprojet an upfront license fee of $25.5 million and will also be obligated to pay up to $127.5 million upon achievement of development and regulatory milestones and up to $240.0 million upon achievement of sales-based milestones, as well as royalty rates in the mid-teens on potential sales in the Licensed Territories.</w:t>
      </w:r>
    </w:p>
    <w:p>
      <w:pPr>
        <w:spacing w:after="0" w:line="267"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we will collaborate on the research and development of two discovery-stage candidates (together the “Candidates”) using cell replacement therapy for the treatment of refractory epilepsies and treatment-resistant narcolepsy. As part of the CiRC Agreement, we paid CiRC an upfront fee of $15.0 million and we will also be obligated to pay $2.0 million upon the achievement of certain research milestones for each of the Candidates. In addition, we have an option to obtain an exclusive license for each of the Candidates that would grant us global rights to develop, manufacture and commercialize that Candidate. We would be obligated to pay an option exercise fee of $8.0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million, or $16.0 million in the aggregate if the options related to both Candidates were exercised, and we would be obligated upon achievement to pay future development, regulatory and sales-based milestones, as well as royalties on sales of any product derived from the Candidates.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212529"/>
        </w:rPr>
        <w:t>In September 2025, we achieved a clinical milestone for ZYN002 that triggered a $15.0 million payment to contingent value rights holders per the terms of our acquisition of Zynerba, which will be paid in the fourth quarter of 2025.</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212529"/>
        </w:rPr>
        <w:t>In September 2024, we achieved a preclinical milestone that triggered a $1.0 million payment under the provisions of the APA, which was paid in October 2024.</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0" w:right="319" w:firstLine="648"/>
        <w:spacing w:after="0" w:line="271" w:lineRule="auto"/>
        <w:rPr>
          <w:sz w:val="20"/>
          <w:szCs w:val="20"/>
          <w:color w:val="auto"/>
        </w:rPr>
      </w:pPr>
      <w:r>
        <w:rPr>
          <w:rFonts w:ascii="Arial" w:cs="Arial" w:eastAsia="Arial" w:hAnsi="Arial"/>
          <w:sz w:val="18"/>
          <w:szCs w:val="18"/>
          <w:color w:val="auto"/>
        </w:rPr>
        <w:t>The following table sets forth a summary of our cash flows for the nine months ended September 30, 2025, and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6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28"/>
        </w:trPr>
        <w:tc>
          <w:tcPr>
            <w:tcW w:w="64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222,048</w:t>
            </w:r>
          </w:p>
        </w:tc>
        <w:tc>
          <w:tcPr>
            <w:tcW w:w="24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144,259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(22,016)</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(60,297)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(6,034)</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cash provided by operating activities for the nine months ended September 30, 2025, primarily consisted of net income of $136.2 million adjusted for non-cash items of $34.7 million related to stock-based compensation expense, $30.0 million related to acquired IPR&amp;D, $17.9 million related to intangible amortization and depreciation, offset by $14.7 million related to deferred tax assets. Net working capital excluding cash decreased by $17.8 million, primarily driven by increases in accounts receivable due to higher net product revenue in the current period, offset by an increase in accounts payable due to the timing of payments and an increase in accrued expenses primarily from higher accrued rebates.</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212529"/>
        </w:rPr>
        <w:t>Net cash provided by operating activities for the nine months ended September 30, 2024, primarily consisted of net income of $96.0 million adjusted for non-cash items of $42.6 million related to acquired IPR&amp;D, $32.9 million related to stock-based compensation expense, and $ 18.1 million related to intangible amortization and depreciation, offset by $22.6 million related to deferred tax assets. Net working capital excluding cash increased by $23.1 million, primarily driven by increases in accounts receivable due to higher net product revenue in the current period and decreases in accounts payable due to the timing of payments.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nine months ended September 30, 2025, was $22.0 million, which was primarily attributable to $67.3 million in purchases of debt securities, a $15.0 million upfront fee paid to CiRC and $0.2 million in purchases of property and equipment, partially offset by $60.5 million from maturities of investments.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12529"/>
        </w:rPr>
        <w:t>Net cash used in investing activities for the nine months ended September 30, 2024, was $60.3 million, which was primarily attributable to $69.6 million in purchases of debt securities, a $25.5 million license fee paid to Bioprojet, $33.1 million net cash consideration paid for the acquisition of Epygenix, and $0.6 million in purchases of property and equipment, partially offset by $68.5 million from maturities of investments.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financing activities for the nine months ended September 30, 2025, was $6.0 million, which primarily consisted of $11.3 million in principal payments associated with the TLA Credit Agreement and $2.3 million of employee withholding tax payments related to stock-based awards, partially offset by $7.6 million in proceeds from the exercise of stock options.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12529"/>
        </w:rPr>
        <w:t>Net cash used in financing activities for the nine months ended September 30, 2024, was $8.3 million, which primarily consisted of $11.3 million in principal payments associated with the TLA Credit Agreement, partially offset by $3.2 million in proceeds from the exercise of stock options, and $0.3 million of employee withholding tax payments related to stock-based awards.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 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$685.2 million of investments in money market funds, U.S. treasury notes, corporate bonds and municipal obligations as of September 30, 2025, an immediate 10% change in market interest rates would not have a material impact on the fair market value of our investment portfolio or on our financial position or results of operations.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September 30, 2025, we had $170.0 million in borrowings outstanding. The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$ 170.0 million of principal outstanding as of September 30, 2025, an immediate 10% change in the Term SOFR would not have a material impact on our debt-related obligations, financial position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may affect us by potentially increasing costs such as labor and our clinical trial costs. We do not believe that inflation had a material effect on our business, financial condition or results of operations for each of the three months ended September 30, 2025, and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September 30, 2025. Based on that evaluation, our principal executive officer and principal financial officer concluded that, as of September 30, 2025,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2025,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Refer to Part I, Item I, Note 13 “Commitments and Contingencies,” of this Quarterly Report for a full description of our material pending legal matters.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2024,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10b5-1 Trading Arrangements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August 13, 2025, Sandip Kapadia, Chief Financial Officer and Chief Administrative Officer of the Company, adopted a Rule 10b5-1 trading arrangement that is intended to satisfy the affirmative defense of Rule 10b5-1(c) for the sale of (i) up to 50,000 shares of the Company’s common stock related to the exercise of options, (ii) up to 20,961 shares of the Company’s common stock related to the September 30, 2025 vesting of restricted stock units previously granted, and (iii) an indeterminable number of shares of the Company’s common stock that will depend on the number of shares sold to cover tax withholding obligations in connection with the vesting of 8,538 restricted stock units previously granted, beginning on January 15, 2026 and continuing until June 30, 2026.</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5"/>
        </w:trPr>
        <w:tc>
          <w:tcPr>
            <w:tcW w:w="9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20" w:type="dxa"/>
            <w:vAlign w:val="bottom"/>
            <w:gridSpan w:val="15"/>
          </w:tcPr>
          <w:p>
            <w:pPr>
              <w:ind w:left="48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88"/>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jc w:val="center"/>
              <w:ind w:left="68"/>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auto"/>
            </w:tcBorders>
            <w:gridSpan w:val="15"/>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Agreement and Plan of Merger, dated August 14, 2023, by and among</w:t>
              </w:r>
            </w:hyperlink>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14"/>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12"/>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Amended and Restated Certificate of Incorporation of Harmony</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7"/>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Biosciences Holdings, Inc.</w:t>
              </w:r>
            </w:hyperlink>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tcBorders>
            <w:gridSpan w:val="3"/>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Amended and Restated</w:t>
              </w:r>
            </w:hyperlink>
          </w:p>
        </w:tc>
        <w:tc>
          <w:tcPr>
            <w:tcW w:w="3120" w:type="dxa"/>
            <w:vAlign w:val="bottom"/>
            <w:gridSpan w:val="14"/>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Bylaws.</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206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4"/>
                <w:szCs w:val="14"/>
                <w:color w:val="0000EE"/>
              </w:rPr>
              <w:t>Certification of Chief Executive</w:t>
            </w:r>
          </w:p>
        </w:tc>
        <w:tc>
          <w:tcPr>
            <w:tcW w:w="2480" w:type="dxa"/>
            <w:vAlign w:val="bottom"/>
            <w:tcBorders>
              <w:bottom w:val="single" w:sz="8" w:color="0000EE"/>
            </w:tcBorders>
            <w:gridSpan w:val="10"/>
          </w:tcPr>
          <w:p>
            <w:pPr>
              <w:spacing w:after="0" w:line="142" w:lineRule="exact"/>
              <w:rPr>
                <w:sz w:val="20"/>
                <w:szCs w:val="20"/>
                <w:color w:val="auto"/>
              </w:rPr>
            </w:pPr>
            <w:r>
              <w:rPr>
                <w:rFonts w:ascii="Arial" w:cs="Arial" w:eastAsia="Arial" w:hAnsi="Arial"/>
                <w:sz w:val="14"/>
                <w:szCs w:val="14"/>
                <w:color w:val="0000EE"/>
                <w:w w:val="99"/>
              </w:rPr>
              <w:t>Officer pursuant to Rules 13a-14(a) and</w:t>
            </w:r>
          </w:p>
        </w:tc>
        <w:tc>
          <w:tcPr>
            <w:tcW w:w="26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380" w:type="dxa"/>
            <w:vAlign w:val="bottom"/>
            <w:tcBorders>
              <w:bottom w:val="single" w:sz="8" w:color="0000EE"/>
            </w:tcBorders>
            <w:gridSpan w:val="11"/>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420" w:type="dxa"/>
            <w:vAlign w:val="bottom"/>
            <w:gridSpan w:val="6"/>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300" w:type="dxa"/>
            <w:vAlign w:val="bottom"/>
            <w:gridSpan w:val="4"/>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60" w:type="dxa"/>
            <w:vAlign w:val="bottom"/>
            <w:tcBorders>
              <w:top w:val="single" w:sz="8" w:color="0000EE"/>
            </w:tcBorders>
            <w:gridSpan w:val="10"/>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440" w:type="dxa"/>
            <w:vAlign w:val="bottom"/>
            <w:gridSpan w:val="7"/>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7"/>
          </w:tcPr>
          <w:p>
            <w:pPr>
              <w:spacing w:after="0"/>
              <w:rPr>
                <w:sz w:val="12"/>
                <w:szCs w:val="12"/>
                <w:color w:val="auto"/>
              </w:rPr>
            </w:pPr>
          </w:p>
        </w:tc>
        <w:tc>
          <w:tcPr>
            <w:tcW w:w="52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6"/>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960" w:type="dxa"/>
            <w:vAlign w:val="bottom"/>
            <w:gridSpan w:val="11"/>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68"/>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7"/>
          </w:tcPr>
          <w:p>
            <w:pPr>
              <w:spacing w:after="0"/>
              <w:rPr>
                <w:sz w:val="12"/>
                <w:szCs w:val="12"/>
                <w:color w:val="auto"/>
              </w:rPr>
            </w:pPr>
          </w:p>
        </w:tc>
        <w:tc>
          <w:tcPr>
            <w:tcW w:w="52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7" w:lineRule="exact"/>
              <w:rPr>
                <w:sz w:val="20"/>
                <w:szCs w:val="20"/>
                <w:color w:val="auto"/>
              </w:rPr>
            </w:pPr>
            <w:r>
              <w:rPr>
                <w:rFonts w:ascii="Arial" w:cs="Arial" w:eastAsia="Arial" w:hAnsi="Arial"/>
                <w:sz w:val="14"/>
                <w:szCs w:val="14"/>
                <w:color w:val="auto"/>
              </w:rPr>
              <w:t>The following financial statements from the Company</w:t>
            </w:r>
            <w:r>
              <w:rPr>
                <w:rFonts w:ascii="Times New Roman" w:cs="Times New Roman" w:eastAsia="Times New Roman" w:hAnsi="Times New Roman"/>
                <w:sz w:val="14"/>
                <w:szCs w:val="14"/>
                <w:color w:val="auto"/>
              </w:rPr>
              <w:t>’</w:t>
            </w:r>
            <w:r>
              <w:rPr>
                <w:rFonts w:ascii="Arial" w:cs="Arial" w:eastAsia="Arial" w:hAnsi="Arial"/>
                <w:sz w:val="14"/>
                <w:szCs w:val="14"/>
                <w:color w:val="auto"/>
              </w:rPr>
              <w:t>s Quarterly Report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on Form 10-Q for the fiscal quarter ended September 30, 2025,</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formatted in Inline XBRL: (i) Balance Sheets, (ii) Statements of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Operations, (iii) Statements of Stockholders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Equity and (vi) Notes to</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Financial Statements, tagged as blocks of text and including detailed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tags.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jc w:val="right"/>
              <w:ind w:right="46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contained in Exhibit 101)</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141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9"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380" w:right="239" w:hanging="330"/>
        <w:spacing w:after="0" w:line="256"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7" w:lineRule="exact"/>
        <w:rPr>
          <w:sz w:val="20"/>
          <w:szCs w:val="20"/>
          <w:color w:val="auto"/>
        </w:rPr>
      </w:pPr>
    </w:p>
    <w:p>
      <w:pPr>
        <w:ind w:left="380" w:right="119" w:hanging="330"/>
        <w:spacing w:after="0" w:line="26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Jeffrey M. Dayno</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November 4, 2025</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Chief Administrative</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November 4,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66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8" w:name="page49"/>
    <w:bookmarkEnd w:id="48"/>
    <w:p>
      <w:pPr>
        <w:ind w:left="8920"/>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September 30, 2025,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November 4, 2025</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September 30, 2025,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80" w:type="dxa"/>
            <w:vAlign w:val="bottom"/>
            <w:vMerge w:val="restart"/>
          </w:tcPr>
          <w:p>
            <w:pPr>
              <w:spacing w:after="0"/>
              <w:rPr>
                <w:sz w:val="20"/>
                <w:szCs w:val="20"/>
                <w:color w:val="auto"/>
              </w:rPr>
            </w:pPr>
            <w:r>
              <w:rPr>
                <w:rFonts w:ascii="Arial" w:cs="Arial" w:eastAsia="Arial" w:hAnsi="Arial"/>
                <w:sz w:val="18"/>
                <w:szCs w:val="18"/>
                <w:color w:val="auto"/>
              </w:rPr>
              <w:t>Date: November 4, 2025</w:t>
            </w:r>
          </w:p>
        </w:tc>
        <w:tc>
          <w:tcPr>
            <w:tcW w:w="1540" w:type="dxa"/>
            <w:vAlign w:val="bottom"/>
          </w:tcPr>
          <w:p>
            <w:pPr>
              <w:ind w:left="124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3180" w:type="dxa"/>
            <w:vAlign w:val="bottom"/>
            <w:vMerge w:val="continue"/>
          </w:tcPr>
          <w:p>
            <w:pPr>
              <w:spacing w:after="0"/>
              <w:rPr>
                <w:sz w:val="16"/>
                <w:szCs w:val="16"/>
                <w:color w:val="auto"/>
              </w:rPr>
            </w:pPr>
          </w:p>
        </w:tc>
        <w:tc>
          <w:tcPr>
            <w:tcW w:w="1540" w:type="dxa"/>
            <w:vAlign w:val="bottom"/>
          </w:tcPr>
          <w:p>
            <w:pPr>
              <w:ind w:left="124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 and Chief Administrative Officer</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9"/>
    </w:lvl>
  </w:abstractNum>
  <w:abstractNum w:abstractNumId="7">
    <w:nsid w:val="6B68079A"/>
    <w:multiLevelType w:val="hybridMultilevel"/>
    <w:lvl w:ilvl="0">
      <w:lvlJc w:val="left"/>
      <w:lvlText w:val="%1."/>
      <w:numFmt w:val="decimal"/>
      <w:start w:val="14"/>
    </w:lvl>
  </w:abstractNum>
  <w:abstractNum w:abstractNumId="8">
    <w:nsid w:val="4E6AFB66"/>
    <w:multiLevelType w:val="hybridMultilevel"/>
    <w:lvl w:ilvl="0">
      <w:lvlJc w:val="left"/>
      <w:lvlText w:val="%1."/>
      <w:numFmt w:val="decimal"/>
      <w:start w:val="15"/>
    </w:lvl>
  </w:abstractNum>
  <w:abstractNum w:abstractNumId="9">
    <w:nsid w:val="25E45D32"/>
    <w:multiLevelType w:val="hybridMultilevel"/>
    <w:lvl w:ilvl="0">
      <w:lvlJc w:val="left"/>
      <w:lvlText w:val="%1"/>
      <w:numFmt w:val="decimal"/>
      <w:start w:val="1"/>
    </w:lvl>
    <w:lvl w:ilvl="1">
      <w:lvlJc w:val="left"/>
      <w:lvlText w:val="(%2)"/>
      <w:numFmt w:val="lowerLetter"/>
      <w:start w:val="1"/>
    </w:lvl>
  </w:abstractNum>
  <w:abstractNum w:abstractNumId="10">
    <w:nsid w:val="519B500D"/>
    <w:multiLevelType w:val="hybridMultilevel"/>
    <w:lvl w:ilvl="0">
      <w:lvlJc w:val="left"/>
      <w:lvlText w:val="%1."/>
      <w:numFmt w:val="decimal"/>
      <w:start w:val="17"/>
    </w:lvl>
    <w:lvl w:ilvl="1">
      <w:lvlJc w:val="left"/>
      <w:lvlText w:val="%2"/>
      <w:numFmt w:val="lowerLetter"/>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58" Type="http://schemas.openxmlformats.org/officeDocument/2006/relationships/hyperlink" Target="https://www.sec.gov/Archives/edgar/data/1802665/000114036123043963/ef20010653_ex2-1.htm" TargetMode="External"/><Relationship Id="rId59" Type="http://schemas.openxmlformats.org/officeDocument/2006/relationships/hyperlink" Target="https://www.sec.gov/Archives/edgar/data/0001802665/000119312520226978/d97999dex31.htm" TargetMode="External"/><Relationship Id="rId60" Type="http://schemas.openxmlformats.org/officeDocument/2006/relationships/hyperlink" Target="https://www.sec.gov/Archives/edgar/data/0001802665/000119312520226978/d979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2025-11-04T07:49:37Z</dcterms:created>
  <dcterms:modified xsi:type="dcterms:W3CDTF">2025-11-04T07:49:37Z</dcterms:modified>
</cp:coreProperties>
</file>