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March 31, 2024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19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3"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ind w:left="60" w:right="15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579" w:firstLine="648"/>
        <w:spacing w:after="0" w:line="285" w:lineRule="auto"/>
        <w:rPr>
          <w:sz w:val="20"/>
          <w:szCs w:val="20"/>
          <w:color w:val="auto"/>
        </w:rPr>
      </w:pPr>
      <w:r>
        <w:rPr>
          <w:rFonts w:ascii="Arial" w:cs="Arial" w:eastAsia="Arial" w:hAnsi="Arial"/>
          <w:sz w:val="14"/>
          <w:szCs w:val="14"/>
          <w:color w:val="auto"/>
        </w:rPr>
        <w:t>As of April 26, 2024, there were 56,791,861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8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50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6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6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6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8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60" w:type="dxa"/>
            <w:vAlign w:val="bottom"/>
            <w:gridSpan w:val="17"/>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60" w:type="dxa"/>
            <w:vAlign w:val="bottom"/>
            <w:gridSpan w:val="17"/>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r>
      <w:tr>
        <w:trPr>
          <w:trHeight w:val="156"/>
        </w:trPr>
        <w:tc>
          <w:tcPr>
            <w:tcW w:w="6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332,981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311,660</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39,369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41,800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79,719</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74,140</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5,857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5,363</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12,570</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8,683</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w:t>
            </w:r>
          </w:p>
        </w:tc>
      </w:tr>
      <w:tr>
        <w:trPr>
          <w:trHeight w:val="156"/>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479,503</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451,070</w:t>
            </w: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81,244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72,169</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131,147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137,108</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147,639</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144,162</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6,969</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6,298</w:t>
            </w:r>
          </w:p>
        </w:tc>
      </w:tr>
      <w:tr>
        <w:trPr>
          <w:trHeight w:val="155"/>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367,482</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360,378</w:t>
            </w:r>
          </w:p>
        </w:tc>
      </w:tr>
      <w:tr>
        <w:trPr>
          <w:trHeight w:val="195"/>
        </w:trPr>
        <w:tc>
          <w:tcPr>
            <w:tcW w:w="65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846,985</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811,448</w:t>
            </w:r>
          </w:p>
        </w:tc>
      </w:tr>
      <w:tr>
        <w:trPr>
          <w:trHeight w:val="143"/>
        </w:trPr>
        <w:tc>
          <w:tcPr>
            <w:tcW w:w="6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15,144</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17,730</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7,317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23,747</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91,699</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99,494</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25,093</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w:t>
            </w:r>
          </w:p>
        </w:tc>
      </w:tr>
      <w:tr>
        <w:trPr>
          <w:trHeight w:val="155"/>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154,253</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163,781</w:t>
            </w:r>
          </w:p>
        </w:tc>
      </w:tr>
      <w:tr>
        <w:trPr>
          <w:trHeight w:val="155"/>
        </w:trPr>
        <w:tc>
          <w:tcPr>
            <w:tcW w:w="65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174,996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178,566</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2,342</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2,109</w:t>
            </w:r>
          </w:p>
        </w:tc>
      </w:tr>
      <w:tr>
        <w:trPr>
          <w:trHeight w:val="156"/>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177,338</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180,675</w:t>
            </w:r>
          </w:p>
        </w:tc>
      </w:tr>
      <w:tr>
        <w:trPr>
          <w:trHeight w:val="155"/>
        </w:trPr>
        <w:tc>
          <w:tcPr>
            <w:tcW w:w="656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331,591</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344,456</w:t>
            </w: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COMMITMENTS AND CONTINGENCIES (Note 13)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3"/>
        </w:trPr>
        <w:tc>
          <w:tcPr>
            <w:tcW w:w="656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March 31, 2024 and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December 31, 2023, respectively; 56,791,214 and 56,769,081 shares issued and outstanding at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ind w:left="220"/>
              <w:spacing w:after="0"/>
              <w:rPr>
                <w:sz w:val="20"/>
                <w:szCs w:val="20"/>
                <w:color w:val="auto"/>
              </w:rPr>
            </w:pPr>
            <w:r>
              <w:rPr>
                <w:rFonts w:ascii="Arial" w:cs="Arial" w:eastAsia="Arial" w:hAnsi="Arial"/>
                <w:sz w:val="14"/>
                <w:szCs w:val="14"/>
                <w:color w:val="auto"/>
              </w:rPr>
              <w:t>March 31, 2024 and December 31, 2023, respectively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620,507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610,266</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Accumulated other comprehensive (loss) income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(104,943)</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(143,277)</w:t>
            </w:r>
          </w:p>
        </w:tc>
      </w:tr>
      <w:tr>
        <w:trPr>
          <w:trHeight w:val="155"/>
        </w:trPr>
        <w:tc>
          <w:tcPr>
            <w:tcW w:w="656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515,394</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56"/>
        </w:trPr>
        <w:tc>
          <w:tcPr>
            <w:tcW w:w="65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846,985</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811,448</w:t>
            </w:r>
          </w:p>
        </w:tc>
      </w:tr>
      <w:tr>
        <w:trPr>
          <w:trHeight w:val="20"/>
        </w:trPr>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6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154,615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119,126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27,484</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20,780</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127,131</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98,346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22,189</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13,289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27,233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22,572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25,676</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22,062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75,098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57,923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52,033</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40,423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(5,731)</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4,428</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3,086</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51,785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37,780</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(13,451)</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(8,295)</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38,334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29,485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Unrealized (loss) income on investments</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38,161</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29,605</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0.68</w:t>
            </w:r>
          </w:p>
        </w:tc>
        <w:tc>
          <w:tcPr>
            <w:tcW w:w="640" w:type="dxa"/>
            <w:vAlign w:val="bottom"/>
            <w:gridSpan w:val="2"/>
            <w:shd w:val="clear" w:color="auto" w:fill="CCEEFF"/>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0.67</w:t>
            </w:r>
          </w:p>
        </w:tc>
        <w:tc>
          <w:tcPr>
            <w:tcW w:w="640" w:type="dxa"/>
            <w:vAlign w:val="bottom"/>
            <w:gridSpan w:val="2"/>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0.48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basic</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56,771,251</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59,732,157</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20"/>
              <w:spacing w:after="0"/>
              <w:rPr>
                <w:sz w:val="20"/>
                <w:szCs w:val="20"/>
                <w:color w:val="auto"/>
              </w:rPr>
            </w:pPr>
            <w:r>
              <w:rPr>
                <w:rFonts w:ascii="Arial" w:cs="Arial" w:eastAsia="Arial" w:hAnsi="Arial"/>
                <w:sz w:val="18"/>
                <w:szCs w:val="18"/>
                <w:color w:val="auto"/>
              </w:rPr>
              <w:t>- diluted</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57,597,627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61,221,511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rPr>
              <w:t>Total</w:t>
            </w:r>
          </w:p>
        </w:tc>
      </w:tr>
      <w:tr>
        <w:trPr>
          <w:trHeight w:val="17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16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2023</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56,769,081</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610,266</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(143,277)</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gridSpan w:val="3"/>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38,334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38,334</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53"/>
        </w:trPr>
        <w:tc>
          <w:tcPr>
            <w:tcW w:w="2620" w:type="dxa"/>
            <w:vAlign w:val="bottom"/>
          </w:tcPr>
          <w:p>
            <w:pPr>
              <w:ind w:left="220"/>
              <w:spacing w:after="0" w:line="153" w:lineRule="exact"/>
              <w:rPr>
                <w:sz w:val="20"/>
                <w:szCs w:val="20"/>
                <w:color w:val="auto"/>
              </w:rPr>
            </w:pPr>
            <w:r>
              <w:rPr>
                <w:rFonts w:ascii="Arial" w:cs="Arial" w:eastAsia="Arial" w:hAnsi="Arial"/>
                <w:sz w:val="14"/>
                <w:szCs w:val="14"/>
                <w:color w:val="auto"/>
              </w:rPr>
              <w:t>Exercise of options and restricted</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2620" w:type="dxa"/>
            <w:vAlign w:val="bottom"/>
          </w:tcPr>
          <w:p>
            <w:pPr>
              <w:ind w:left="220"/>
              <w:spacing w:after="0"/>
              <w:rPr>
                <w:sz w:val="20"/>
                <w:szCs w:val="20"/>
                <w:color w:val="auto"/>
              </w:rPr>
            </w:pPr>
            <w:r>
              <w:rPr>
                <w:rFonts w:ascii="Arial" w:cs="Arial" w:eastAsia="Arial" w:hAnsi="Arial"/>
                <w:sz w:val="14"/>
                <w:szCs w:val="14"/>
                <w:color w:val="auto"/>
              </w:rPr>
              <w:t>stock units</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22,133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gridSpan w:val="3"/>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10,394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10,394</w:t>
            </w:r>
          </w:p>
        </w:tc>
      </w:tr>
      <w:tr>
        <w:trPr>
          <w:trHeight w:val="156"/>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March 31, 2024</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56,791,214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620,507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(171)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(104,943)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515,394</w:t>
            </w: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09"/>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620" w:type="dxa"/>
            <w:vAlign w:val="bottom"/>
          </w:tcPr>
          <w:p>
            <w:pPr>
              <w:spacing w:after="0"/>
              <w:rPr>
                <w:sz w:val="13"/>
                <w:szCs w:val="13"/>
                <w:color w:val="auto"/>
              </w:rPr>
            </w:pPr>
          </w:p>
        </w:tc>
        <w:tc>
          <w:tcPr>
            <w:tcW w:w="1020" w:type="dxa"/>
            <w:vAlign w:val="bottom"/>
            <w:gridSpan w:val="3"/>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24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2022</w:t>
            </w:r>
          </w:p>
        </w:tc>
        <w:tc>
          <w:tcPr>
            <w:tcW w:w="8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59,615,731</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675,118</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(272,130)</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402,838</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29,485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29,485</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338,887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3,395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3,395</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7,203</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7,203</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March 31, 2023</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59,954,618</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685,716</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(242,645)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443,041</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The accompanying notes are an integral part of the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2023</w:t>
            </w:r>
          </w:p>
        </w:tc>
      </w:tr>
      <w:tr>
        <w:trPr>
          <w:trHeight w:val="155"/>
        </w:trPr>
        <w:tc>
          <w:tcPr>
            <w:tcW w:w="6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2"/>
        </w:trPr>
        <w:tc>
          <w:tcPr>
            <w:tcW w:w="6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38,334</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29,485</w:t>
            </w:r>
          </w:p>
        </w:tc>
      </w:tr>
      <w:tr>
        <w:trPr>
          <w:trHeight w:val="16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10,394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7,203</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Debt issuance costs amortization</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(3,477)</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1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(594)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(636)</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expenses</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r>
      <w:tr>
        <w:trPr>
          <w:trHeight w:val="162"/>
        </w:trPr>
        <w:tc>
          <w:tcPr>
            <w:tcW w:w="654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(5,579)</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(494)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207</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(3,439)</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1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(2,586)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2,628</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(8,229)</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w:t>
            </w:r>
          </w:p>
        </w:tc>
      </w:tr>
      <w:tr>
        <w:trPr>
          <w:trHeight w:val="155"/>
        </w:trPr>
        <w:tc>
          <w:tcPr>
            <w:tcW w:w="65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31,141</w:t>
            </w:r>
          </w:p>
        </w:tc>
        <w:tc>
          <w:tcPr>
            <w:tcW w:w="2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42,559</w:t>
            </w:r>
          </w:p>
        </w:tc>
      </w:tr>
      <w:tr>
        <w:trPr>
          <w:trHeight w:val="156"/>
        </w:trPr>
        <w:tc>
          <w:tcPr>
            <w:tcW w:w="6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Purchase of investment securities</w:t>
            </w:r>
          </w:p>
        </w:tc>
        <w:tc>
          <w:tcPr>
            <w:tcW w:w="1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(25,106)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(47,776)</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45,986</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Purchase of property and equipment</w:t>
            </w:r>
          </w:p>
        </w:tc>
        <w:tc>
          <w:tcPr>
            <w:tcW w:w="1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65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(6,186)</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(1,790)</w:t>
            </w:r>
          </w:p>
        </w:tc>
      </w:tr>
      <w:tr>
        <w:trPr>
          <w:trHeight w:val="155"/>
        </w:trPr>
        <w:tc>
          <w:tcPr>
            <w:tcW w:w="654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repayment of long term debt</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exercised options</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3,909</w:t>
            </w:r>
          </w:p>
        </w:tc>
      </w:tr>
      <w:tr>
        <w:trPr>
          <w:trHeight w:val="155"/>
        </w:trPr>
        <w:tc>
          <w:tcPr>
            <w:tcW w:w="6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(3,634)</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3,409</w:t>
            </w:r>
          </w:p>
        </w:tc>
      </w:tr>
      <w:tr>
        <w:trPr>
          <w:trHeight w:val="155"/>
        </w:trPr>
        <w:tc>
          <w:tcPr>
            <w:tcW w:w="65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21,321</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44,178</w:t>
            </w:r>
          </w:p>
        </w:tc>
      </w:tr>
      <w:tr>
        <w:trPr>
          <w:trHeight w:val="155"/>
        </w:trPr>
        <w:tc>
          <w:tcPr>
            <w:tcW w:w="6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311,930</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244,534</w:t>
            </w:r>
          </w:p>
        </w:tc>
      </w:tr>
      <w:tr>
        <w:trPr>
          <w:trHeight w:val="155"/>
        </w:trPr>
        <w:tc>
          <w:tcPr>
            <w:tcW w:w="65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333,251</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288,712</w:t>
            </w:r>
          </w:p>
        </w:tc>
      </w:tr>
      <w:tr>
        <w:trPr>
          <w:trHeight w:val="155"/>
        </w:trPr>
        <w:tc>
          <w:tcPr>
            <w:tcW w:w="6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90"/>
        </w:trPr>
        <w:tc>
          <w:tcPr>
            <w:tcW w:w="6540" w:type="dxa"/>
            <w:vAlign w:val="bottom"/>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4,585</w:t>
            </w:r>
          </w:p>
        </w:tc>
        <w:tc>
          <w:tcPr>
            <w:tcW w:w="2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5,017</w:t>
            </w:r>
          </w:p>
        </w:tc>
      </w:tr>
    </w:tbl>
    <w:p>
      <w:pPr>
        <w:spacing w:after="0" w:line="155"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39" w:lineRule="auto"/>
        <w:rPr>
          <w:sz w:val="20"/>
          <w:szCs w:val="20"/>
          <w:color w:val="auto"/>
        </w:rPr>
      </w:pPr>
      <w:r>
        <w:rPr>
          <w:rFonts w:ascii="Arial" w:cs="Arial" w:eastAsia="Arial" w:hAnsi="Arial"/>
          <w:sz w:val="18"/>
          <w:szCs w:val="18"/>
          <w:color w:val="auto"/>
        </w:rPr>
        <w:t>Harmony Biosciences Holdings, Inc., and its consolidated subsidiaries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subsidiary, Harmony Biosciences, LLC (“Harmony”), and Zynerba Pharmaceuticals, Inc. The Company is a commercial-stage pharmaceutical company focused on developing and commercializing innovative therapies for patients living with rare neurological disorders as well as patients living with other neurological diseases who have unmet medical needs. The Company is headquartered in Plymouth Meeting, Pennsylvania.</w:t>
      </w:r>
    </w:p>
    <w:p>
      <w:pPr>
        <w:spacing w:after="0" w:line="18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On October 10, 2023, the Company completed a tender offer to acquire all of the outstanding shares of common stock of Zynerba Pharmaceuticals, Inc. (together with its subsidiary, Zynerba Pharmaceutical Pty, Ltd., “Zynerba”). Zynerba is a clinical-stage pharmaceutical company focused on innovative pharmaceutically produced transdermal cannabidiol therapies for orphan neuropsychiatric disorders, including Fragile X Syndrome.</w:t>
      </w:r>
    </w:p>
    <w:p>
      <w:pPr>
        <w:spacing w:after="0" w:line="176"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an accumulated deficit of $104,943 and $143,277, as of March 31, 2024, and December 31, 2023, respectively. As of March 31, 2024, the Company had cash, cash equivalents and investments of $453,594.</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March 31, 2024, as well as additional cash generated from operating and financing activities will meet its operational liquidity needs and fund its planned investing activities for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38"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March 31, 2024, the unaudited condensed consolidated statements of cash flows for the three months ended March 31, 2024, and 2023, and the unaudited condensed consolidated statements of operations and comprehensive income and the unaudited condensed consolidated statements of shareholders’ equity for the three months ended March 31, 2024, and 2023, are unaudited. The balance sheet as of December 31, 2023, was derived from audited financial statements as of and for the year ended December 31, 2023. The unaudited interim condensed consolidated financial statements have been prepared on the same basis as the audited annual financial statements as of and for the year ended December 31, 2023, and, in the opinion of management, reflect all adjustments, which include only normal recurring adjustments, necessary for the fair presentation of the Company’s financial position as of March 31, 2024, and the results of</w:t>
      </w:r>
    </w:p>
    <w:p>
      <w:pPr>
        <w:sectPr>
          <w:pgSz w:w="11900" w:h="16838" w:orient="portrait"/>
          <w:cols w:equalWidth="0" w:num="1">
            <w:col w:w="9019"/>
          </w:cols>
          <w:pgMar w:left="1440" w:top="512"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its operations and its cash flows for the three months ended March 31, 2024, and 2023.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2023.</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Reclassifications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Certain prior period amounts within the unaudited condensed consolidated statements of operations and comprehensive income have been reclassified to conform to current period presentation. In particular, interest expense and interest income were previously classified together as interest expense, net and are now separately classified as interest expense and interest income, respectively. The reclassification of these items had no impact on net income, earnings per share or accumulated deficit in current or prior periods.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clinical trial results of the Company’s product candidates; the Company’s ability to obtain regulatory approval to market its products; competition from products manufactured and sold or being developed by other companies; the price of, and demand for, the Company’s products, if approved; the Company’s ability to negotiate favorable licensing or other manufacturing and marketing agreements for its product candidates.</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holds all its tangible assets, conducts its operations, and generates its revenue in the United States. Operating segments are defined as components of an entity for which separate financial information is available and that is regularly reviewed by the Chief Operating Decision Makers in deciding how to allocate resources to an individual segment and in assessing performance. The Company has determined it operates in a single operating segment and has one reportable segment.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69"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54"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54"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March 31, 2024, or December 31, 2023.</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the statements of cash flows.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39"/>
              <w:spacing w:after="0" w:line="147"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0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332,981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311,660</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333,251</w:t>
            </w:r>
          </w:p>
        </w:tc>
        <w:tc>
          <w:tcPr>
            <w:tcW w:w="4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311,930</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4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Interest income earned on cash and investment balances, accretion of the discount on investments in debt securities, amortization of premiums and realized gains and losses, if any, are recorded in interest income on the unaudited condensed consolidated statement of operations and comprehensive income. Realized gains and losses that result from the sale of investments are determined on a specific identification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Substantially all of the Company’s cash and money market funds are held in five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is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March 31, 2024, three customers accounted for 100% of gross accounts receivable; Caremark LLC (“CVS Caremark”), which accounted for 41% of gross accounts receivable; Accredo Health Group, Inc. (“Accredo”), which accounted for 36% of gross accounts receivable; and PANTHERx Specialty Pharmacy LLC (“Pantherx”), which accounted for 23% of gross accounts receivable. As of December 31, 2023, three customers accounted for 100% of gross accounts receivable; Accredo, which accounted for 39% of gross accounts receivable, CVS Caremark, which accounted for 32% of gross accounts receivable; and Pantherx, which accounted for 29% of gross accounts receivable.</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three months ended March 31, 2024, three customers accounted for 100% of gross product revenue; CVS Caremark accounted for 42% of gross product revenue; Accredo accounted for 33% of gross product revenue; and Pantherx accounted for 25% of gross product revenue. For the three months ended March 31, 2023, three customers accounted for 100% of gross product revenue; CVS Caremark accounted for 35% of gross product revenue; Pantherx accounted for 33% of gross product revenue; and Accredo accounted for 32% of gross product revenue.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depends on a single supplier for its product and a single supplier for its active pharmaceutical ingredient.</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ind w:left="60" w:right="79" w:firstLine="648"/>
        <w:spacing w:after="0" w:line="244"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Business Combinations. Refer to Note 4, </w:t>
      </w:r>
      <w:r>
        <w:rPr>
          <w:rFonts w:ascii="Arial" w:cs="Arial" w:eastAsia="Arial" w:hAnsi="Arial"/>
          <w:sz w:val="18"/>
          <w:szCs w:val="18"/>
          <w:i w:val="1"/>
          <w:iCs w:val="1"/>
          <w:color w:val="auto"/>
        </w:rPr>
        <w:t>Acquisition</w:t>
      </w:r>
      <w:r>
        <w:rPr>
          <w:rFonts w:ascii="Arial" w:cs="Arial" w:eastAsia="Arial" w:hAnsi="Arial"/>
          <w:sz w:val="18"/>
          <w:szCs w:val="18"/>
          <w:color w:val="auto"/>
        </w:rPr>
        <w:t>, for a more detailed discussion of the Zynerba Acquisition.</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 xml:space="preserve">In November 2023, the FASB issued Accounting Standards Update (“ASU”) No.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xml:space="preserve"> (“ASU 2023-07”). ASU 2023-07 is intended to improve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reportable segment disclosures primarily through enhanced disclosure of reportable segment expenses and requires that a public entity that has a single reportable segment provide all the disclosures required by ASU 2023-07 and all existing segment disclosures in Topic 280. This ASU is effective for annual reporting periods beginning after December 15, 2023, and interim periods within fiscal years beginning after December 15, 2024. Early adoption is permitted. ASU 2023-07 is required to be applied retrospectively to all prior periods presented in the financial statements. The Company has one reportable segment and is currently evaluating the impact that ASU 2023-07 will have on its condensed consolidated financial statements.</w:t>
      </w:r>
    </w:p>
    <w:p>
      <w:pPr>
        <w:spacing w:after="0" w:line="17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 xml:space="preserve">In December 2023, the FASB issued Accounting Standards Update (“ASU”) No 2023-09,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(Topic 740): Improvements to Income Tax Disclosures” </w:t>
      </w:r>
      <w:r>
        <w:rPr>
          <w:rFonts w:ascii="Arial" w:cs="Arial" w:eastAsia="Arial" w:hAnsi="Arial"/>
          <w:sz w:val="18"/>
          <w:szCs w:val="18"/>
          <w:color w:val="auto"/>
        </w:rPr>
        <w:t>(“ASU 2023-09”). ASU 2023-09 expands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in the rate reconciliation and requires disclosure of income taxes paid by jurisdiction. ASU 2023-09 is effective for fiscal years beginning after December 15, 2024. Early adoption is permitted. The Company is currently evaluating the impact that ASU 2023-09 will have on its condensed consolidated financial statements.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ACQUISITION</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October 2023, the Company completed a tender offer to purchase the outstanding common stock of Zynerba (“Zynerba Common Stock”) for (i) $1.1059 per share of Zynerba Common Stock (the “Common Cash Amount”), the aggregate amount of which was $60,000 and was paid at closing,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amount of consideration to acquire Zynerba Common Stock was $60,000, excluding transaction related fees of $2,645 and was paid by the Company using cash on hand.</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Zynerba Acquisition was accounted for as an asset acquisition under ASC Topic 805, Business Combinations, because substantially all of the fair value of the gross assets acquired was concentrated in a single identifiable IPR&amp;D asset, ZYN002, Zynerba’s lead asset. ZYN002 is the first and only pharmaceutically manufactured, synthetic cannabidiol, a non-euphoric cannabidiol, formulated as a patent-protected permeation-enhanced gel for transdermal delivery through the skin and into the circulatory system and is currently in Phase</w:t>
      </w:r>
    </w:p>
    <w:p>
      <w:pPr>
        <w:spacing w:after="0" w:line="4" w:lineRule="exact"/>
        <w:rPr>
          <w:sz w:val="20"/>
          <w:szCs w:val="20"/>
          <w:color w:val="auto"/>
        </w:rPr>
      </w:pPr>
    </w:p>
    <w:p>
      <w:pPr>
        <w:jc w:val="both"/>
        <w:ind w:left="60" w:right="59" w:hanging="10"/>
        <w:spacing w:after="0"/>
        <w:tabs>
          <w:tab w:leader="none" w:pos="267"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trial for the potential treatment of Fragile X Syndrome.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1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March 31, 2024</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Amortized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82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Gains</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Losses</w:t>
            </w:r>
          </w:p>
        </w:tc>
        <w:tc>
          <w:tcPr>
            <w:tcW w:w="82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23,038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$ 23,041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39,354</w:t>
            </w:r>
          </w:p>
        </w:tc>
        <w:tc>
          <w:tcPr>
            <w:tcW w:w="1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$ 39,369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Long-term:</w:t>
            </w: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3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30,368</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800" w:type="dxa"/>
            <w:vAlign w:val="bottom"/>
          </w:tcPr>
          <w:p>
            <w:pPr>
              <w:jc w:val="right"/>
              <w:spacing w:after="0"/>
              <w:rPr>
                <w:sz w:val="20"/>
                <w:szCs w:val="20"/>
                <w:color w:val="auto"/>
              </w:rPr>
            </w:pPr>
            <w:r>
              <w:rPr>
                <w:rFonts w:ascii="Arial" w:cs="Arial" w:eastAsia="Arial" w:hAnsi="Arial"/>
                <w:sz w:val="18"/>
                <w:szCs w:val="18"/>
                <w:color w:val="auto"/>
              </w:rPr>
              <w:t>30,171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81,430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$ 81,244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80" w:type="dxa"/>
            <w:vAlign w:val="bottom"/>
            <w:vMerge w:val="restart"/>
          </w:tcPr>
          <w:p>
            <w:pPr>
              <w:jc w:val="right"/>
              <w:ind w:right="35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3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Fair</w:t>
            </w:r>
          </w:p>
        </w:tc>
      </w:tr>
      <w:tr>
        <w:trPr>
          <w:trHeight w:val="216"/>
        </w:trPr>
        <w:tc>
          <w:tcPr>
            <w:tcW w:w="5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Gains</w:t>
            </w: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rPr>
              <w:t>Losses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4"/>
                <w:szCs w:val="14"/>
                <w:b w:val="1"/>
                <w:bCs w:val="1"/>
                <w:color w:val="auto"/>
              </w:rPr>
              <w:t>Value</w:t>
            </w:r>
          </w:p>
        </w:tc>
      </w:tr>
      <w:tr>
        <w:trPr>
          <w:trHeight w:val="209"/>
        </w:trPr>
        <w:tc>
          <w:tcPr>
            <w:tcW w:w="5000" w:type="dxa"/>
            <w:vAlign w:val="bottom"/>
          </w:tcPr>
          <w:p>
            <w:pPr>
              <w:ind w:left="20"/>
              <w:spacing w:after="0"/>
              <w:rPr>
                <w:sz w:val="20"/>
                <w:szCs w:val="20"/>
                <w:color w:val="auto"/>
              </w:rPr>
            </w:pPr>
            <w:r>
              <w:rPr>
                <w:rFonts w:ascii="Arial" w:cs="Arial" w:eastAsia="Arial" w:hAnsi="Arial"/>
                <w:sz w:val="18"/>
                <w:szCs w:val="18"/>
                <w:color w:val="auto"/>
              </w:rPr>
              <w:t>Short-term:</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23,865</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15,968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15,996</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41,740</w:t>
            </w:r>
          </w:p>
        </w:tc>
        <w:tc>
          <w:tcPr>
            <w:tcW w:w="18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41,800</w:t>
            </w:r>
          </w:p>
        </w:tc>
      </w:tr>
      <w:tr>
        <w:trPr>
          <w:trHeight w:val="197"/>
        </w:trPr>
        <w:tc>
          <w:tcPr>
            <w:tcW w:w="5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42,688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42,741</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28,684</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72,227</w:t>
            </w:r>
          </w:p>
        </w:tc>
        <w:tc>
          <w:tcPr>
            <w:tcW w:w="1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72,169</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March 31, 2024, and December 31, 2023,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MEASUREMENTS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March 31, 2024, or December 31, 2023.</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March 31, 2024</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 2023</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304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r>
      <w:tr>
        <w:trPr>
          <w:trHeight w:val="196"/>
        </w:trPr>
        <w:tc>
          <w:tcPr>
            <w:tcW w:w="3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$ 264,079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264,079</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244,569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243,685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20" w:type="dxa"/>
            <w:vAlign w:val="bottom"/>
          </w:tcPr>
          <w:p>
            <w:pPr>
              <w:spacing w:after="0"/>
              <w:rPr>
                <w:sz w:val="18"/>
                <w:szCs w:val="18"/>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67,401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67,401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58,737</w:t>
            </w:r>
          </w:p>
        </w:tc>
        <w:tc>
          <w:tcPr>
            <w:tcW w:w="1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58,737</w:t>
            </w: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20" w:type="dxa"/>
            <w:vAlign w:val="bottom"/>
          </w:tcPr>
          <w:p>
            <w:pPr>
              <w:spacing w:after="0"/>
              <w:rPr>
                <w:sz w:val="18"/>
                <w:szCs w:val="18"/>
                <w:color w:val="auto"/>
              </w:rPr>
            </w:pPr>
          </w:p>
        </w:tc>
      </w:tr>
      <w:tr>
        <w:trPr>
          <w:trHeight w:val="196"/>
        </w:trPr>
        <w:tc>
          <w:tcPr>
            <w:tcW w:w="304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$ 384,692</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264,079</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120,613</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358,538</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243,685</w:t>
            </w: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114,853</w:t>
            </w:r>
          </w:p>
        </w:tc>
        <w:tc>
          <w:tcPr>
            <w:tcW w:w="2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8"/>
        </w:trPr>
        <w:tc>
          <w:tcPr>
            <w:tcW w:w="3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gridSpan w:val="3"/>
          </w:tcPr>
          <w:p>
            <w:pPr>
              <w:jc w:val="right"/>
              <w:ind w:right="214"/>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0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INVENTORY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net consisted of the following: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r>
      <w:tr>
        <w:trPr>
          <w:trHeight w:val="146"/>
        </w:trPr>
        <w:tc>
          <w:tcPr>
            <w:tcW w:w="6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March 31,</w:t>
            </w:r>
          </w:p>
        </w:tc>
        <w:tc>
          <w:tcPr>
            <w:tcW w:w="10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1,060</w:t>
            </w: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1,748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2,020</w:t>
            </w:r>
          </w:p>
        </w:tc>
      </w:tr>
      <w:tr>
        <w:trPr>
          <w:trHeight w:val="203"/>
        </w:trPr>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3,100</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2,283</w:t>
            </w:r>
          </w:p>
        </w:tc>
      </w:tr>
      <w:tr>
        <w:trPr>
          <w:trHeight w:val="196"/>
        </w:trPr>
        <w:tc>
          <w:tcPr>
            <w:tcW w:w="670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5,857</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5,363</w:t>
            </w: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$ 75,000 under the provisions of the 2017 LCA (defined below) which the Company capitalized as an intangible asset. The Company determined a useful life of 10 years for such intangible asset, and, as of March 31, 2024, the remaining useful life was 5.5 years.</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such intangible asset, and, as of March 31, 2024, the remaining useful life was 5.5 years.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such intangible asset, and, as of March 31, 2024, the remaining useful life was 5.5 years.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Amortization expense was $5,961 for each of the three months ended March 31, 2024, and 2023 and is recorded in general and administrative expenses on the unaudited condensed consolidated statements of operations and comprehensive income.</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62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6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2024 (excluding the three months ended March 31, 2024)</w:t>
            </w:r>
          </w:p>
        </w:tc>
        <w:tc>
          <w:tcPr>
            <w:tcW w:w="18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17,884</w:t>
            </w:r>
          </w:p>
        </w:tc>
      </w:tr>
      <w:tr>
        <w:trPr>
          <w:trHeight w:val="203"/>
        </w:trPr>
        <w:tc>
          <w:tcPr>
            <w:tcW w:w="620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2026</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200" w:type="dxa"/>
            <w:vAlign w:val="bottom"/>
          </w:tcPr>
          <w:p>
            <w:pPr>
              <w:ind w:left="100"/>
              <w:spacing w:after="0" w:line="202" w:lineRule="exact"/>
              <w:rPr>
                <w:sz w:val="20"/>
                <w:szCs w:val="20"/>
                <w:color w:val="auto"/>
              </w:rPr>
            </w:pPr>
            <w:r>
              <w:rPr>
                <w:rFonts w:ascii="Arial" w:cs="Arial" w:eastAsia="Arial" w:hAnsi="Arial"/>
                <w:sz w:val="18"/>
                <w:szCs w:val="18"/>
                <w:color w:val="auto"/>
              </w:rPr>
              <w:t>2027</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2028</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2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17,883</w:t>
            </w:r>
          </w:p>
        </w:tc>
      </w:tr>
      <w:tr>
        <w:trPr>
          <w:trHeight w:val="196"/>
        </w:trPr>
        <w:tc>
          <w:tcPr>
            <w:tcW w:w="6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131,147</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gross carrying amount and net book value of the intangible asset is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6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tcPr>
          <w:p>
            <w:pPr>
              <w:spacing w:after="0"/>
              <w:rPr>
                <w:sz w:val="17"/>
                <w:szCs w:val="17"/>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(83,853)</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(77,892)</w:t>
            </w:r>
          </w:p>
        </w:tc>
        <w:tc>
          <w:tcPr>
            <w:tcW w:w="20" w:type="dxa"/>
            <w:vAlign w:val="bottom"/>
          </w:tcPr>
          <w:p>
            <w:pPr>
              <w:spacing w:after="0"/>
              <w:rPr>
                <w:sz w:val="17"/>
                <w:szCs w:val="17"/>
                <w:color w:val="auto"/>
              </w:rPr>
            </w:pPr>
          </w:p>
        </w:tc>
      </w:tr>
      <w:tr>
        <w:trPr>
          <w:trHeight w:val="196"/>
        </w:trPr>
        <w:tc>
          <w:tcPr>
            <w:tcW w:w="67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131,147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137,108</w:t>
            </w:r>
          </w:p>
        </w:tc>
        <w:tc>
          <w:tcPr>
            <w:tcW w:w="2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right="3199" w:hanging="650"/>
        <w:spacing w:after="0" w:line="485" w:lineRule="auto"/>
        <w:tabs>
          <w:tab w:leader="none" w:pos="2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 AND ASSET PURCHASE AGREEMENTS License Agreements</w:t>
      </w:r>
    </w:p>
    <w:p>
      <w:pPr>
        <w:jc w:val="both"/>
        <w:ind w:left="60" w:right="59" w:firstLine="648"/>
        <w:spacing w:after="0" w:line="237"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$24,738 and $19,060 for the three months ended March 31, 2024, and 2023, respectively, for sales-based, trademark and tiered royalties recognized as cost of product sold. As of March 31, 2024, and December 31, 2023, the Company had accrued $24,738 and $40,419, respectively, for sales-based, trademark and tiered royalties.</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Harmony entered into a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unaudited condensed consolidated statement of operations and comprehensive income for the three months ended March 31, 2023. There are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additional payments due under the APA upon the achievement of certain milestones including $1,000 for preclinical milestones, $19,000 for development milestones, $44,000 for regulatory milestones and $110,000 for sales milestones.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24,738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40,419</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48,165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38,842</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2,999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2,354</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7,898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9,835</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2,195</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2,495</w:t>
            </w:r>
          </w:p>
        </w:tc>
      </w:tr>
      <w:tr>
        <w:trPr>
          <w:trHeight w:val="196"/>
        </w:trPr>
        <w:tc>
          <w:tcPr>
            <w:tcW w:w="5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91,699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99,494</w:t>
            </w:r>
          </w:p>
        </w:tc>
      </w:tr>
      <w:tr>
        <w:trPr>
          <w:trHeight w:val="20"/>
        </w:trPr>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the Company entered into a Credit Agreement (the “TLA Credit Agreement”) with JPMorgan Chase Bank, N.A., as “Administrative Agent”, and certain lenders. The TLA Credit Agreement provides for a five-year senior secured term loan (the “TLA Term Loan”) in an aggregate principal amount of $185,000.</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September 2023, the Company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$15,000.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quarterly $3,750 principal payments, which commence on December 31, 2023, increasing to quarterly $5,000 principal payments beginning on December 31, 2025, with a $115,000 payment due on the maturity date of July 26, 2028. The Term Loans bear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net cash received related to the Term Loans as a result of the transactions, less debt issuance costs of $2,997, was $197,003. The debt issuance costs related to the Term Loans will be amortized as additional interest expense over the loan term of the TLA Credit Agreement. The fair value of the Term Loans as of March 31, 2024, was $192,267.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consists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 amount</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192,500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196,250</w:t>
            </w: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(2,684)</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 net</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189,996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193,566</w:t>
            </w: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w:t>
            </w:r>
          </w:p>
        </w:tc>
      </w:tr>
      <w:tr>
        <w:trPr>
          <w:trHeight w:val="196"/>
        </w:trPr>
        <w:tc>
          <w:tcPr>
            <w:tcW w:w="5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174,996</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178,566</w:t>
            </w:r>
          </w:p>
        </w:tc>
      </w:tr>
      <w:tr>
        <w:trPr>
          <w:trHeight w:val="20"/>
        </w:trPr>
        <w:tc>
          <w:tcPr>
            <w:tcW w:w="5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Future minimum payments relating to total debt, net as of March 31, 2024, for the periods indicated below consists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 (excluding the three months ended March 31, 2024)</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192,500</w:t>
            </w: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long-term debt, net, is included in interest expense within the unaudited condensed consolidated statements of operations and comprehensive income and consists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r>
      <w:tr>
        <w:trPr>
          <w:trHeight w:val="156"/>
        </w:trPr>
        <w:tc>
          <w:tcPr>
            <w:tcW w:w="69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4,355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5,315</w:t>
            </w:r>
          </w:p>
        </w:tc>
      </w:tr>
      <w:tr>
        <w:trPr>
          <w:trHeight w:val="203"/>
        </w:trPr>
        <w:tc>
          <w:tcPr>
            <w:tcW w:w="69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w:t>
            </w:r>
          </w:p>
        </w:tc>
      </w:tr>
      <w:tr>
        <w:trPr>
          <w:trHeight w:val="196"/>
        </w:trPr>
        <w:tc>
          <w:tcPr>
            <w:tcW w:w="69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5,731</w:t>
            </w: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The Company subsequently entered into two separate operating leases for additional office space in Plymouth Meeting, PA, which include approximately thirteen thousand square feet and seven thousand square feet of additional office space, respectively, and expire in May 2024. In March 2024, the Company amended its existing operating leases for office space in Plymouth Meeting to extend their terms through June 2025. The terms of the lease payments provide for rental payments on a monthly basis and on a graduated scale. The Company also leases a fleet of automobiles that are used by its sales representatives and are classified as operating leases.</w:t>
      </w:r>
    </w:p>
    <w:p>
      <w:pPr>
        <w:spacing w:after="0" w:line="180"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recorded operating lease costs of $509 and $378 for the three months ended March 31, 2024, and 2023,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March 31, 2024, the weighted-average remaining lease term for operating leases was 1.8 years and the weighted-average discount rate for operating leases was 7.32%.</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Pr>
          <w:p>
            <w:pPr>
              <w:ind w:left="1520"/>
              <w:spacing w:after="0"/>
              <w:rPr>
                <w:sz w:val="20"/>
                <w:szCs w:val="20"/>
                <w:color w:val="auto"/>
              </w:rPr>
            </w:pPr>
            <w:r>
              <w:rPr>
                <w:rFonts w:ascii="Arial" w:cs="Arial" w:eastAsia="Arial" w:hAnsi="Arial"/>
                <w:sz w:val="14"/>
                <w:szCs w:val="14"/>
                <w:b w:val="1"/>
                <w:bCs w:val="1"/>
                <w:color w:val="auto"/>
              </w:rPr>
              <w:t>Leases</w:t>
            </w:r>
          </w:p>
        </w:tc>
        <w:tc>
          <w:tcPr>
            <w:tcW w:w="2880" w:type="dxa"/>
            <w:vAlign w:val="bottom"/>
          </w:tcPr>
          <w:p>
            <w:pPr>
              <w:ind w:left="108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 2024   December 31, 2023</w:t>
            </w:r>
          </w:p>
        </w:tc>
      </w:tr>
      <w:tr>
        <w:trPr>
          <w:trHeight w:val="196"/>
        </w:trPr>
        <w:tc>
          <w:tcPr>
            <w:tcW w:w="33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88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3,046</w:t>
            </w:r>
          </w:p>
        </w:tc>
        <w:tc>
          <w:tcPr>
            <w:tcW w:w="6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2,344</w:t>
            </w:r>
          </w:p>
        </w:tc>
      </w:tr>
      <w:tr>
        <w:trPr>
          <w:trHeight w:val="203"/>
        </w:trPr>
        <w:tc>
          <w:tcPr>
            <w:tcW w:w="3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88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1,793</w:t>
            </w:r>
          </w:p>
        </w:tc>
        <w:tc>
          <w:tcPr>
            <w:tcW w:w="6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1,437</w:t>
            </w:r>
          </w:p>
        </w:tc>
      </w:tr>
      <w:tr>
        <w:trPr>
          <w:trHeight w:val="203"/>
        </w:trPr>
        <w:tc>
          <w:tcPr>
            <w:tcW w:w="3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1,276</w:t>
            </w:r>
          </w:p>
        </w:tc>
        <w:tc>
          <w:tcPr>
            <w:tcW w:w="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1,082</w:t>
            </w:r>
          </w:p>
        </w:tc>
      </w:tr>
      <w:tr>
        <w:trPr>
          <w:trHeight w:val="196"/>
        </w:trPr>
        <w:tc>
          <w:tcPr>
            <w:tcW w:w="332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8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3,069</w:t>
            </w:r>
          </w:p>
        </w:tc>
        <w:tc>
          <w:tcPr>
            <w:tcW w:w="6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2,519</w:t>
            </w:r>
          </w:p>
        </w:tc>
      </w:tr>
      <w:tr>
        <w:trPr>
          <w:trHeight w:val="20"/>
        </w:trPr>
        <w:tc>
          <w:tcPr>
            <w:tcW w:w="3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4"/>
                <w:szCs w:val="14"/>
                <w:color w:val="auto"/>
              </w:rPr>
            </w:pPr>
          </w:p>
        </w:tc>
        <w:tc>
          <w:tcPr>
            <w:tcW w:w="1220" w:type="dxa"/>
            <w:vAlign w:val="bottom"/>
          </w:tcPr>
          <w:p>
            <w:pPr>
              <w:jc w:val="right"/>
              <w:ind w:right="36"/>
              <w:spacing w:after="0"/>
              <w:rPr>
                <w:sz w:val="20"/>
                <w:szCs w:val="20"/>
                <w:color w:val="auto"/>
              </w:rPr>
            </w:pPr>
            <w:r>
              <w:rPr>
                <w:rFonts w:ascii="Arial" w:cs="Arial" w:eastAsia="Arial" w:hAnsi="Arial"/>
                <w:sz w:val="14"/>
                <w:szCs w:val="14"/>
                <w:b w:val="1"/>
                <w:bCs w:val="1"/>
                <w:color w:val="auto"/>
              </w:rPr>
              <w:t>March 31, 2023</w:t>
            </w:r>
          </w:p>
        </w:tc>
      </w:tr>
      <w:tr>
        <w:trPr>
          <w:trHeight w:val="196"/>
        </w:trPr>
        <w:tc>
          <w:tcPr>
            <w:tcW w:w="5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w:t>
            </w:r>
          </w:p>
        </w:tc>
      </w:tr>
      <w:tr>
        <w:trPr>
          <w:trHeight w:val="239"/>
        </w:trPr>
        <w:tc>
          <w:tcPr>
            <w:tcW w:w="594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526</w:t>
            </w:r>
          </w:p>
        </w:tc>
      </w:tr>
    </w:tbl>
    <w:p>
      <w:pPr>
        <w:spacing w:after="0" w:line="32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March 31, 2024,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 (excluding the three months ended March 31, 2024)</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1,564</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1,239</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2027</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2028</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3,279</w:t>
            </w:r>
          </w:p>
        </w:tc>
      </w:tr>
      <w:tr>
        <w:trPr>
          <w:trHeight w:val="21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196"/>
        </w:trPr>
        <w:tc>
          <w:tcPr>
            <w:tcW w:w="7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3,069</w:t>
            </w: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As of March 31, 2024, there were no material claims or suits outstanding.</w:t>
      </w:r>
    </w:p>
    <w:p>
      <w:pPr>
        <w:spacing w:after="0" w:line="182" w:lineRule="exact"/>
        <w:rPr>
          <w:sz w:val="20"/>
          <w:szCs w:val="20"/>
          <w:color w:val="auto"/>
        </w:rPr>
      </w:pPr>
    </w:p>
    <w:p>
      <w:pPr>
        <w:jc w:val="center"/>
        <w:ind w:right="6339"/>
        <w:spacing w:after="0"/>
        <w:rPr>
          <w:sz w:val="20"/>
          <w:szCs w:val="20"/>
          <w:color w:val="auto"/>
        </w:rPr>
      </w:pPr>
      <w:r>
        <w:rPr>
          <w:rFonts w:ascii="Arial" w:cs="Arial" w:eastAsia="Arial" w:hAnsi="Arial"/>
          <w:sz w:val="18"/>
          <w:szCs w:val="18"/>
          <w:b w:val="1"/>
          <w:bCs w:val="1"/>
          <w:color w:val="auto"/>
        </w:rPr>
        <w:t>14. STOCKHOLDERS’ EQUITY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 Program</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the Company’s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months ended March 31, 2024, and 2023, no shares of common stock were repurchased and cancelled by the Company. As of March 31, 2024 the remaining amount of common stock authorized for repurchases was $150,000.</w:t>
      </w:r>
    </w:p>
    <w:p>
      <w:pPr>
        <w:spacing w:after="0" w:line="185" w:lineRule="exact"/>
        <w:rPr>
          <w:sz w:val="20"/>
          <w:szCs w:val="20"/>
          <w:color w:val="auto"/>
        </w:rPr>
      </w:pPr>
    </w:p>
    <w:p>
      <w:pPr>
        <w:ind w:left="700" w:right="3179" w:hanging="650"/>
        <w:spacing w:after="0" w:line="485" w:lineRule="auto"/>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March 31, 2024, there were 7,890,232 shares of common stock available for issuance under the 2020 Plan. The number of shares that may be issued under the 2020 Plan automatically increases on January 1 of each year in an amount equal to the lesser of (i) 4.0% of the shares of the Company’s common stock outstanding on December 31 of the preceding year or (ii) an amount determined by the Company’s board of directors.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summarizes stock option activity for the three months ended March 31, 2024:</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1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2023</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6,316,422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32.47</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1,071,750</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30.69</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(14,120)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(11,529)</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39.31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6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outstanding—March 31, 2024</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7,362,523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7.35</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three months ended March 31, 2024:</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940" w:type="dxa"/>
            <w:vAlign w:val="bottom"/>
          </w:tcPr>
          <w:p>
            <w:pPr>
              <w:jc w:val="right"/>
              <w:ind w:right="1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100" w:type="dxa"/>
            <w:vAlign w:val="bottom"/>
          </w:tcPr>
          <w:p>
            <w:pPr>
              <w:spacing w:after="0"/>
              <w:rPr>
                <w:sz w:val="14"/>
                <w:szCs w:val="14"/>
                <w:color w:val="auto"/>
              </w:rPr>
            </w:pPr>
          </w:p>
        </w:tc>
        <w:tc>
          <w:tcPr>
            <w:tcW w:w="940" w:type="dxa"/>
            <w:vAlign w:val="bottom"/>
          </w:tcPr>
          <w:p>
            <w:pPr>
              <w:jc w:val="right"/>
              <w:ind w:right="11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2023</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spacing w:after="0"/>
              <w:rPr>
                <w:sz w:val="17"/>
                <w:szCs w:val="17"/>
                <w:color w:val="auto"/>
              </w:rPr>
            </w:pPr>
          </w:p>
        </w:tc>
      </w:tr>
      <w:tr>
        <w:trPr>
          <w:trHeight w:val="196"/>
        </w:trPr>
        <w:tc>
          <w:tcPr>
            <w:tcW w:w="6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outstanding—March 31, 2024</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30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5.08</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three months ended March 31, 2024:</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68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2023</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387,500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30.69</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29.03</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30.69</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outstanding—March 31, 2024</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702,150</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31.08</w:t>
            </w:r>
          </w:p>
        </w:tc>
      </w:tr>
      <w:tr>
        <w:trPr>
          <w:trHeight w:val="20"/>
        </w:trPr>
        <w:tc>
          <w:tcPr>
            <w:tcW w:w="6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March 31, 2024, and December 31, 2023, stock awards issued under the 2017 and 2020 Plans of 3,596,040 and 3,298,284 shares of common stock, respectively, were vested.</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146"/>
        </w:trPr>
        <w:tc>
          <w:tcPr>
            <w:tcW w:w="6200" w:type="dxa"/>
            <w:vAlign w:val="bottom"/>
          </w:tcPr>
          <w:p>
            <w:pPr>
              <w:spacing w:after="0"/>
              <w:rPr>
                <w:sz w:val="12"/>
                <w:szCs w:val="12"/>
                <w:color w:val="auto"/>
              </w:rPr>
            </w:pPr>
          </w:p>
        </w:tc>
        <w:tc>
          <w:tcPr>
            <w:tcW w:w="1400" w:type="dxa"/>
            <w:vAlign w:val="bottom"/>
            <w:gridSpan w:val="2"/>
          </w:tcPr>
          <w:p>
            <w:pPr>
              <w:jc w:val="right"/>
              <w:ind w:right="439"/>
              <w:spacing w:after="0" w:line="147" w:lineRule="exact"/>
              <w:rPr>
                <w:sz w:val="20"/>
                <w:szCs w:val="20"/>
                <w:color w:val="auto"/>
              </w:rPr>
            </w:pPr>
            <w:r>
              <w:rPr>
                <w:rFonts w:ascii="Arial" w:cs="Arial" w:eastAsia="Arial" w:hAnsi="Arial"/>
                <w:sz w:val="14"/>
                <w:szCs w:val="14"/>
                <w:b w:val="1"/>
                <w:bCs w:val="1"/>
                <w:color w:val="auto"/>
              </w:rPr>
              <w:t>March 31,</w:t>
            </w:r>
          </w:p>
        </w:tc>
        <w:tc>
          <w:tcPr>
            <w:tcW w:w="1300" w:type="dxa"/>
            <w:vAlign w:val="bottom"/>
            <w:gridSpan w:val="3"/>
          </w:tcPr>
          <w:p>
            <w:pPr>
              <w:jc w:val="right"/>
              <w:ind w:right="19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r>
      <w:tr>
        <w:trPr>
          <w:trHeight w:val="196"/>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w w:val="99"/>
              </w:rPr>
              <w:t>72.60 - 72.60 %</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74.87</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- 80.78 %</w:t>
            </w: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4.06 - 4.20 %</w:t>
            </w:r>
          </w:p>
        </w:tc>
        <w:tc>
          <w:tcPr>
            <w:tcW w:w="1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3.42 - 4.62 %</w:t>
            </w: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14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0.00 %</w:t>
            </w:r>
          </w:p>
        </w:tc>
        <w:tc>
          <w:tcPr>
            <w:tcW w:w="48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2.01 - 6.11</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- 10.77</w:t>
            </w:r>
          </w:p>
        </w:tc>
        <w:tc>
          <w:tcPr>
            <w:tcW w:w="1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2020 Plan was $21.13 and $20.64 on March 31, 2024, and December 31, 2023,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for the three months ended March 31, 2024, and 2023,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7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 expense</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976</w:t>
            </w: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1,994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r>
      <w:tr>
        <w:trPr>
          <w:trHeight w:val="203"/>
        </w:trPr>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7,069</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4,512</w:t>
            </w:r>
          </w:p>
        </w:tc>
      </w:tr>
      <w:tr>
        <w:trPr>
          <w:trHeight w:val="196"/>
        </w:trPr>
        <w:tc>
          <w:tcPr>
            <w:tcW w:w="672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10,434</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6,561</w:t>
            </w: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Stock-based compensation expense related to options and RSUs issued under the 2017 Plan and 2020 Plan is included in stockholder’s equity, and a liability for SARs is included in other non-current liabilities, in the Company’s unaudited condensed consolidated balance sheet. As of March 31, 2024, the total unrecognized stock-based compensation expense was $73,718 and $19,399 for stock options and RSUs, respectively. This amount will be recognized in the Company’s consolidated statement of operations over a weighted average period of 2.7 years.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automatically increases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There were no shares issued under the ESPP for the three months ended March 31, 2024, and 2023, respectively. The discount on the ESPP was $80 and $105 for the three months ended March 31, 2024, and 2023, respectively, and is recorded within stock-based compensation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EARNINGS PER SHARE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share of common is computed under the treasury stock method by using the weighted average number of shares of common stock outstanding, plus, for periods with net income, the potential dilutive effects of stock options, stock appreciation rights and restricted stock units.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7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38,334</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29,485</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Net income per share of common stock - basic</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0.68</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income per share of common stock- diluted</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0.67</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0.48</w:t>
            </w: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56,771,251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59,732,157</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Weighted average number of shares of common stock - diluted</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57,597,627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61,221,511</w:t>
            </w: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Securities outstanding that were included in the computation above, utilizing the treasury stock method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2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826,376</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1,489,354</w:t>
            </w: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Potential shares of common stock issuable that were excluded from the computation of diluted weighted-average shares outstanding excluded from the numerator,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2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7,281,505</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4,661,499</w:t>
            </w: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TAXES</w:t>
      </w:r>
    </w:p>
    <w:p>
      <w:pPr>
        <w:spacing w:after="0" w:line="212"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8"/>
          <w:szCs w:val="18"/>
          <w:color w:val="auto"/>
        </w:rPr>
        <w:t>A reconciliation between the statutory federal income tax rate and the Company’s effective income tax rate for the three months ended March 31, 2024, and 2023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5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income tax rate</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(2.8)</w:t>
            </w: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Credits</w:t>
            </w:r>
          </w:p>
        </w:tc>
        <w:tc>
          <w:tcPr>
            <w:tcW w:w="12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(1.0)</w:t>
            </w: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80" w:type="dxa"/>
            <w:vAlign w:val="bottom"/>
          </w:tcPr>
          <w:p>
            <w:pPr>
              <w:spacing w:after="0"/>
              <w:rPr>
                <w:sz w:val="17"/>
                <w:szCs w:val="17"/>
                <w:color w:val="auto"/>
              </w:rPr>
            </w:pPr>
          </w:p>
        </w:tc>
        <w:tc>
          <w:tcPr>
            <w:tcW w:w="11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196"/>
        </w:trPr>
        <w:tc>
          <w:tcPr>
            <w:tcW w:w="65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28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6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RELATED-PARTY TRANSACTIONS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Biosciences, LLC (“Paragon”). Paragon is an entity that shares common ownership with the Company. In addition, the Chairman of the Company’s board of directors is the Founder, Chairman and CEO of Paragon. The Company is also party to a right of use agreement with Paragon whereby it has access to and the right to use certain office space leased by Paragon in Chicago, IL. The Company incurred $73 and $71 for the three months ended March 31, 2024, and 2023, respectively, in expenses to Paragon, which are included in general and administrative expense in the unaudited condensed consolidated statements of operations and comprehensive loss. As of March 31, 2024, and December 31, 2023, there were no amounts due to or due from related parties included in the unaudited condensed consolidated balance sheets.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SUBSEQUENT EVENTS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April 11, 2024, the Company announced that it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an Investigational New Drug application currently anticipated in the second half 2025. Under the Sublicense, the Company paid Bioprojet an upfront license fee of $25,500 and will also be obligated to pay up to $127,500 upon achievement of development and regulatory milestones and up to $240,000 upon achievement of sales-based milestones, as well as royalty rates in the mid-teens on any sales of product using the Licensed Compound in the Licensed Territories.</w:t>
      </w:r>
    </w:p>
    <w:p>
      <w:pPr>
        <w:spacing w:after="0" w:line="18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April 30, 2024, the Company announced that its subsidiary, Zynerba, acquired all of the issued and outstanding capital stock of Epygenix Therapeutics, Inc., a Wyoming corporation (“Epygenix”), pursuant to the terms of a stock purchase agreement. In connection with the closing of the transaction, Zynerba paid the former stockholders of Epygenix up front consideration of $35,000 (which amount is subject to adjustment following the closing). In addition, Zynerba will also be obligated to pay up to $130,000 upon the achievement of development and regulatory milestones and up to $515,000 upon the achievement of certain sales-based milestones, in each case to Epygenix’s former stockholders. Epygenix has an exclusive license relating to the use of clemizole for the treatment of Dravet Syndrome and Lennox-Gestaut Syndrome.</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80"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40" w:right="43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right="939" w:hanging="315"/>
        <w:spacing w:after="0" w:line="285"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the scope of our license agreements with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w:t>
      </w:r>
      <w:r>
        <w:rPr>
          <w:rFonts w:ascii="Times New Roman" w:cs="Times New Roman" w:eastAsia="Times New Roman" w:hAnsi="Times New Roman"/>
          <w:sz w:val="18"/>
          <w:szCs w:val="18"/>
          <w:color w:val="auto"/>
        </w:rPr>
        <w:t>“</w:t>
      </w:r>
      <w:r>
        <w:rPr>
          <w:rFonts w:ascii="Arial" w:cs="Arial" w:eastAsia="Arial" w:hAnsi="Arial"/>
          <w:sz w:val="18"/>
          <w:szCs w:val="18"/>
          <w:color w:val="auto"/>
        </w:rPr>
        <w:t>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ectPr>
          <w:pgSz w:w="11900" w:h="16838" w:orient="portrait"/>
          <w:cols w:equalWidth="0" w:num="1">
            <w:col w:w="9019"/>
          </w:cols>
          <w:pgMar w:left="1440" w:top="512"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acquire and integrate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3"/>
          <w:szCs w:val="13"/>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80"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0"/>
          <w:szCs w:val="20"/>
          <w:color w:val="auto"/>
          <w:vertAlign w:val="subscript"/>
        </w:rPr>
        <w:t>3</w:t>
      </w:r>
      <w:r>
        <w:rPr>
          <w:rFonts w:ascii="Arial" w:cs="Arial" w:eastAsia="Arial" w:hAnsi="Arial"/>
          <w:sz w:val="18"/>
          <w:szCs w:val="18"/>
          <w:color w:val="auto"/>
        </w:rPr>
        <w:t xml:space="preserve"> receptors and histamine signaling. We are taking a mechanism-based approach to managing the life cycle of pitolisant and identified idiopathic hypersomnia (“IH”), another central disorder of hypersomnolence like narcolepsy, as our next potential new indication for WAKIX, which received orphan drug designation by the FDA in September 2023 and Fast Track Designation in November 2023. In April 2022, we initiated a Phase 3 registrational trial, the INTUNE Study, to evaluate the efficacy and safety of pitolisant in adult patients with IH. We completed enrollment in the INTUNE study in May 2023 and we announced topline data in October 2023. While the primary endpoint did not meet statistical significance, we believe the totality of the data showed favorable numerical trends for pitolisant in the treatment of adult patients with IH and we met with the FDA in March 2024 to discuss the path forward for IH. Following our meeting with the FDA, we plan to submit a supplemental NDA (“sNDA”) for IH in the second half of 2024 based on the totality of the data obtained from the INTUNE study and from other sources. We are focusing our development efforts on other rare neurological disorders in which EDS is a prominent symptom, including Prader-Willi Syndrome (“PWS”) and myotonic dystrophy, otherwise known as dystrophia myotonica (“DM”). Based on the positive signals from the data from our Phase 2 proof-of-concept signal detection clinical trial to evaluate pitolisant for the treatment of EDS and other key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protocol for the Phase 3 TEMPO study in patients with PWS, which we believe will satisfy the requirements for both the registrational trial and one of the two requirements for pediatric exclusivity for pitolisant. In February 2024, the FDA granted Orphan Drug designation to pitolisant for the treatment of PWS. The Phase 3 registrational trial, the TEMPO study, was initiated in March 2024. In June 2021, we initiated a Phase 2 proof-of-concept signal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safety profile was consistent with the established safety profile of pitolisant.</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In January 2023, Bioprojet received a positive opinion from the EMA’s Committee for Medicinal Products for Human Use (“CHMP”) and in March 2023, the EMA granted approval for the marketing authorization of WAKIX for the treatment of narcolepsy in children 6 and older. Based on the data from the positive Phase 3 trial conducted by Bioprojet, we submitted an sNDA for pediatric narcolepsy in December 2023. On February 21, 2024, we announced that the FDA has granted priority review of our pediatric narcolepsy sNDA and has set a Prescription Drug User Fee Act, or target action date, of June 21, 2024.</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remain committed to obtaining pediatric exclusivity for WAKIX. The initiation of the PWS Phase 3 registrational trial, the TEMPO study, and pediatric narcolepsy sNDA are supportive of our efforts in obtaining pediatric exclusivity for WAKIX.</w:t>
      </w:r>
    </w:p>
    <w:p>
      <w:pPr>
        <w:spacing w:after="0" w:line="16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Next Gen 1 (“NG1”) and Next Gen 2 (“NG2”). Both formulations entered clinical studies in the fourth quarter of 2023. We received data from the NG1 pilot bioequivalence study, which supports further development of NG1. We anticipate data from the NG2 pilot pharmacokinetics study in the second half of 2024. These formulations are expected to generate new IP to extend the pitolisant franchise out beyond 2040.</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addition, in October 2023, we completed the acquisition of Zynerba Pharmaceuticals, Inc. (together with its subsidiary, Zynerba Pharmaceutical Pty, Ltd., “Zynerba”), a clinical-stage pharmaceutical company focused on innovative pharmaceutically produced transdermal cannabidiol therapies for orphan neuropsychiatric disorders. Zynerba’s drug candidate is ZYN002, the first and only pharmaceutically-produced synthetic cannabidiol gel, devoid of THC, and formulated as a patent protected, permeation-enhanced gel for transdermal delivery. ZYN002 is currently in a pivotal Phase 3 trial, the RECONNECT study, for the treatment of Fragile X Syndrome (“FXS”). Topline data from this Phase 3 study is anticipated in mid-2025. ZYN002 has patent protection for the treatment of FXS until 2038.</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are conducting a preclinical proof-of-concept study to assess the effect of HBS-102 on hyperphagia, weight gain and other metabolic parameters in a mouse model of PWS. We anticipate data from both studies in the first half of 2024. A 13-week toxicology study is completed and the preliminary results are encouraging.</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(the “Licensed Compound”) to be evaluated for the treatment of narcolepsy and other potential indications (the “Sublicense”). Under the Sublicense, the Company obtained the exclusive right to develop,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manufacture and commercialize the Licensed Compound in the United States and Latin American territories, which are rights that Bioprojet originally licensed from Teijin Pharma, the innovator of the Licensed Compound.</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85"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operations are conducted by our wholly owned subsidiaries, Harmony Biosciences, LLC and Zynerba.</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March 31, 2024, we continued to see growth in the number of unique healthcare professional (“HCP”) prescribers of WAKIX since it became available in November 2019. The average number of patients on WAKIX for the three months ended March 31, 2024, was approximately 6,300. Additionally, as of March 31, 2024,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includes gross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customer segments and/or changes in our estimates.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Cost of product sales includes manufacturing and distribution costs, the cost of API, FDA program fees, royalties due to third parties on net product sales, freight, shipping, handling, storage costs and salaries of employees involved with oversight of production. We expect the cost of product sales to increase as we continue to ramp up production in order to meet future demand for WAKIX and diversify our supply chain for WAKIX.</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shelf life of WAKIX is three years from date of manufacture, with the earliest expiration of current inventory expected to be June 2025. We regularly review our inventory levels and expect write-offs from time to time. We will continue to assess inventory levels in future periods as demand for WAKIX and the rate of inventory turnover evolves. We currently have adequate supply of WAKIX to cover demand into the third quarter of 2025, with additional API on-hand inventory to support at least 36 months beyond this time frame.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DM and the development of ZYN002 in patients with FXS.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assess other product candidates to expand our pipeline. Research and development expenses also include:</w:t>
      </w:r>
    </w:p>
    <w:p>
      <w:pPr>
        <w:spacing w:after="0" w:line="174" w:lineRule="exact"/>
        <w:rPr>
          <w:sz w:val="20"/>
          <w:szCs w:val="20"/>
          <w:color w:val="auto"/>
        </w:rPr>
      </w:pPr>
    </w:p>
    <w:p>
      <w:pPr>
        <w:ind w:left="1040" w:right="51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(“CMOs”);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labelling of clinical supplies;</w:t>
      </w:r>
    </w:p>
    <w:p>
      <w:pPr>
        <w:spacing w:after="0" w:line="224" w:lineRule="exact"/>
        <w:rPr>
          <w:rFonts w:ascii="Times New Roman" w:cs="Times New Roman" w:eastAsia="Times New Roman" w:hAnsi="Times New Roman"/>
          <w:sz w:val="18"/>
          <w:szCs w:val="18"/>
          <w:color w:val="auto"/>
        </w:rPr>
      </w:pPr>
    </w:p>
    <w:p>
      <w:pPr>
        <w:ind w:left="1040" w:right="27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acquired in-process research and development;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6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complete the Phase 3 clinical trial for ZYN002, and advance NG1, NG2, ZYN002 and HBS-102 to develop toward new indications.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40" w:right="11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43"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including our ability to access sleep labs in order to conduct objective sleep testing, that could be impacted by future shelter-in-place orders and needs of the health care system to focus on managing patients affected by COVID-19;</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s consent to pursue additional indications for pitolisant;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and to expand our portfolio with the anticipated growth from potential additional indications.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party to a right-of-use agreement with Paragon Biosciences, LLC (“Paragon”) whereby we have access to and the right to use certain office space leased by Paragon in Chicago, Illinois. For the three months ended March 31, 2024, we paid fees of $0.1 million pursuant to this agreement.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71"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2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5"/>
          </w:tcPr>
          <w:p>
            <w:pPr>
              <w:jc w:val="right"/>
              <w:ind w:right="591"/>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172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154,615</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1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27,484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127,131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98,346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22,189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27,233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25,676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75,098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57,923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52,033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40,423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(4,535)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4,428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51,785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37,780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(13,451)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(8,295)</w:t>
            </w:r>
          </w:p>
        </w:tc>
        <w:tc>
          <w:tcPr>
            <w:tcW w:w="0" w:type="dxa"/>
            <w:vAlign w:val="bottom"/>
          </w:tcPr>
          <w:p>
            <w:pPr>
              <w:spacing w:after="0"/>
              <w:rPr>
                <w:sz w:val="1"/>
                <w:szCs w:val="1"/>
                <w:color w:val="auto"/>
              </w:rPr>
            </w:pPr>
          </w:p>
        </w:tc>
      </w:tr>
      <w:tr>
        <w:trPr>
          <w:trHeight w:val="196"/>
        </w:trPr>
        <w:tc>
          <w:tcPr>
            <w:tcW w:w="508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38,334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Net product revenue increased by $ 35.5 million, or 29.8%, for the three months ended March 31, 2024 compared to the same period in 2023. The increase was primarily due to a 28.3% increase in the number of units shipped, and the impact of a 7% price increase partially offset by higher rebates to commercial entities, which resulted in a decrease to net product revenue of approximately 4%. The price increase occurred in January 2024.</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Cost of product sales increased by $6.7 million, or 32.3%, for the three months ended March 31, 2024, compared to the same period in 2023. Cost of product sales as a percentage of net product revenue was 17.8% for the three months ended March 31, 2024, compared to 17.4% for the three months ended March 31, 2023. The increase in cost of product sales in the period was due to higher sales of WAKIX.</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our research and development expenses: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2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3"/>
        </w:trPr>
        <w:tc>
          <w:tcPr>
            <w:tcW w:w="4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Change</w:t>
            </w:r>
          </w:p>
        </w:tc>
      </w:tr>
      <w:tr>
        <w:trPr>
          <w:trHeight w:val="183"/>
        </w:trPr>
        <w:tc>
          <w:tcPr>
            <w:tcW w:w="4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3"/>
        </w:trPr>
        <w:tc>
          <w:tcPr>
            <w:tcW w:w="4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Pitolisant</w:t>
            </w:r>
          </w:p>
        </w:tc>
        <w:tc>
          <w:tcPr>
            <w:tcW w:w="940" w:type="dxa"/>
            <w:vAlign w:val="bottom"/>
            <w:shd w:val="clear" w:color="auto" w:fill="CCEEFF"/>
          </w:tcPr>
          <w:p>
            <w:pPr>
              <w:jc w:val="right"/>
              <w:ind w:right="75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9,110</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2,923</w:t>
            </w:r>
          </w:p>
        </w:tc>
      </w:tr>
      <w:tr>
        <w:trPr>
          <w:trHeight w:val="202"/>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ZYN002</w:t>
            </w:r>
          </w:p>
        </w:tc>
        <w:tc>
          <w:tcPr>
            <w:tcW w:w="9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3,879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3,879</w:t>
            </w:r>
          </w:p>
        </w:tc>
      </w:tr>
      <w:tr>
        <w:trPr>
          <w:trHeight w:val="203"/>
        </w:trPr>
        <w:tc>
          <w:tcPr>
            <w:tcW w:w="4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research and development</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IPR&amp;D</w:t>
            </w:r>
          </w:p>
        </w:tc>
        <w:tc>
          <w:tcPr>
            <w:tcW w:w="9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r>
      <w:tr>
        <w:trPr>
          <w:trHeight w:val="203"/>
        </w:trPr>
        <w:tc>
          <w:tcPr>
            <w:tcW w:w="4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expenses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1,781</w:t>
            </w:r>
          </w:p>
        </w:tc>
      </w:tr>
      <w:tr>
        <w:trPr>
          <w:trHeight w:val="203"/>
        </w:trPr>
        <w:tc>
          <w:tcPr>
            <w:tcW w:w="41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976</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196"/>
        </w:trPr>
        <w:tc>
          <w:tcPr>
            <w:tcW w:w="4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22,189</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13,289</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8,900</w:t>
            </w:r>
          </w:p>
        </w:tc>
      </w:tr>
      <w:tr>
        <w:trPr>
          <w:trHeight w:val="20"/>
        </w:trPr>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Research and development expenses increased by $8.9 million, or 67.0%, for the three months ended March 31, 2024, compared to the same period in 2023. The increase for the three months ended March 31, 2024 was primarily driven by $3.9 million in research and development expenses for ZYN002, which did not have any expenses in the prior year, a $2.9 million increase in clinical development and regulatory work associated with pitolisant, driven by increases for PWS and DM indications, a $1.8 million increase in personnel costs associated with higher headcount and a $ 0.4 million increase in stock compensation associated with new awards, partially offset by a $0.8 million IPR&amp;D charge related to preclinical milestones achieved for HBS-102 during the three months ended March 31, 2023.</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Sales and marketing expenses increased by $4.7 million, or 20.6%, for the three months ended March 31, 2024, compared to the same period in 2023. The increase for the three months ended March 31, 2024, was primarily due to a $2.7 million increase in patient engagement and marketing activities, a $0.9 million increase in personnel costs, and a $0.9 million increase in stock compensation associated with new awards. The increase in patient engagement and marketing activities for the period was driven by our continued growth of WAKIX and the increase in personnel costs for the period was related to increased headcount.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General and administrative expenses increased by $3.6 million, or 16.4%, for the three months ended March 31, 2024, compared to the same period in 2023. The increase in the three months ended March 31, 2024, was primarily due to a $2.6 million increase in stock compensation associated with new awards and a $0.8 million increase in legal fees, primarily associated with patent lawsuits.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decreased by $1.2 million, or 20.9%, for the three months ended March 31, 2024, compared to the same period in 2023. The decrease for the three months ended March 31, 2024, was primarily due to lower interest rates as a result of refinancing into the TLA Credit Agreement (defined below).</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income increased by $1.3 million, or 43.5%, for the three months ended March 31, 2024, compared to the same period in 2023. The increase for the three months ended March 31, 2024, was primarily a result of having higher invested balances, and higher investment yields on those balances, compared to the prior year period.</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Income tax expense was $13.5 million, representing a 26.0% effective tax rate, for the three months ended March 31, 2024, compared to $8.3 million, representing a 22.0% effective tax rate, for the three months ended March 31, 2023. The increase in our effective tax rate was due to a 2.8% tax benefit from the exercise of stock options in the prior year period and a 1.9% benefit from estimated tax credits. The effective tax rate of 26.0% for the three months ended March 31, 2024, included 5.1% for state income taxes, partially offset by a 1.0% benefit from credits.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March 31, 2024, we had cash, cash equivalents, and investments of $453.6 million, outstanding debt of $192.5 million and an accumulated deficit of $104.9 million.</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believe that our existing cash, cash equivalents and investments on hand as of March 31, 2024, will enable us to meet our operational liquidity needs and fund our planned investing activities for the next 12 months. We have based our liquidity and cash flow projections on assumptions that may prove to be incorrect, and we could use our capital resources sooner than we expect.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July 2023, we entered into a Credit Agreement (the “TLA Credit Agreement”) with JPMorgan Chase Bank, N.A., as “Administrative Agent”, and certain lenders. The TLA Credit Agreement provides for a five-year senior secured term loan (the “TLA Term Loan”) in an aggregate principal amount of $185.0 million.</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September 2023, we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 million.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$3.8 million quarterly principal payments, which commence on December 31, 2023, increasing to $5.0 million quarterly principal payments beginning on December 31, 2025, with a $115.0 million payment due on the maturity date of July 26, 2028.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March 31, 2024.</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the Company’s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months ended March 31, 2024, the Company repurchased and cancelled no shares of common under the October 2023 Repurchase Program. As of March 31, 2024, the remaining amount of common stock authorized for repurchases was $150.0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Zynerba Acquisition</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October 2023, we completed a tender offer (the “Tender Offer”) to acquire all of the outstanding shares of common stock of Zynerba (“Zynerba Common Stock”).</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Under the terms of the Tender Offer, we paid (i) $1.1059 per share of Zynerba Common Stock (the “Common Cash Amount”), the aggregate amount of which was $60,000 and was paid at closing,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consideration we paid to acquire the Zynerba Common Stock upon completion of the Tender Offer was $60 million, exclusive of transaction related fees. We financed the acquisition with cash on hand.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Asset Purchase Agreement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potential first-in-class molecule with a novel mechanism of action. Under the terms of the APA, we acquired full development and commercialization rights globally, with the exception of Greater China, for $3.5 million. Additionally, there are payments due upon the achievement of certain milestones below, including $1.0 million for additional preclinical milestones (see “Recent Milestone Payments”), $19.0 million for development milestones, $44.0 million for regulatory milestones and $110.0 million for sales milestones.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License Agreements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an Investigational New Drug application currently anticipated in the second half 2025. Under the Sublicense, the Company will pay Bioprojet an upfront license fee of $25.5 million and will also be obligated to pay up to $127.5 million upon achievement of development and regulatory milestones and up to $240.0 million upon achievement of sales-based milestones, as well as royalty rates in the mid-teens on potential sales in the Licensed Territories.</w:t>
      </w:r>
    </w:p>
    <w:p>
      <w:pPr>
        <w:spacing w:after="0" w:line="388"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Milestone Payments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March 2023, we achieved a preclinical milestone, which triggered a $0.8 million payment under the provisions of the APA, which was paid in April 2023.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8"/>
          <w:szCs w:val="18"/>
          <w:color w:val="auto"/>
        </w:rPr>
        <w:t>The following table sets forth a summary of our cash flows for the three months ended March 31, 2024, and 2023:</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3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gridSpan w:val="4"/>
          </w:tcPr>
          <w:p>
            <w:pPr>
              <w:jc w:val="right"/>
              <w:ind w:right="55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9"/>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31,141</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(6,186)</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(3,634)</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operating activities for the three months ended March 31, 2024, primarily consisted of net income of $38.3 million adjusted for non-cash items of $10.4 million related to stock-based compensation expense, $6.1 million related to intangible amortization and depreciation, and $3.5 million related to deferred tax assets. Net working capital excluding cash decreased by $20.3 million.</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operating activities of $42.6 million for the three months ended March 31, 2023, consisted of net income of $ 29.5 million adjusted for non-cash items of $3.4 million related to deferred tax assets, $6.1 million related to intangible amortization and depreciation and $ 6.6 million related to stock-based compensation expense. Net working capital excluding cash increased by $3.7 million.</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for the three months ended March 31, 2024, was $6.2 million, which was primarily attributable to $25.1 million in purchases of debt securities, partially offset by $18.9 million from maturities of investments.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for the three months ended March 31, 2023, was $1.8 million, which was primarily attributable to $47.8 million in purchases of debt securities, partially offset by $46.0 million from sales and maturities of investments.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Net cash used in financing activities for the three months ended March 31, 2024, was $3.6 million, which primarily consisted of $ 3.7 million in principal payments associated with the TLA Credit Agreement, partially offset by $0.1 million in proceeds from the exercise of stock options.</w:t>
      </w:r>
    </w:p>
    <w:p>
      <w:pPr>
        <w:spacing w:after="0" w:line="169"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Net cash provided by financing activities for the three months ended March 31, 2023, was $3.4 million, which primarily consisted of $3.9 million in proceeds from the exercise of stock options partially offset by a $0.5 million principal payment associated with the Blackstone Credit Agreement.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and the measurement of compensation expense pursuant to stock-based awards.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$384.7 million of investments in money market funds, U.S. treasury notes, corporate bonds and municipal obligations as of March 31, 2024, an immediate 10% change in market interest rates would not have a material impact on the fair market value of our investment portfolio or on our financial position or results of operations.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March 31, 2024, we had $192.5 million in borrowings outstanding.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$192.5 million of principal outstanding as of March 31, 2024, an immediate 10% change in the SOFR would not have a material impact on our debt-related obligations, financial position or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each of the three months ended March 31, 2024, and 2023.</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March 31, 2024. Based on that evaluation, our principal executive officer and principal financial officer concluded that, as of March 31, 2024,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2024, that have materially affected, or are reasonably likely to materially affect, our internal control over financial reporting.</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ANDA Litigation</w:t>
      </w:r>
    </w:p>
    <w:p>
      <w:pPr>
        <w:spacing w:after="0" w:line="198"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 xml:space="preserve">On September 27, 2023, we and our licensor, Bioprojet, received notice from Lupin Limited (“Lupin”)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“Lupin Notice Letter”) that Lupin has submitted ANDA No. 218846 (the “Lupin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U.S. Patent Nos. 8,486,947 (“’947 patent”) and 8,207,197 (“’197 patent”). On September 27, 2023, we and Bioprojet received notice from Novugen Pharma Sdn. Bhd. (“Novugen”)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“Novugen Notice Letter”) that Novugen has submitted ANDA No. 218834 (the “Novugen ANDA”) to the FDA and is seeking regulatory</w:t>
      </w:r>
    </w:p>
    <w:p>
      <w:pPr>
        <w:sectPr>
          <w:pgSz w:w="11900" w:h="16838" w:orient="portrait"/>
          <w:cols w:equalWidth="0" w:num="1">
            <w:col w:w="9019"/>
          </w:cols>
          <w:pgMar w:left="1440" w:top="512"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8"/>
          <w:szCs w:val="18"/>
          <w:color w:val="auto"/>
        </w:rPr>
        <w:t>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’947 patent and ’197 patent. The ’947 patent and the ‘197 patent are listed with respect to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in the FDA’s Orange Book and will expire in September 2029 and March 2030, respectively. The Lupin Notice Letter and the Novugen Notice Letter assert that their generic product will not infringe the ’947 patent and the ‘197 patent and/or that the ’947 patent and the ‘197 patent are invalid or unenforceable. On November 9, 2023, we, Bioprojet and Bioprojet’s wholly owned subsidiary, Bioprojet Pharma SAS (“Bioprojet Pharma”), filed a complaint for patent infringement of the ’947 patent and the ‘197 patent against Lupin, Novugen and certain of their affiliates and agents in the United States District Court for the District of Delaware in response to the filing of their respective ANDAs with the FDA.</w:t>
      </w:r>
    </w:p>
    <w:p>
      <w:pPr>
        <w:spacing w:after="0" w:line="185" w:lineRule="exact"/>
        <w:rPr>
          <w:sz w:val="20"/>
          <w:szCs w:val="20"/>
          <w:color w:val="auto"/>
        </w:rPr>
      </w:pPr>
    </w:p>
    <w:p>
      <w:pPr>
        <w:jc w:val="both"/>
        <w:ind w:left="60" w:right="59"/>
        <w:spacing w:after="0" w:line="231" w:lineRule="auto"/>
        <w:rPr>
          <w:sz w:val="20"/>
          <w:szCs w:val="20"/>
          <w:color w:val="auto"/>
        </w:rPr>
      </w:pPr>
      <w:r>
        <w:rPr>
          <w:rFonts w:ascii="Arial" w:cs="Arial" w:eastAsia="Arial" w:hAnsi="Arial"/>
          <w:sz w:val="18"/>
          <w:szCs w:val="18"/>
          <w:color w:val="auto"/>
        </w:rPr>
        <w:t xml:space="preserve">On October 12, 2023, we and Bioprojet received notice from Novitium Pharma LLC (“Novitium”),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“Novitium Notice Letter”), that Novitium has submitted ANDA No. 218495 (the “Novitium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U.S. Patent No. 8,354,430 (the “’430 patent”), which is also listed with respect to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in the FDA’s Orange Book and will expire in February 2026, ’947 patent, and ’197 patent. On October 12, 2023, we and Bioprojet received notice from Zenara Pharma Pvt. Ltd. (“Zenara”),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“Zenara Notice Letter”), that Zenara has submitted ANDA No. 218796 (the “Zenara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’430 patent, ’947 patent and the ’197 patent. On October 14, 2023, we and Bioprojet received notice from AET Pharma US, Inc. (“AET”),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“AET Notice Letter”), that AET has submitted ANDA No. 218892 (the “AET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’947 patent and the ’197 patent. On October 16, 2023, we and Bioprojet received notice from Annora Pharma Private Limited (“Annora”),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“Annora Notice Letter”), that Annora has submitted ANDA No. 218832 (the “Annora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’430 patent, the ’947 patent and the ’197 patent. AET’s Notice Letter asserts that AET’s generic product will not infringe the ’947 patent and the ‘197 patent and/or that ’947 patent and the ‘197 patent are invalid or unenforceable. The Annora Notice Letter asserts that its generic product will not infringe the ‘430 patent, ’947 patent and the ‘197 patent and/or that the ‘430 patent, ’947 patent and the ‘197 patent are invalid or unenforceable. The Novitium Notice Letter asserts that its generic product will not infringe the ‘430 patent, ’947 patent and the ‘197 patent and/or that the ‘430 patent, ’947 patent and the ‘197 patent are invalid or unenforceable. The Zenara Notice Letter asserts that its generic product will not infringe the ‘430 patent, ’947 patent and the ‘197 patent and/or that the ‘430 patent, ’947 patent and the ‘197 patent are invalid or unenforceable. On November 21, 2023, we, Bioprojet and Bioprojet Pharma filed a complaint for patent infringement of the ’947 patent and the ‘197 patent against AET, Annora, Novitium and Zenara and certain of their affiliates and agents and for patent infringement of the ’430 patent against Annora, Novitium and Zenara and certain of their affiliates and agents in the United States District Court for the District of Delaware in response to their filing of their respective ANDAs with the FDA.</w:t>
      </w:r>
    </w:p>
    <w:p>
      <w:pPr>
        <w:spacing w:after="0" w:line="200"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In October 2023, MSN Pharmaceuticals Inc. (“MSN Pharma”) sent correspondence to us and Bioprojet stating that MSN Pharma has submitted ANDA No. 218873 (the “MSN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20"/>
          <w:szCs w:val="20"/>
          <w:color w:val="auto"/>
          <w:vertAlign w:val="subscript"/>
        </w:rPr>
        <w:t>.</w:t>
      </w:r>
      <w:r>
        <w:rPr>
          <w:rFonts w:ascii="Arial" w:cs="Arial" w:eastAsia="Arial" w:hAnsi="Arial"/>
          <w:sz w:val="18"/>
          <w:szCs w:val="18"/>
          <w:color w:val="auto"/>
        </w:rPr>
        <w:t xml:space="preserve"> On December 8, 2023, MSN Laboratories Private Limited (“MSN”) filed a declaratory judgment action in the United States District Court for the Eastern District of Virginia against Bioprojet claiming that the ‘430 patent, the ’947 patent and the ‘197 patent will not be infringed by MSN’s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and that the ‘947 patent is invalid. On December 11, 2023, we, Bioprojet and Bioprojet Pharma filed a complaint in the United States District Court for the District of Delaware for patent infringement of the ‘430 patent, the ’947 patent and the‘197 patent against MSN and MSN Pharma. On January 12, 2024, the declaratory judgment action was transferred from the United States District Court for the Eastern District of Virginia to the United States District Court for the District of Delaware.</w:t>
      </w:r>
    </w:p>
    <w:p>
      <w:pPr>
        <w:spacing w:after="0" w:line="18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On April 15, 2024, the United States District Court for the District of Delaware issued a scheduling order consolidating the cases described above for all purposes up to and including trial (the “Scheduling Order”). The Scheduling Order set March 27, 2025 as the date for the hearing on claim construction and scheduled a four-day bench trial beginning on February 17, 2026.</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2023,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Rule 10b5-1 Trading Arrangements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On February 23, 2024, Jeffrey Dierks, Chief Commercial Officer of the Company, adopted a Rule 10b5-1 trading arrangement that is intended to satisfy the affirmative defense of Rule 10b5-1(c) for the sale of up to 35,708 shares of the Company’s common stock related to the exercise of options beginning on July 1, 2024 and until December 31, 2024.</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three months ended March 31, 2024, no director or officer of the Company terminated a “Rule 10b5-1 trading arrangement” or “non-Rule 10b5-1 trading arrangement,” as each term is defined in Item 408(a) of Regulation S-K.</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Epygenix Acquisition</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On April 30, 2024, the Company announced that its subsidiary Zynerba Pharmaceuticals, Inc. (“Zynerba”) acquired all of the issued and outstanding capital stock of Epygenix Therapeutics, Inc., a Wyoming corporation (“Epygenix”), pursuant to the terms of a stock purchase agreement. In connection with the closing of the transaction, Zynerba paid the former stockholders of Epygenix up front consideration of $35 million (which amount is subject to adjustment following the closing). In addition, Zynerba will also be obligated to pay up to $130 million upon the achievement of development and regulatory milestones and up to $515 million upon the achievement of certain sales-based milestones, in each case to Epygenix’s former stockholders. Epygenix has an exclusive license relating to the use of clemizole for the treatment of Dravet Syndrome and Lennox-Gestaut Syndrome.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6"/>
        </w:trPr>
        <w:tc>
          <w:tcPr>
            <w:tcW w:w="98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20" w:type="dxa"/>
            <w:vAlign w:val="bottom"/>
            <w:gridSpan w:val="19"/>
          </w:tcPr>
          <w:p>
            <w:pPr>
              <w:ind w:left="480"/>
              <w:spacing w:after="0" w:line="155"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88"/>
              <w:spacing w:after="0" w:line="155"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jc w:val="center"/>
              <w:ind w:left="68"/>
              <w:spacing w:after="0" w:line="15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98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auto"/>
            </w:tcBorders>
            <w:gridSpan w:val="19"/>
          </w:tcPr>
          <w:p>
            <w:pPr>
              <w:spacing w:after="0" w:line="142" w:lineRule="exact"/>
              <w:rPr>
                <w:rFonts w:ascii="Arial" w:cs="Arial" w:eastAsia="Arial" w:hAnsi="Arial"/>
                <w:sz w:val="14"/>
                <w:szCs w:val="14"/>
                <w:color w:val="0000EE"/>
              </w:rPr>
            </w:pPr>
            <w:hyperlink r:id="rId51">
              <w:r>
                <w:rPr>
                  <w:rFonts w:ascii="Arial" w:cs="Arial" w:eastAsia="Arial" w:hAnsi="Arial"/>
                  <w:sz w:val="14"/>
                  <w:szCs w:val="14"/>
                  <w:color w:val="0000EE"/>
                </w:rPr>
                <w:t>Agreement and Plan of Merger, dated August 14, 2023, by and among</w:t>
              </w:r>
            </w:hyperlink>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ind w:left="88"/>
              <w:spacing w:after="0" w:line="142" w:lineRule="exact"/>
              <w:rPr>
                <w:sz w:val="20"/>
                <w:szCs w:val="20"/>
                <w:color w:val="auto"/>
              </w:rPr>
            </w:pPr>
            <w:r>
              <w:rPr>
                <w:rFonts w:ascii="Arial" w:cs="Arial" w:eastAsia="Arial" w:hAnsi="Arial"/>
                <w:sz w:val="14"/>
                <w:szCs w:val="14"/>
                <w:color w:val="auto"/>
              </w:rPr>
              <w:t>8-K/A</w:t>
            </w:r>
          </w:p>
        </w:tc>
        <w:tc>
          <w:tcPr>
            <w:tcW w:w="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September 14,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Borders>
              <w:top w:val="single" w:sz="8" w:color="0000EE"/>
            </w:tcBorders>
            <w:gridSpan w:val="17"/>
          </w:tcPr>
          <w:p>
            <w:pPr>
              <w:spacing w:after="0" w:line="142" w:lineRule="exact"/>
              <w:rPr>
                <w:rFonts w:ascii="Arial" w:cs="Arial" w:eastAsia="Arial" w:hAnsi="Arial"/>
                <w:sz w:val="14"/>
                <w:szCs w:val="14"/>
                <w:color w:val="0000EE"/>
              </w:rPr>
            </w:pPr>
            <w:hyperlink r:id="rId51">
              <w:r>
                <w:rPr>
                  <w:rFonts w:ascii="Arial" w:cs="Arial" w:eastAsia="Arial" w:hAnsi="Arial"/>
                  <w:sz w:val="14"/>
                  <w:szCs w:val="14"/>
                  <w:color w:val="0000EE"/>
                </w:rPr>
                <w:t>Harmony Biosciences Holdings, Inc., Xylophone Acquisition Corp.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228"/>
              <w:spacing w:after="0" w:line="142" w:lineRule="exact"/>
              <w:rPr>
                <w:sz w:val="20"/>
                <w:szCs w:val="20"/>
                <w:color w:val="auto"/>
              </w:rPr>
            </w:pPr>
            <w:r>
              <w:rPr>
                <w:rFonts w:ascii="Arial" w:cs="Arial" w:eastAsia="Arial" w:hAnsi="Arial"/>
                <w:sz w:val="14"/>
                <w:szCs w:val="14"/>
                <w:color w:val="auto"/>
              </w:rPr>
              <w:t>2023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480" w:type="dxa"/>
            <w:vAlign w:val="bottom"/>
            <w:tcBorders>
              <w:top w:val="single" w:sz="8" w:color="0000EE"/>
            </w:tcBorders>
            <w:gridSpan w:val="15"/>
          </w:tcPr>
          <w:p>
            <w:pPr>
              <w:spacing w:after="0" w:line="142" w:lineRule="exact"/>
              <w:rPr>
                <w:rFonts w:ascii="Arial" w:cs="Arial" w:eastAsia="Arial" w:hAnsi="Arial"/>
                <w:sz w:val="14"/>
                <w:szCs w:val="14"/>
                <w:color w:val="0000EE"/>
              </w:rPr>
            </w:pPr>
            <w:hyperlink r:id="rId51">
              <w:r>
                <w:rPr>
                  <w:rFonts w:ascii="Arial" w:cs="Arial" w:eastAsia="Arial" w:hAnsi="Arial"/>
                  <w:sz w:val="14"/>
                  <w:szCs w:val="14"/>
                  <w:color w:val="0000EE"/>
                </w:rPr>
                <w:t>Zynerba Pharmaceuticals, Inc.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1"/>
          </w:tcPr>
          <w:p>
            <w:pPr>
              <w:spacing w:after="0" w:line="142" w:lineRule="exact"/>
              <w:rPr>
                <w:rFonts w:ascii="Arial" w:cs="Arial" w:eastAsia="Arial" w:hAnsi="Arial"/>
                <w:sz w:val="14"/>
                <w:szCs w:val="14"/>
                <w:color w:val="0000EE"/>
              </w:rPr>
            </w:pPr>
            <w:hyperlink r:id="rId52">
              <w:r>
                <w:rPr>
                  <w:rFonts w:ascii="Arial" w:cs="Arial" w:eastAsia="Arial" w:hAnsi="Arial"/>
                  <w:sz w:val="14"/>
                  <w:szCs w:val="14"/>
                  <w:color w:val="0000EE"/>
                </w:rPr>
                <w:t>Amended and Restated Certificate of Incorporation of Harmony</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4020" w:type="dxa"/>
            <w:vAlign w:val="bottom"/>
            <w:tcBorders>
              <w:top w:val="single" w:sz="8" w:color="0000EE"/>
            </w:tcBorders>
            <w:gridSpan w:val="9"/>
          </w:tcPr>
          <w:p>
            <w:pPr>
              <w:spacing w:after="0" w:line="142" w:lineRule="exact"/>
              <w:rPr>
                <w:rFonts w:ascii="Arial" w:cs="Arial" w:eastAsia="Arial" w:hAnsi="Arial"/>
                <w:sz w:val="14"/>
                <w:szCs w:val="14"/>
                <w:color w:val="0000EE"/>
              </w:rPr>
            </w:pPr>
            <w:hyperlink r:id="rId52">
              <w:r>
                <w:rPr>
                  <w:rFonts w:ascii="Arial" w:cs="Arial" w:eastAsia="Arial" w:hAnsi="Arial"/>
                  <w:sz w:val="14"/>
                  <w:szCs w:val="14"/>
                  <w:color w:val="0000EE"/>
                </w:rPr>
                <w:t>Biosciences Holdings, Inc.</w:t>
              </w:r>
            </w:hyperlink>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top w:val="single" w:sz="8" w:color="0000EE"/>
              <w:bottom w:val="single" w:sz="8" w:color="0000EE"/>
            </w:tcBorders>
            <w:gridSpan w:val="3"/>
          </w:tcPr>
          <w:p>
            <w:pPr>
              <w:spacing w:after="0" w:line="142" w:lineRule="exact"/>
              <w:rPr>
                <w:rFonts w:ascii="Arial" w:cs="Arial" w:eastAsia="Arial" w:hAnsi="Arial"/>
                <w:sz w:val="14"/>
                <w:szCs w:val="14"/>
                <w:color w:val="0000EE"/>
              </w:rPr>
            </w:pPr>
            <w:hyperlink r:id="rId53">
              <w:r>
                <w:rPr>
                  <w:rFonts w:ascii="Arial" w:cs="Arial" w:eastAsia="Arial" w:hAnsi="Arial"/>
                  <w:sz w:val="14"/>
                  <w:szCs w:val="14"/>
                  <w:color w:val="0000EE"/>
                </w:rPr>
                <w:t>Amended and Restated</w:t>
              </w:r>
            </w:hyperlink>
          </w:p>
        </w:tc>
        <w:tc>
          <w:tcPr>
            <w:tcW w:w="380" w:type="dxa"/>
            <w:vAlign w:val="bottom"/>
            <w:tcBorders>
              <w:bottom w:val="single" w:sz="8" w:color="0000EE"/>
            </w:tcBorders>
            <w:gridSpan w:val="4"/>
          </w:tcPr>
          <w:p>
            <w:pPr>
              <w:spacing w:after="0" w:line="142" w:lineRule="exact"/>
              <w:rPr>
                <w:rFonts w:ascii="Arial" w:cs="Arial" w:eastAsia="Arial" w:hAnsi="Arial"/>
                <w:sz w:val="14"/>
                <w:szCs w:val="14"/>
                <w:color w:val="0000EE"/>
                <w:w w:val="74"/>
              </w:rPr>
            </w:pPr>
            <w:hyperlink r:id="rId53">
              <w:r>
                <w:rPr>
                  <w:rFonts w:ascii="Arial" w:cs="Arial" w:eastAsia="Arial" w:hAnsi="Arial"/>
                  <w:sz w:val="14"/>
                  <w:szCs w:val="14"/>
                  <w:color w:val="0000EE"/>
                  <w:w w:val="74"/>
                </w:rPr>
                <w:t>Bylaws.</w:t>
              </w:r>
            </w:hyperlink>
          </w:p>
        </w:tc>
        <w:tc>
          <w:tcPr>
            <w:tcW w:w="2740" w:type="dxa"/>
            <w:vAlign w:val="bottom"/>
            <w:gridSpan w:val="14"/>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4800" w:type="dxa"/>
            <w:vAlign w:val="bottom"/>
            <w:gridSpan w:val="21"/>
          </w:tcPr>
          <w:p>
            <w:pPr>
              <w:spacing w:after="0" w:line="142" w:lineRule="exact"/>
              <w:rPr>
                <w:sz w:val="20"/>
                <w:szCs w:val="20"/>
                <w:color w:val="auto"/>
              </w:rPr>
            </w:pPr>
            <w:r>
              <w:rPr>
                <w:rFonts w:ascii="Arial" w:cs="Arial" w:eastAsia="Arial" w:hAnsi="Arial"/>
                <w:sz w:val="14"/>
                <w:szCs w:val="14"/>
                <w:color w:val="0000EE"/>
              </w:rPr>
              <w:t>Amendment No. 1 to License and Commercialization Agreement, dated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Borders>
              <w:top w:val="single" w:sz="8" w:color="0000EE"/>
            </w:tcBorders>
            <w:gridSpan w:val="19"/>
          </w:tcPr>
          <w:p>
            <w:pPr>
              <w:spacing w:after="0" w:line="142" w:lineRule="exact"/>
              <w:rPr>
                <w:sz w:val="20"/>
                <w:szCs w:val="20"/>
                <w:color w:val="auto"/>
              </w:rPr>
            </w:pPr>
            <w:r>
              <w:rPr>
                <w:rFonts w:ascii="Arial" w:cs="Arial" w:eastAsia="Arial" w:hAnsi="Arial"/>
                <w:sz w:val="14"/>
                <w:szCs w:val="14"/>
                <w:color w:val="0000EE"/>
              </w:rPr>
              <w:t xml:space="preserve">July 31, 2022, by and between </w:t>
            </w:r>
            <w:r>
              <w:rPr>
                <w:rFonts w:ascii="Arial" w:cs="Arial" w:eastAsia="Arial" w:hAnsi="Arial"/>
                <w:sz w:val="14"/>
                <w:szCs w:val="14"/>
                <w:color w:val="0000EE"/>
                <w:highlight w:val="white"/>
              </w:rPr>
              <w:t>Bioprojet Société Civile de Recherche</w:t>
            </w: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5"/>
          </w:tcPr>
          <w:p>
            <w:pPr>
              <w:spacing w:after="0" w:line="142" w:lineRule="exact"/>
              <w:rPr>
                <w:sz w:val="20"/>
                <w:szCs w:val="20"/>
                <w:color w:val="auto"/>
              </w:rPr>
            </w:pPr>
            <w:r>
              <w:rPr>
                <w:rFonts w:ascii="Arial" w:cs="Arial" w:eastAsia="Arial" w:hAnsi="Arial"/>
                <w:sz w:val="14"/>
                <w:szCs w:val="14"/>
                <w:color w:val="0000EE"/>
                <w:w w:val="98"/>
              </w:rPr>
              <w:t>and Harmony Biosciences, LLC.</w:t>
            </w:r>
          </w:p>
        </w:tc>
        <w:tc>
          <w:tcPr>
            <w:tcW w:w="20" w:type="dxa"/>
            <w:vAlign w:val="bottom"/>
            <w:tcBorders>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178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gridSpan w:val="2"/>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1"/>
          </w:tcPr>
          <w:p>
            <w:pPr>
              <w:spacing w:after="0" w:line="142" w:lineRule="exact"/>
              <w:rPr>
                <w:sz w:val="20"/>
                <w:szCs w:val="20"/>
                <w:color w:val="auto"/>
              </w:rPr>
            </w:pPr>
            <w:r>
              <w:rPr>
                <w:rFonts w:ascii="Arial" w:cs="Arial" w:eastAsia="Arial" w:hAnsi="Arial"/>
                <w:sz w:val="14"/>
                <w:szCs w:val="14"/>
                <w:color w:val="0000EE"/>
              </w:rPr>
              <w:t>Amendment No. 2 to License and Commercialization Agreement, dated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Borders>
              <w:top w:val="single" w:sz="8" w:color="0000EE"/>
            </w:tcBorders>
            <w:gridSpan w:val="19"/>
          </w:tcPr>
          <w:p>
            <w:pPr>
              <w:spacing w:after="0" w:line="142" w:lineRule="exact"/>
              <w:rPr>
                <w:sz w:val="20"/>
                <w:szCs w:val="20"/>
                <w:color w:val="auto"/>
              </w:rPr>
            </w:pPr>
            <w:r>
              <w:rPr>
                <w:rFonts w:ascii="Arial" w:cs="Arial" w:eastAsia="Arial" w:hAnsi="Arial"/>
                <w:sz w:val="14"/>
                <w:szCs w:val="14"/>
                <w:color w:val="0000EE"/>
              </w:rPr>
              <w:t xml:space="preserve">July 28, 2017, by and between </w:t>
            </w:r>
            <w:r>
              <w:rPr>
                <w:rFonts w:ascii="Arial" w:cs="Arial" w:eastAsia="Arial" w:hAnsi="Arial"/>
                <w:sz w:val="14"/>
                <w:szCs w:val="14"/>
                <w:color w:val="0000EE"/>
                <w:highlight w:val="white"/>
              </w:rPr>
              <w:t>Bioprojet Société Civile de Recherche</w:t>
            </w: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2000" w:type="dxa"/>
            <w:vAlign w:val="bottom"/>
            <w:tcBorders>
              <w:top w:val="single" w:sz="8" w:color="0000EE"/>
            </w:tcBorders>
            <w:gridSpan w:val="5"/>
          </w:tcPr>
          <w:p>
            <w:pPr>
              <w:spacing w:after="0" w:line="142" w:lineRule="exact"/>
              <w:rPr>
                <w:sz w:val="20"/>
                <w:szCs w:val="20"/>
                <w:color w:val="auto"/>
              </w:rPr>
            </w:pPr>
            <w:r>
              <w:rPr>
                <w:rFonts w:ascii="Arial" w:cs="Arial" w:eastAsia="Arial" w:hAnsi="Arial"/>
                <w:sz w:val="14"/>
                <w:szCs w:val="14"/>
                <w:color w:val="0000EE"/>
                <w:w w:val="98"/>
              </w:rPr>
              <w:t>and Harmony Biosciences, LLC.</w:t>
            </w:r>
          </w:p>
        </w:tc>
        <w:tc>
          <w:tcPr>
            <w:tcW w:w="20" w:type="dxa"/>
            <w:vAlign w:val="bottom"/>
          </w:tcPr>
          <w:p>
            <w:pPr>
              <w:spacing w:after="0"/>
              <w:rPr>
                <w:sz w:val="12"/>
                <w:szCs w:val="12"/>
                <w:color w:val="auto"/>
              </w:rPr>
            </w:pPr>
          </w:p>
        </w:tc>
        <w:tc>
          <w:tcPr>
            <w:tcW w:w="1820" w:type="dxa"/>
            <w:vAlign w:val="bottom"/>
            <w:tcBorders>
              <w:top w:val="single" w:sz="8" w:color="0000EE"/>
            </w:tcBorders>
            <w:gridSpan w:val="2"/>
          </w:tcPr>
          <w:p>
            <w:pPr>
              <w:spacing w:after="0"/>
              <w:rPr>
                <w:sz w:val="12"/>
                <w:szCs w:val="12"/>
                <w:color w:val="auto"/>
              </w:rPr>
            </w:pPr>
          </w:p>
        </w:tc>
        <w:tc>
          <w:tcPr>
            <w:tcW w:w="400" w:type="dxa"/>
            <w:vAlign w:val="bottom"/>
            <w:tcBorders>
              <w:top w:val="single" w:sz="8" w:color="0000EE"/>
            </w:tcBorders>
            <w:gridSpan w:val="2"/>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Borders>
              <w:top w:val="single" w:sz="8" w:color="0000EE"/>
              <w:bottom w:val="single" w:sz="8" w:color="0000EE"/>
            </w:tcBorders>
            <w:gridSpan w:val="7"/>
          </w:tcPr>
          <w:p>
            <w:pPr>
              <w:spacing w:after="0" w:line="142" w:lineRule="exact"/>
              <w:rPr>
                <w:sz w:val="20"/>
                <w:szCs w:val="20"/>
                <w:color w:val="auto"/>
              </w:rPr>
            </w:pPr>
            <w:r>
              <w:rPr>
                <w:rFonts w:ascii="Arial" w:cs="Arial" w:eastAsia="Arial" w:hAnsi="Arial"/>
                <w:sz w:val="14"/>
                <w:szCs w:val="14"/>
                <w:color w:val="0000EE"/>
              </w:rPr>
              <w:t>Certification of Chief Executive</w:t>
            </w:r>
          </w:p>
        </w:tc>
        <w:tc>
          <w:tcPr>
            <w:tcW w:w="2480" w:type="dxa"/>
            <w:vAlign w:val="bottom"/>
            <w:tcBorders>
              <w:bottom w:val="single" w:sz="8" w:color="0000EE"/>
            </w:tcBorders>
            <w:gridSpan w:val="11"/>
          </w:tcPr>
          <w:p>
            <w:pPr>
              <w:spacing w:after="0" w:line="142" w:lineRule="exact"/>
              <w:rPr>
                <w:sz w:val="20"/>
                <w:szCs w:val="20"/>
                <w:color w:val="auto"/>
              </w:rPr>
            </w:pPr>
            <w:r>
              <w:rPr>
                <w:rFonts w:ascii="Arial" w:cs="Arial" w:eastAsia="Arial" w:hAnsi="Arial"/>
                <w:sz w:val="14"/>
                <w:szCs w:val="14"/>
                <w:color w:val="0000EE"/>
                <w:w w:val="99"/>
              </w:rPr>
              <w:t>Officer pursuant to Rules 13a-14(a) and</w:t>
            </w:r>
          </w:p>
        </w:tc>
        <w:tc>
          <w:tcPr>
            <w:tcW w:w="2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1"/>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4380" w:type="dxa"/>
            <w:vAlign w:val="bottom"/>
            <w:tcBorders>
              <w:bottom w:val="single" w:sz="8" w:color="0000EE"/>
            </w:tcBorders>
            <w:gridSpan w:val="13"/>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420" w:type="dxa"/>
            <w:vAlign w:val="bottom"/>
            <w:gridSpan w:val="8"/>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1"/>
          </w:tcPr>
          <w:p>
            <w:pPr>
              <w:spacing w:after="0" w:line="142" w:lineRule="exact"/>
              <w:rPr>
                <w:sz w:val="20"/>
                <w:szCs w:val="20"/>
                <w:color w:val="auto"/>
              </w:rPr>
            </w:pPr>
            <w:r>
              <w:rPr>
                <w:rFonts w:ascii="Arial" w:cs="Arial" w:eastAsia="Arial" w:hAnsi="Arial"/>
                <w:sz w:val="14"/>
                <w:szCs w:val="14"/>
                <w:color w:val="0000EE"/>
              </w:rPr>
              <w:t>Certification of Chief Financial Officer pursuant to Rules 13a-14(a) and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top w:val="single" w:sz="8" w:color="0000EE"/>
            </w:tcBorders>
            <w:gridSpan w:val="16"/>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300" w:type="dxa"/>
            <w:vAlign w:val="bottom"/>
            <w:gridSpan w:val="5"/>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4800" w:type="dxa"/>
            <w:vAlign w:val="bottom"/>
            <w:gridSpan w:val="21"/>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360" w:type="dxa"/>
            <w:vAlign w:val="bottom"/>
            <w:tcBorders>
              <w:top w:val="single" w:sz="8" w:color="0000EE"/>
            </w:tcBorders>
            <w:gridSpan w:val="12"/>
          </w:tcPr>
          <w:p>
            <w:pPr>
              <w:spacing w:after="0" w:line="142" w:lineRule="exact"/>
              <w:rPr>
                <w:sz w:val="20"/>
                <w:szCs w:val="20"/>
                <w:color w:val="auto"/>
              </w:rPr>
            </w:pPr>
            <w:r>
              <w:rPr>
                <w:rFonts w:ascii="Arial" w:cs="Arial" w:eastAsia="Arial" w:hAnsi="Arial"/>
                <w:sz w:val="14"/>
                <w:szCs w:val="14"/>
                <w:color w:val="0000EE"/>
              </w:rPr>
              <w:t>Certification of Chief Executive Officer pursuant to 18 U.S.C.</w:t>
            </w:r>
          </w:p>
        </w:tc>
        <w:tc>
          <w:tcPr>
            <w:tcW w:w="440" w:type="dxa"/>
            <w:vAlign w:val="bottom"/>
            <w:gridSpan w:val="9"/>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1"/>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9"/>
          </w:tcPr>
          <w:p>
            <w:pPr>
              <w:spacing w:after="0"/>
              <w:rPr>
                <w:sz w:val="12"/>
                <w:szCs w:val="12"/>
                <w:color w:val="auto"/>
              </w:rPr>
            </w:pPr>
          </w:p>
        </w:tc>
        <w:tc>
          <w:tcPr>
            <w:tcW w:w="520" w:type="dxa"/>
            <w:vAlign w:val="bottom"/>
            <w:gridSpan w:val="10"/>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Borders>
              <w:bottom w:val="single" w:sz="8" w:color="0000EE"/>
            </w:tcBorders>
            <w:gridSpan w:val="8"/>
          </w:tcPr>
          <w:p>
            <w:pPr>
              <w:spacing w:after="0" w:line="142" w:lineRule="exact"/>
              <w:rPr>
                <w:sz w:val="20"/>
                <w:szCs w:val="20"/>
                <w:color w:val="auto"/>
              </w:rPr>
            </w:pPr>
            <w:r>
              <w:rPr>
                <w:rFonts w:ascii="Arial" w:cs="Arial" w:eastAsia="Arial" w:hAnsi="Arial"/>
                <w:sz w:val="14"/>
                <w:szCs w:val="14"/>
                <w:color w:val="0000EE"/>
              </w:rPr>
              <w:t>Certification of Chief Financial Officer pursuant to 18 U.S.C.</w:t>
            </w:r>
          </w:p>
        </w:tc>
        <w:tc>
          <w:tcPr>
            <w:tcW w:w="960" w:type="dxa"/>
            <w:vAlign w:val="bottom"/>
            <w:gridSpan w:val="1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1"/>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68"/>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9"/>
          </w:tcPr>
          <w:p>
            <w:pPr>
              <w:spacing w:after="0"/>
              <w:rPr>
                <w:sz w:val="12"/>
                <w:szCs w:val="12"/>
                <w:color w:val="auto"/>
              </w:rPr>
            </w:pPr>
          </w:p>
        </w:tc>
        <w:tc>
          <w:tcPr>
            <w:tcW w:w="520" w:type="dxa"/>
            <w:vAlign w:val="bottom"/>
            <w:gridSpan w:val="10"/>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1"/>
          </w:tcPr>
          <w:p>
            <w:pPr>
              <w:spacing w:after="0" w:line="147" w:lineRule="exact"/>
              <w:rPr>
                <w:sz w:val="20"/>
                <w:szCs w:val="20"/>
                <w:color w:val="auto"/>
              </w:rPr>
            </w:pPr>
            <w:r>
              <w:rPr>
                <w:rFonts w:ascii="Arial" w:cs="Arial" w:eastAsia="Arial" w:hAnsi="Arial"/>
                <w:sz w:val="14"/>
                <w:szCs w:val="14"/>
                <w:color w:val="auto"/>
              </w:rPr>
              <w:t>The following financial statements from the Company</w:t>
            </w:r>
            <w:r>
              <w:rPr>
                <w:rFonts w:ascii="Times New Roman" w:cs="Times New Roman" w:eastAsia="Times New Roman" w:hAnsi="Times New Roman"/>
                <w:sz w:val="14"/>
                <w:szCs w:val="14"/>
                <w:color w:val="auto"/>
              </w:rPr>
              <w:t>’</w:t>
            </w:r>
            <w:r>
              <w:rPr>
                <w:rFonts w:ascii="Arial" w:cs="Arial" w:eastAsia="Arial" w:hAnsi="Arial"/>
                <w:sz w:val="14"/>
                <w:szCs w:val="14"/>
                <w:color w:val="auto"/>
              </w:rPr>
              <w:t>s Quarterly Report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1"/>
          </w:tcPr>
          <w:p>
            <w:pPr>
              <w:spacing w:after="0"/>
              <w:rPr>
                <w:sz w:val="20"/>
                <w:szCs w:val="20"/>
                <w:color w:val="auto"/>
              </w:rPr>
            </w:pPr>
            <w:r>
              <w:rPr>
                <w:rFonts w:ascii="Arial" w:cs="Arial" w:eastAsia="Arial" w:hAnsi="Arial"/>
                <w:sz w:val="14"/>
                <w:szCs w:val="14"/>
                <w:color w:val="auto"/>
              </w:rPr>
              <w:t>on Form 10-Q for the fiscal quarter ended September 30, 2023</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1"/>
          </w:tcPr>
          <w:p>
            <w:pPr>
              <w:spacing w:after="0"/>
              <w:rPr>
                <w:sz w:val="20"/>
                <w:szCs w:val="20"/>
                <w:color w:val="auto"/>
              </w:rPr>
            </w:pPr>
            <w:r>
              <w:rPr>
                <w:rFonts w:ascii="Arial" w:cs="Arial" w:eastAsia="Arial" w:hAnsi="Arial"/>
                <w:sz w:val="14"/>
                <w:szCs w:val="14"/>
                <w:color w:val="auto"/>
              </w:rPr>
              <w:t>formatted in Inline XBRL: (i) Balance Sheets, (ii) Statements of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1"/>
          </w:tcPr>
          <w:p>
            <w:pPr>
              <w:spacing w:after="0"/>
              <w:rPr>
                <w:sz w:val="20"/>
                <w:szCs w:val="20"/>
                <w:color w:val="auto"/>
              </w:rPr>
            </w:pPr>
            <w:r>
              <w:rPr>
                <w:rFonts w:ascii="Arial" w:cs="Arial" w:eastAsia="Arial" w:hAnsi="Arial"/>
                <w:sz w:val="14"/>
                <w:szCs w:val="14"/>
                <w:color w:val="auto"/>
              </w:rPr>
              <w:t>Operations, (iii) Statements of Stockholders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Equity and (vi) Notes to</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1"/>
          </w:tcPr>
          <w:p>
            <w:pPr>
              <w:spacing w:after="0"/>
              <w:rPr>
                <w:sz w:val="20"/>
                <w:szCs w:val="20"/>
                <w:color w:val="auto"/>
              </w:rPr>
            </w:pPr>
            <w:r>
              <w:rPr>
                <w:rFonts w:ascii="Arial" w:cs="Arial" w:eastAsia="Arial" w:hAnsi="Arial"/>
                <w:sz w:val="14"/>
                <w:szCs w:val="14"/>
                <w:color w:val="auto"/>
              </w:rPr>
              <w:t>Financial Statements, tagged as blocks of text and including detailed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1"/>
          </w:tcPr>
          <w:p>
            <w:pPr>
              <w:spacing w:after="0"/>
              <w:rPr>
                <w:sz w:val="20"/>
                <w:szCs w:val="20"/>
                <w:color w:val="auto"/>
              </w:rPr>
            </w:pPr>
            <w:r>
              <w:rPr>
                <w:rFonts w:ascii="Arial" w:cs="Arial" w:eastAsia="Arial" w:hAnsi="Arial"/>
                <w:sz w:val="14"/>
                <w:szCs w:val="14"/>
                <w:color w:val="auto"/>
              </w:rPr>
              <w:t>tags.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jc w:val="right"/>
              <w:ind w:right="468"/>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4800" w:type="dxa"/>
            <w:vAlign w:val="bottom"/>
            <w:gridSpan w:val="21"/>
          </w:tcPr>
          <w:p>
            <w:pPr>
              <w:spacing w:after="0"/>
              <w:rPr>
                <w:sz w:val="20"/>
                <w:szCs w:val="20"/>
                <w:color w:val="auto"/>
              </w:rPr>
            </w:pPr>
            <w:r>
              <w:rPr>
                <w:rFonts w:ascii="Arial" w:cs="Arial" w:eastAsia="Arial" w:hAnsi="Arial"/>
                <w:sz w:val="14"/>
                <w:szCs w:val="14"/>
                <w:color w:val="auto"/>
              </w:rPr>
              <w:t>Cover Page Interactive Date File (formatted as Inline XBRL and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21"/>
          </w:tcPr>
          <w:p>
            <w:pPr>
              <w:spacing w:after="0"/>
              <w:rPr>
                <w:sz w:val="20"/>
                <w:szCs w:val="20"/>
                <w:color w:val="auto"/>
              </w:rPr>
            </w:pPr>
            <w:r>
              <w:rPr>
                <w:rFonts w:ascii="Arial" w:cs="Arial" w:eastAsia="Arial" w:hAnsi="Arial"/>
                <w:sz w:val="14"/>
                <w:szCs w:val="14"/>
                <w:color w:val="auto"/>
              </w:rPr>
              <w:t>contained in Exhibit 101)</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9"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ind w:left="380" w:right="239" w:hanging="330"/>
        <w:spacing w:after="0" w:line="256"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7" w:lineRule="exact"/>
        <w:rPr>
          <w:sz w:val="20"/>
          <w:szCs w:val="20"/>
          <w:color w:val="auto"/>
        </w:rPr>
      </w:pPr>
    </w:p>
    <w:p>
      <w:pPr>
        <w:ind w:left="380" w:right="119" w:hanging="330"/>
        <w:spacing w:after="0" w:line="263"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The Company hereby undertakes to furnish supplemental copies of any of the omitted schedules upon request by the SEC; provided, however, that the Company may request confidential treatment pursuant to Rule 24b-2 of the Securities Exchange Act of 1934 for any schedules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Jeffrey M. Dayno</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April 30, 2024</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and Chief Administrative</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 (principal financial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April 30,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AND COMMERCIALIZATION AGREEMENT</w:t>
      </w:r>
    </w:p>
    <w:p>
      <w:pPr>
        <w:spacing w:after="0" w:line="229" w:lineRule="exact"/>
        <w:rPr>
          <w:sz w:val="20"/>
          <w:szCs w:val="20"/>
          <w:color w:val="auto"/>
        </w:rPr>
      </w:pPr>
    </w:p>
    <w:p>
      <w:pPr>
        <w:jc w:val="both"/>
        <w:ind w:left="200" w:right="219" w:firstLine="439"/>
        <w:spacing w:after="0" w:line="252" w:lineRule="auto"/>
        <w:rPr>
          <w:sz w:val="20"/>
          <w:szCs w:val="20"/>
          <w:color w:val="auto"/>
        </w:rPr>
      </w:pPr>
      <w:r>
        <w:rPr>
          <w:rFonts w:ascii="Times New Roman" w:cs="Times New Roman" w:eastAsia="Times New Roman" w:hAnsi="Times New Roman"/>
          <w:sz w:val="18"/>
          <w:szCs w:val="18"/>
          <w:color w:val="auto"/>
        </w:rPr>
        <w:t>This Amendment No. 1, dated as of April 6, 2024 (this “First Amendment”), to the License and Commercialization Agreement, dated as of July 31, 2022, (the “Agreement”), is entered into between Bioprojet Société Civile de Recherche, an independent (privately) owned research company organized under the laws of France and having its principal place of business at 30, rue des Francs-Bourgeois, 75003 Paris, France (together with its Affiliates, including Bioprojet Pharma SAS and Bioprojet Europe Ltd., “Bioprojet”), and Harmony Biosciences, LLC, a limited liability company organized under the laws of Delaware and having its principal place of business at 630 W. Germantown Pike, Suite 215, Plymouth Meeting, Pennsylvania 19462 USA (“Partner”). Capitalized terms used, but not otherwise defined, in this First Amendment shall have the meanings ascribed to them in the Agreement. Bioprojet and Partner may be referred to herein, together, as the “Parties” and, individually, as a “Party.”</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the Parties have previously entered into the Agreement;</w:t>
      </w:r>
    </w:p>
    <w:p>
      <w:pPr>
        <w:spacing w:after="0" w:line="225" w:lineRule="exact"/>
        <w:rPr>
          <w:sz w:val="20"/>
          <w:szCs w:val="20"/>
          <w:color w:val="auto"/>
        </w:rPr>
      </w:pPr>
    </w:p>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WHEREAS, the Parties have agreed to expand their collaboration by entering into a co-development agreement with respect to an orexin program in-licensed from Teijin; and</w:t>
      </w:r>
    </w:p>
    <w:p>
      <w:pPr>
        <w:spacing w:after="0" w:line="176" w:lineRule="exact"/>
        <w:rPr>
          <w:sz w:val="20"/>
          <w:szCs w:val="20"/>
          <w:color w:val="auto"/>
        </w:rPr>
      </w:pPr>
    </w:p>
    <w:p>
      <w:pPr>
        <w:jc w:val="both"/>
        <w:ind w:left="200" w:right="239" w:firstLine="441"/>
        <w:spacing w:after="0" w:line="282" w:lineRule="auto"/>
        <w:rPr>
          <w:sz w:val="20"/>
          <w:szCs w:val="20"/>
          <w:color w:val="auto"/>
        </w:rPr>
      </w:pPr>
      <w:r>
        <w:rPr>
          <w:rFonts w:ascii="Times New Roman" w:cs="Times New Roman" w:eastAsia="Times New Roman" w:hAnsi="Times New Roman"/>
          <w:sz w:val="18"/>
          <w:szCs w:val="18"/>
          <w:color w:val="auto"/>
        </w:rPr>
        <w:t>WHEREAS, in accordance with the Agreement, the Parties desire to further amend the Agreement, upon the terms and subject to the conditions set forth herein.</w:t>
      </w:r>
    </w:p>
    <w:p>
      <w:pPr>
        <w:spacing w:after="0" w:line="158" w:lineRule="exact"/>
        <w:rPr>
          <w:sz w:val="20"/>
          <w:szCs w:val="20"/>
          <w:color w:val="auto"/>
        </w:rPr>
      </w:pPr>
    </w:p>
    <w:p>
      <w:pPr>
        <w:jc w:val="both"/>
        <w:ind w:left="200" w:right="219"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and receipt of which hereby are acknowledged, the Parties hereby agree as follows:</w:t>
      </w:r>
    </w:p>
    <w:p>
      <w:pPr>
        <w:spacing w:after="0" w:line="159" w:lineRule="exact"/>
        <w:rPr>
          <w:sz w:val="20"/>
          <w:szCs w:val="20"/>
          <w:color w:val="auto"/>
        </w:rPr>
      </w:pPr>
    </w:p>
    <w:p>
      <w:pPr>
        <w:ind w:left="1060" w:hanging="410"/>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Section 1.41 (“Field Products”) of the Agreement is hereby deleted in its</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entirety.</w:t>
      </w:r>
    </w:p>
    <w:p>
      <w:pPr>
        <w:spacing w:after="0" w:line="193" w:lineRule="exact"/>
        <w:rPr>
          <w:rFonts w:ascii="Times New Roman" w:cs="Times New Roman" w:eastAsia="Times New Roman" w:hAnsi="Times New Roman"/>
          <w:sz w:val="18"/>
          <w:szCs w:val="18"/>
          <w:color w:val="auto"/>
        </w:rPr>
      </w:pPr>
    </w:p>
    <w:p>
      <w:pPr>
        <w:ind w:left="200" w:right="239" w:firstLine="450"/>
        <w:spacing w:after="0" w:line="282" w:lineRule="auto"/>
        <w:tabs>
          <w:tab w:leader="none" w:pos="9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Section 8.3 (“Exclusivity of Efforts - Harmony”) of the Agreement is hereby deleted in its entirety.</w:t>
      </w:r>
    </w:p>
    <w:p>
      <w:pPr>
        <w:spacing w:after="0" w:line="161" w:lineRule="exact"/>
        <w:rPr>
          <w:rFonts w:ascii="Times New Roman" w:cs="Times New Roman" w:eastAsia="Times New Roman" w:hAnsi="Times New Roman"/>
          <w:sz w:val="18"/>
          <w:szCs w:val="18"/>
          <w:color w:val="auto"/>
        </w:rPr>
      </w:pPr>
    </w:p>
    <w:p>
      <w:pPr>
        <w:jc w:val="both"/>
        <w:ind w:left="200" w:right="219" w:firstLine="450"/>
        <w:spacing w:after="0" w:line="258" w:lineRule="auto"/>
        <w:tabs>
          <w:tab w:leader="none" w:pos="9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may be executed in any number of counterparts, each of which shall be deemed an original, and all of which together shall constitute one and the same instrument. Signatures to this First Amendment delivered by facsimile or similar electronic transmission will be deemed to be binding as originals. This First Amendment is established in the English language. Any translation in another language shall be deemed for convenience only and shall never prevail over the original English version.</w:t>
      </w:r>
    </w:p>
    <w:p>
      <w:pPr>
        <w:spacing w:after="0" w:line="196"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Agreement shall remain unchanged and in full force and effect.</w:t>
      </w:r>
    </w:p>
    <w:p>
      <w:pPr>
        <w:spacing w:after="0" w:line="211" w:lineRule="exact"/>
        <w:rPr>
          <w:rFonts w:ascii="Times New Roman" w:cs="Times New Roman" w:eastAsia="Times New Roman" w:hAnsi="Times New Roman"/>
          <w:sz w:val="18"/>
          <w:szCs w:val="18"/>
          <w:color w:val="auto"/>
        </w:rPr>
      </w:pPr>
    </w:p>
    <w:p>
      <w:pPr>
        <w:ind w:left="200" w:right="219" w:firstLine="450"/>
        <w:spacing w:after="0" w:line="282" w:lineRule="auto"/>
        <w:tabs>
          <w:tab w:leader="none" w:pos="9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execution of this First Amendment by the Parties, any reference to the Agreement shall be deemed to be a reference to the Agreement as amended by this First Amendment.</w:t>
      </w:r>
    </w:p>
    <w:p>
      <w:pPr>
        <w:spacing w:after="0" w:line="161" w:lineRule="exact"/>
        <w:rPr>
          <w:rFonts w:ascii="Times New Roman" w:cs="Times New Roman" w:eastAsia="Times New Roman" w:hAnsi="Times New Roman"/>
          <w:sz w:val="18"/>
          <w:szCs w:val="18"/>
          <w:color w:val="auto"/>
        </w:rPr>
      </w:pPr>
    </w:p>
    <w:p>
      <w:pPr>
        <w:jc w:val="both"/>
        <w:ind w:left="200" w:right="219" w:firstLine="448"/>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Article 19 and Sections 20.2 to 20.13 of the Agreement apply to this First Amendment mutatis mutandis, except that in accordance with paragraph 5 above references to “Agreement” shall be read as references to this First Amendment.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660"/>
        <w:spacing w:after="0"/>
        <w:rPr>
          <w:sz w:val="20"/>
          <w:szCs w:val="20"/>
          <w:color w:val="auto"/>
        </w:rPr>
      </w:pPr>
      <w:r>
        <w:rPr>
          <w:rFonts w:ascii="Calibri" w:cs="Calibri" w:eastAsia="Calibri" w:hAnsi="Calibri"/>
          <w:sz w:val="20"/>
          <w:szCs w:val="20"/>
          <w:color w:val="auto"/>
        </w:rPr>
        <w:t>Hogan Lovells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355600</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1" w:name="page42"/>
    <w:bookmarkEnd w:id="41"/>
    <w:p>
      <w:pPr>
        <w:ind w:left="200"/>
        <w:spacing w:after="0"/>
        <w:rPr>
          <w:sz w:val="20"/>
          <w:szCs w:val="20"/>
          <w:color w:val="auto"/>
        </w:rPr>
      </w:pPr>
      <w:r>
        <w:rPr>
          <w:rFonts w:ascii="Times New Roman" w:cs="Times New Roman" w:eastAsia="Times New Roman" w:hAnsi="Times New Roman"/>
          <w:sz w:val="17"/>
          <w:szCs w:val="17"/>
          <w:color w:val="auto"/>
        </w:rPr>
        <w:t>IN WITNESS WHEREOF, the Parties have executed this First Amendment as of the day and year first written above.</w:t>
      </w:r>
    </w:p>
    <w:p>
      <w:pPr>
        <w:spacing w:after="0" w:line="27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BIOPROJET SOCIÉTÉ CIVILE DE</w:t>
      </w:r>
    </w:p>
    <w:p>
      <w:pPr>
        <w:spacing w:after="0" w:line="3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RECHERCHE</w:t>
      </w:r>
    </w:p>
    <w:p>
      <w:pPr>
        <w:spacing w:after="0" w:line="200" w:lineRule="exact"/>
        <w:rPr>
          <w:sz w:val="20"/>
          <w:szCs w:val="20"/>
          <w:color w:val="auto"/>
        </w:rPr>
      </w:pPr>
    </w:p>
    <w:p>
      <w:pPr>
        <w:spacing w:after="0" w:line="236" w:lineRule="exact"/>
        <w:rPr>
          <w:sz w:val="20"/>
          <w:szCs w:val="20"/>
          <w:color w:val="auto"/>
        </w:rPr>
      </w:pPr>
    </w:p>
    <w:p>
      <w:pPr>
        <w:ind w:left="538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Jeanne-Marie Lecomte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18345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Jeanne-Marie Lecomte</w:t>
      </w:r>
    </w:p>
    <w:p>
      <w:pPr>
        <w:spacing w:after="0" w:line="27" w:lineRule="exact"/>
        <w:rPr>
          <w:sz w:val="20"/>
          <w:szCs w:val="20"/>
          <w:color w:val="auto"/>
        </w:rPr>
      </w:pPr>
    </w:p>
    <w:p>
      <w:pPr>
        <w:ind w:left="5380"/>
        <w:spacing w:after="0"/>
        <w:tabs>
          <w:tab w:leader="none" w:pos="5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w:t>
      </w:r>
    </w:p>
    <w:p>
      <w:pPr>
        <w:spacing w:after="0" w:line="20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HARMONY BIOSCIENCES, LLC</w:t>
      </w:r>
    </w:p>
    <w:p>
      <w:pPr>
        <w:spacing w:after="0" w:line="200" w:lineRule="exact"/>
        <w:rPr>
          <w:sz w:val="20"/>
          <w:szCs w:val="20"/>
          <w:color w:val="auto"/>
        </w:rPr>
      </w:pPr>
    </w:p>
    <w:p>
      <w:pPr>
        <w:spacing w:after="0" w:line="259" w:lineRule="exact"/>
        <w:rPr>
          <w:sz w:val="20"/>
          <w:szCs w:val="20"/>
          <w:color w:val="auto"/>
        </w:rPr>
      </w:pPr>
    </w:p>
    <w:p>
      <w:pPr>
        <w:ind w:left="538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M Dayno,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18345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Jeffrey M Dayno, MD</w:t>
      </w:r>
    </w:p>
    <w:p>
      <w:pPr>
        <w:spacing w:after="0" w:line="27" w:lineRule="exact"/>
        <w:rPr>
          <w:sz w:val="20"/>
          <w:szCs w:val="20"/>
          <w:color w:val="auto"/>
        </w:rPr>
      </w:pPr>
    </w:p>
    <w:p>
      <w:pPr>
        <w:ind w:left="5380"/>
        <w:spacing w:after="0"/>
        <w:tabs>
          <w:tab w:leader="none" w:pos="5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54521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LICENSE AND COMMERCIALIZATION AGREEMENT</w:t>
      </w:r>
    </w:p>
    <w:p>
      <w:pPr>
        <w:spacing w:after="0" w:line="229" w:lineRule="exact"/>
        <w:rPr>
          <w:sz w:val="20"/>
          <w:szCs w:val="20"/>
          <w:color w:val="auto"/>
        </w:rPr>
      </w:pPr>
    </w:p>
    <w:p>
      <w:pPr>
        <w:jc w:val="both"/>
        <w:ind w:left="200" w:right="219" w:firstLine="439"/>
        <w:spacing w:after="0" w:line="252" w:lineRule="auto"/>
        <w:rPr>
          <w:sz w:val="20"/>
          <w:szCs w:val="20"/>
          <w:color w:val="auto"/>
        </w:rPr>
      </w:pPr>
      <w:r>
        <w:rPr>
          <w:rFonts w:ascii="Times New Roman" w:cs="Times New Roman" w:eastAsia="Times New Roman" w:hAnsi="Times New Roman"/>
          <w:sz w:val="18"/>
          <w:szCs w:val="18"/>
          <w:color w:val="auto"/>
        </w:rPr>
        <w:t>This Amendment No. 2, dated as of April 6, 2024 (this “Second Amendment”), to the License and Commercialization Agreement, dated as of July 28, 2017, and amended on August 27, 2018 (the “First Amendment”, collectively the “Agreement”), is entered into between Bioprojet Société Civile de Recherche, an independent (privately) owned research company organized under the laws of France and having its principal place of business at 30, rue des Francs-Bourgeois, 75003 Paris, France (“Bioprojet SCR”) and together with its Affiliates, including Bioprojet Pharma SARL and Bioprojet Europe Ltd., “Bioprojet”), and Harmony Biosciences, LLC, a limited liability company organized under the laws of Delaware and having its principal place of business at 630 W. Germantown Pike, Suite 215, Plymouth Meeting, Pennsylvania 19462 USA (“Partner”). Capitalized terms used, but not otherwise defined, in this Second Amendment shall have the meanings ascribed to them in the Agreement. Bioprojet and Partner may be referred to herein, together, as the “Parties” and, individually, as a “Party.”</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the Parties have previously entered into the Agreement and the First Amendment;</w:t>
      </w:r>
    </w:p>
    <w:p>
      <w:pPr>
        <w:spacing w:after="0" w:line="212" w:lineRule="exact"/>
        <w:rPr>
          <w:sz w:val="20"/>
          <w:szCs w:val="20"/>
          <w:color w:val="auto"/>
        </w:rPr>
      </w:pPr>
    </w:p>
    <w:p>
      <w:pPr>
        <w:jc w:val="both"/>
        <w:ind w:left="200" w:right="219" w:firstLine="441"/>
        <w:spacing w:after="0" w:line="282" w:lineRule="auto"/>
        <w:rPr>
          <w:sz w:val="20"/>
          <w:szCs w:val="20"/>
          <w:color w:val="auto"/>
        </w:rPr>
      </w:pPr>
      <w:r>
        <w:rPr>
          <w:rFonts w:ascii="Times New Roman" w:cs="Times New Roman" w:eastAsia="Times New Roman" w:hAnsi="Times New Roman"/>
          <w:sz w:val="18"/>
          <w:szCs w:val="18"/>
          <w:color w:val="auto"/>
        </w:rPr>
        <w:t>WHEREAS, the Parties have agreed to expand their collaboration by entering into a co-development agreement with respect to an orexin program in-licensed from Teijin; and</w:t>
      </w:r>
    </w:p>
    <w:p>
      <w:pPr>
        <w:spacing w:after="0" w:line="162" w:lineRule="exact"/>
        <w:rPr>
          <w:sz w:val="20"/>
          <w:szCs w:val="20"/>
          <w:color w:val="auto"/>
        </w:rPr>
      </w:pPr>
    </w:p>
    <w:p>
      <w:pPr>
        <w:jc w:val="both"/>
        <w:ind w:left="200" w:right="239" w:firstLine="441"/>
        <w:spacing w:after="0" w:line="282" w:lineRule="auto"/>
        <w:rPr>
          <w:sz w:val="20"/>
          <w:szCs w:val="20"/>
          <w:color w:val="auto"/>
        </w:rPr>
      </w:pPr>
      <w:r>
        <w:rPr>
          <w:rFonts w:ascii="Times New Roman" w:cs="Times New Roman" w:eastAsia="Times New Roman" w:hAnsi="Times New Roman"/>
          <w:sz w:val="18"/>
          <w:szCs w:val="18"/>
          <w:color w:val="auto"/>
        </w:rPr>
        <w:t>WHEREAS, in accordance with the Agreement, the Parties desire to further amend the Agreement, upon the terms and subject to the conditions set forth herein.</w:t>
      </w:r>
    </w:p>
    <w:p>
      <w:pPr>
        <w:spacing w:after="0" w:line="158" w:lineRule="exact"/>
        <w:rPr>
          <w:sz w:val="20"/>
          <w:szCs w:val="20"/>
          <w:color w:val="auto"/>
        </w:rPr>
      </w:pPr>
    </w:p>
    <w:p>
      <w:pPr>
        <w:jc w:val="both"/>
        <w:ind w:left="200" w:right="219"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and receipt of which hereby are acknowledged, the Parties hereby agree as follows:</w:t>
      </w:r>
    </w:p>
    <w:p>
      <w:pPr>
        <w:spacing w:after="0" w:line="159" w:lineRule="exact"/>
        <w:rPr>
          <w:sz w:val="20"/>
          <w:szCs w:val="20"/>
          <w:color w:val="auto"/>
        </w:rPr>
      </w:pPr>
    </w:p>
    <w:p>
      <w:pPr>
        <w:ind w:left="1040" w:hanging="390"/>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Section 1.20 (“Field Products”) of the Agreement is hereby deleted in its</w:t>
      </w:r>
    </w:p>
    <w:p>
      <w:pPr>
        <w:spacing w:after="0" w:line="15"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entirety.</w:t>
      </w:r>
    </w:p>
    <w:p>
      <w:pPr>
        <w:spacing w:after="0" w:line="205"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Section 8.3 (“Exclusivity of Efforts”) of the Agreement is hereby deleted in its</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entirety.</w:t>
      </w:r>
    </w:p>
    <w:p>
      <w:pPr>
        <w:spacing w:after="0" w:line="206" w:lineRule="exact"/>
        <w:rPr>
          <w:rFonts w:ascii="Times New Roman" w:cs="Times New Roman" w:eastAsia="Times New Roman" w:hAnsi="Times New Roman"/>
          <w:sz w:val="18"/>
          <w:szCs w:val="18"/>
          <w:color w:val="auto"/>
        </w:rPr>
      </w:pPr>
    </w:p>
    <w:p>
      <w:pPr>
        <w:jc w:val="both"/>
        <w:ind w:left="200" w:right="219" w:firstLine="450"/>
        <w:spacing w:after="0" w:line="258" w:lineRule="auto"/>
        <w:tabs>
          <w:tab w:leader="none" w:pos="10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may be executed in any number of counterparts, each of which shall be deemed an original, and all of which together shall constitute one and the same instrument. Signatures to this Second Amendment delivered by facsimile or similar electronic transmission will be deemed to be binding as originals. This Second Amendment is established in the English language. Any translation in another language shall be deemed for convenience only and shall never prevail over the original English version.</w:t>
      </w:r>
    </w:p>
    <w:p>
      <w:pPr>
        <w:spacing w:after="0" w:line="183"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Agreement shall remain unchanged and in full force and effect.</w:t>
      </w:r>
    </w:p>
    <w:p>
      <w:pPr>
        <w:spacing w:after="0" w:line="225" w:lineRule="exact"/>
        <w:rPr>
          <w:rFonts w:ascii="Times New Roman" w:cs="Times New Roman" w:eastAsia="Times New Roman" w:hAnsi="Times New Roman"/>
          <w:sz w:val="18"/>
          <w:szCs w:val="18"/>
          <w:color w:val="auto"/>
        </w:rPr>
      </w:pPr>
    </w:p>
    <w:p>
      <w:pPr>
        <w:ind w:left="200" w:right="219" w:firstLine="450"/>
        <w:spacing w:after="0" w:line="282" w:lineRule="auto"/>
        <w:tabs>
          <w:tab w:leader="none" w:pos="10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execution of this Second Amendment by the Parties, any reference to the Agreement shall be deemed to be a reference to the Agreement as amended by this Second Amendment.</w:t>
      </w:r>
    </w:p>
    <w:p>
      <w:pPr>
        <w:spacing w:after="0" w:line="161" w:lineRule="exact"/>
        <w:rPr>
          <w:rFonts w:ascii="Times New Roman" w:cs="Times New Roman" w:eastAsia="Times New Roman" w:hAnsi="Times New Roman"/>
          <w:sz w:val="18"/>
          <w:szCs w:val="18"/>
          <w:color w:val="auto"/>
        </w:rPr>
      </w:pPr>
    </w:p>
    <w:p>
      <w:pPr>
        <w:jc w:val="both"/>
        <w:ind w:left="200" w:right="219" w:firstLine="448"/>
        <w:spacing w:after="0" w:line="266" w:lineRule="auto"/>
        <w:tabs>
          <w:tab w:leader="none" w:pos="9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Article 19 and Sections 20.2 to 20.8, 20.10 and 20.11 of the Agreement apply to this Second Amendment mutatis mutandis, except that in accordance with paragraph 5 above references to “Agreement” shall be read as references to this Second Amendment.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351" w:lineRule="exact"/>
        <w:rPr>
          <w:sz w:val="20"/>
          <w:szCs w:val="20"/>
          <w:color w:val="auto"/>
        </w:rPr>
      </w:pPr>
    </w:p>
    <w:p>
      <w:pPr>
        <w:ind w:left="7660"/>
        <w:spacing w:after="0"/>
        <w:rPr>
          <w:sz w:val="20"/>
          <w:szCs w:val="20"/>
          <w:color w:val="auto"/>
        </w:rPr>
      </w:pPr>
      <w:r>
        <w:rPr>
          <w:rFonts w:ascii="Calibri" w:cs="Calibri" w:eastAsia="Calibri" w:hAnsi="Calibri"/>
          <w:sz w:val="20"/>
          <w:szCs w:val="20"/>
          <w:color w:val="auto"/>
        </w:rPr>
        <w:t>Hogan Lovells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355600</wp:posOffset>
            </wp:positionV>
            <wp:extent cx="545211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3" w:name="page44"/>
    <w:bookmarkEnd w:id="43"/>
    <w:p>
      <w:pPr>
        <w:ind w:left="200" w:right="779" w:firstLine="441"/>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Second Amendment as of the day and year first written above.</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BIOPROJET SOCIÉTÉ CIVILE DE</w:t>
      </w:r>
    </w:p>
    <w:p>
      <w:pPr>
        <w:spacing w:after="0" w:line="3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RECHERCHE</w:t>
      </w:r>
    </w:p>
    <w:p>
      <w:pPr>
        <w:spacing w:after="0" w:line="200" w:lineRule="exact"/>
        <w:rPr>
          <w:sz w:val="20"/>
          <w:szCs w:val="20"/>
          <w:color w:val="auto"/>
        </w:rPr>
      </w:pPr>
    </w:p>
    <w:p>
      <w:pPr>
        <w:spacing w:after="0" w:line="236" w:lineRule="exact"/>
        <w:rPr>
          <w:sz w:val="20"/>
          <w:szCs w:val="20"/>
          <w:color w:val="auto"/>
        </w:rPr>
      </w:pPr>
    </w:p>
    <w:p>
      <w:pPr>
        <w:ind w:left="538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Jeanne-Marie Lecomte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1834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Jeanne-Marie Lecomte</w:t>
      </w:r>
    </w:p>
    <w:p>
      <w:pPr>
        <w:spacing w:after="0" w:line="27" w:lineRule="exact"/>
        <w:rPr>
          <w:sz w:val="20"/>
          <w:szCs w:val="20"/>
          <w:color w:val="auto"/>
        </w:rPr>
      </w:pPr>
    </w:p>
    <w:p>
      <w:pPr>
        <w:ind w:left="5380"/>
        <w:spacing w:after="0"/>
        <w:tabs>
          <w:tab w:leader="none" w:pos="5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w:t>
      </w:r>
    </w:p>
    <w:p>
      <w:pPr>
        <w:spacing w:after="0" w:line="20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HARMONY BIOSCIENCES, LLC</w:t>
      </w:r>
    </w:p>
    <w:p>
      <w:pPr>
        <w:spacing w:after="0" w:line="200" w:lineRule="exact"/>
        <w:rPr>
          <w:sz w:val="20"/>
          <w:szCs w:val="20"/>
          <w:color w:val="auto"/>
        </w:rPr>
      </w:pPr>
    </w:p>
    <w:p>
      <w:pPr>
        <w:spacing w:after="0" w:line="259" w:lineRule="exact"/>
        <w:rPr>
          <w:sz w:val="20"/>
          <w:szCs w:val="20"/>
          <w:color w:val="auto"/>
        </w:rPr>
      </w:pPr>
    </w:p>
    <w:p>
      <w:pPr>
        <w:ind w:left="538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M Dayno,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1834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Jeffrey M Dayno, MD</w:t>
      </w:r>
    </w:p>
    <w:p>
      <w:pPr>
        <w:spacing w:after="0" w:line="27" w:lineRule="exact"/>
        <w:rPr>
          <w:sz w:val="20"/>
          <w:szCs w:val="20"/>
          <w:color w:val="auto"/>
        </w:rPr>
      </w:pPr>
    </w:p>
    <w:p>
      <w:pPr>
        <w:jc w:val="right"/>
        <w:ind w:right="479"/>
        <w:spacing w:after="0"/>
        <w:tabs>
          <w:tab w:leader="none" w:pos="2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734695</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April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Jeffrey M. Dayno</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April 30, 2024</w:t>
            </w:r>
          </w:p>
        </w:tc>
        <w:tc>
          <w:tcPr>
            <w:tcW w:w="67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Sandip Kapadia</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Sandip Kapadia</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March 31, 2024,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April 30, 2024</w:t>
      </w:r>
      <w:r>
        <w:rPr>
          <w:sz w:val="20"/>
          <w:szCs w:val="20"/>
          <w:color w:val="auto"/>
        </w:rPr>
        <w:tab/>
      </w:r>
      <w:r>
        <w:rPr>
          <w:rFonts w:ascii="Arial" w:cs="Arial" w:eastAsia="Arial" w:hAnsi="Arial"/>
          <w:sz w:val="18"/>
          <w:szCs w:val="18"/>
          <w:color w:val="auto"/>
        </w:rPr>
        <w:t>By: /s/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M. Dayno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March 31, 2024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00" w:type="dxa"/>
            <w:vAlign w:val="bottom"/>
            <w:vMerge w:val="restart"/>
          </w:tcPr>
          <w:p>
            <w:pPr>
              <w:spacing w:after="0"/>
              <w:rPr>
                <w:sz w:val="20"/>
                <w:szCs w:val="20"/>
                <w:color w:val="auto"/>
              </w:rPr>
            </w:pPr>
            <w:r>
              <w:rPr>
                <w:rFonts w:ascii="Arial" w:cs="Arial" w:eastAsia="Arial" w:hAnsi="Arial"/>
                <w:sz w:val="18"/>
                <w:szCs w:val="18"/>
                <w:color w:val="auto"/>
              </w:rPr>
              <w:t>Date: April 30, 2024</w:t>
            </w:r>
          </w:p>
        </w:tc>
        <w:tc>
          <w:tcPr>
            <w:tcW w:w="1720" w:type="dxa"/>
            <w:vAlign w:val="bottom"/>
          </w:tcPr>
          <w:p>
            <w:pPr>
              <w:ind w:left="142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4"/>
        </w:trPr>
        <w:tc>
          <w:tcPr>
            <w:tcW w:w="3000" w:type="dxa"/>
            <w:vAlign w:val="bottom"/>
            <w:vMerge w:val="continue"/>
          </w:tcPr>
          <w:p>
            <w:pPr>
              <w:spacing w:after="0"/>
              <w:rPr>
                <w:sz w:val="16"/>
                <w:szCs w:val="16"/>
                <w:color w:val="auto"/>
              </w:rPr>
            </w:pPr>
          </w:p>
        </w:tc>
        <w:tc>
          <w:tcPr>
            <w:tcW w:w="1720" w:type="dxa"/>
            <w:vAlign w:val="bottom"/>
          </w:tcPr>
          <w:p>
            <w:pPr>
              <w:ind w:left="142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 and Chief Administrative Officer</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upperLetter"/>
      <w:start w:val="61"/>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15"/>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51" Type="http://schemas.openxmlformats.org/officeDocument/2006/relationships/hyperlink" Target="https://www.sec.gov/Archives/edgar/data/1802665/000114036123043963/ef20010653_ex2-1.htm" TargetMode="External"/><Relationship Id="rId52" Type="http://schemas.openxmlformats.org/officeDocument/2006/relationships/hyperlink" Target="https://www.sec.gov/Archives/edgar/data/0001802665/000119312520226978/d97999dex31.htm" TargetMode="External"/><Relationship Id="rId53" Type="http://schemas.openxmlformats.org/officeDocument/2006/relationships/hyperlink" Target="https://www.sec.gov/Archives/edgar/data/0001802665/000119312520226978/d979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2024-04-30T07:10:11Z</dcterms:created>
  <dcterms:modified xsi:type="dcterms:W3CDTF">2024-04-30T07:10:11Z</dcterms:modified>
</cp:coreProperties>
</file>