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08.xml.htm"/>
      <w:bookmarkStart w:id="1" w:name="ksform409182026_080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Budur Kumar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 W GERMANTOWN PIKE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 MEETING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Harmony Biosciences Holdings, Inc.</w:t>
              </w:r>
            </w:hyperlink>
            <w:r>
              <w:rPr/>
              <w:t xml:space="preserve"> [ </w:t>
            </w:r>
            <w:r>
              <w:rPr>
                <w:rFonts w:ascii="Times;serif" w:hAnsi="Times;serif"/>
                <w:color w:val="0000FF"/>
                <w:sz w:val="24"/>
                <w:shd w:fill="FFFFFF" w:val="clear"/>
              </w:rPr>
              <w:t>HRMY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43.0146</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25,446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35,852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43.0545</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63,346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$43.00 to $43.03.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$43.00 to $43.20.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with respect to 25% of the underlying shares on January 24, 2025, with the remaining shares vesting ratably on a quarterly basis thereafter until the fourth anniversary of the grant date, subject to the Reporting Person's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vests with respect to 25% of the underlying shares on May 1, 2025, with the remaining shares vesting ratably on a quarterly basis thereafter until the fourth anniversary of the grant date, subject to the Reporting Person's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Ulrich,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762" TargetMode="External"/><Relationship Id="rId5" Type="http://schemas.openxmlformats.org/officeDocument/2006/relationships/hyperlink" Target="http://www.sec.gov/cgi-bin/browse-edgar?action=getcompany&amp;CIK=0001802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5147</Characters>
  <CharactersWithSpaces>5917</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