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74295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27"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2023</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1"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82"/>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5"/>
                <w:szCs w:val="15"/>
                <w:color w:val="auto"/>
              </w:rPr>
            </w:pPr>
          </w:p>
        </w:tc>
      </w:tr>
      <w:tr>
        <w:trPr>
          <w:trHeight w:val="73"/>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47"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8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17"/>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82"/>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79"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5"/>
        </w:trPr>
        <w:tc>
          <w:tcPr>
            <w:tcW w:w="3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50"/>
        </w:trPr>
        <w:tc>
          <w:tcPr>
            <w:tcW w:w="344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3"/>
                <w:szCs w:val="13"/>
                <w:color w:val="auto"/>
              </w:rPr>
            </w:pPr>
          </w:p>
        </w:tc>
        <w:tc>
          <w:tcPr>
            <w:tcW w:w="17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3"/>
                <w:szCs w:val="13"/>
                <w:color w:val="auto"/>
              </w:rPr>
            </w:pPr>
          </w:p>
        </w:tc>
        <w:tc>
          <w:tcPr>
            <w:tcW w:w="344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rPr>
              <w:t>The Nasdaq Stock Market LLC</w:t>
            </w:r>
          </w:p>
        </w:tc>
      </w:tr>
      <w:tr>
        <w:trPr>
          <w:trHeight w:val="182"/>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42" w:lineRule="exact"/>
        <w:rPr>
          <w:sz w:val="24"/>
          <w:szCs w:val="24"/>
          <w:color w:val="auto"/>
        </w:rPr>
      </w:pPr>
    </w:p>
    <w:p>
      <w:pPr>
        <w:ind w:left="60" w:right="159"/>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left="60" w:right="199"/>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left="60" w:right="259"/>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1"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8" w:lineRule="exact"/>
        <w:rPr>
          <w:sz w:val="24"/>
          <w:szCs w:val="24"/>
          <w:color w:val="auto"/>
        </w:rPr>
      </w:pPr>
    </w:p>
    <w:p>
      <w:pPr>
        <w:ind w:left="60" w:right="159"/>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34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8" w:lineRule="exact"/>
        <w:rPr>
          <w:sz w:val="24"/>
          <w:szCs w:val="24"/>
          <w:color w:val="auto"/>
        </w:rPr>
      </w:pPr>
    </w:p>
    <w:p>
      <w:pPr>
        <w:ind w:left="60" w:right="359" w:firstLine="648"/>
        <w:spacing w:after="0" w:line="273" w:lineRule="auto"/>
        <w:rPr>
          <w:sz w:val="20"/>
          <w:szCs w:val="20"/>
          <w:color w:val="auto"/>
        </w:rPr>
      </w:pPr>
      <w:r>
        <w:rPr>
          <w:rFonts w:ascii="Arial" w:cs="Arial" w:eastAsia="Arial" w:hAnsi="Arial"/>
          <w:sz w:val="14"/>
          <w:szCs w:val="14"/>
          <w:color w:val="auto"/>
        </w:rPr>
        <w:t>As of October 27, 2023, there were 58,571,944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542290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165100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200" w:type="dxa"/>
            <w:vAlign w:val="bottom"/>
            <w:gridSpan w:val="8"/>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5"/>
                <w:szCs w:val="15"/>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8"/>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2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Item 1. Financial Statements</w:t>
            </w:r>
          </w:p>
        </w:tc>
        <w:tc>
          <w:tcPr>
            <w:tcW w:w="550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0"/>
          </w:tcPr>
          <w:p>
            <w:pPr>
              <w:spacing w:after="0" w:line="182" w:lineRule="exact"/>
              <w:rPr>
                <w:sz w:val="20"/>
                <w:szCs w:val="20"/>
                <w:color w:val="auto"/>
              </w:rPr>
            </w:pPr>
            <w:r>
              <w:rPr>
                <w:rFonts w:ascii="Arial" w:cs="Arial" w:eastAsia="Arial" w:hAnsi="Arial"/>
                <w:sz w:val="18"/>
                <w:szCs w:val="18"/>
                <w:color w:val="0000EE"/>
              </w:rPr>
              <w:t>Condensed Consolidated 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0"/>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Condensed Consolidated Statements of Stockholders’ Equity (Unaudited)</w:t>
            </w:r>
          </w:p>
        </w:tc>
        <w:tc>
          <w:tcPr>
            <w:tcW w:w="1540" w:type="dxa"/>
            <w:vAlign w:val="bottom"/>
            <w:tcBorders>
              <w:top w:val="single" w:sz="8" w:color="0000EE"/>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0"/>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0"/>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bottom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9"/>
              </w:rPr>
              <w:t>Item 2. Management’s Discussion and Analysis of Financial Condition and Results of Operations</w:t>
            </w:r>
          </w:p>
        </w:tc>
        <w:tc>
          <w:tcPr>
            <w:tcW w:w="100" w:type="dxa"/>
            <w:vAlign w:val="bottom"/>
            <w:gridSpan w:val="3"/>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1"/>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2480" w:type="dxa"/>
            <w:vAlign w:val="bottom"/>
            <w:gridSpan w:val="7"/>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Part II. Other Information</w:t>
            </w:r>
          </w:p>
        </w:tc>
        <w:tc>
          <w:tcPr>
            <w:tcW w:w="6120" w:type="dxa"/>
            <w:vAlign w:val="bottom"/>
            <w:gridSpan w:val="16"/>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Item 1. Legal Proceedings</w:t>
            </w:r>
          </w:p>
        </w:tc>
        <w:tc>
          <w:tcPr>
            <w:tcW w:w="5680" w:type="dxa"/>
            <w:vAlign w:val="bottom"/>
            <w:gridSpan w:val="1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Item 1A. Risk Factors</w:t>
            </w:r>
          </w:p>
        </w:tc>
        <w:tc>
          <w:tcPr>
            <w:tcW w:w="6060" w:type="dxa"/>
            <w:vAlign w:val="bottom"/>
            <w:gridSpan w:val="1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1"/>
          </w:tcPr>
          <w:p>
            <w:pPr>
              <w:spacing w:after="0" w:line="182" w:lineRule="exact"/>
              <w:rPr>
                <w:sz w:val="20"/>
                <w:szCs w:val="20"/>
                <w:color w:val="auto"/>
              </w:rPr>
            </w:pPr>
            <w:r>
              <w:rPr>
                <w:rFonts w:ascii="Arial" w:cs="Arial" w:eastAsia="Arial" w:hAnsi="Arial"/>
                <w:sz w:val="18"/>
                <w:szCs w:val="18"/>
                <w:color w:val="0000EE"/>
              </w:rPr>
              <w:t>Item 2. Unregistered Sales of Equity Securities, Use of Proceeds, and Issuer Purchases of Equity</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4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Securities</w:t>
            </w: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1"/>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9"/>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Item 5. Other Information</w:t>
            </w:r>
          </w:p>
        </w:tc>
        <w:tc>
          <w:tcPr>
            <w:tcW w:w="580" w:type="dxa"/>
            <w:vAlign w:val="bottom"/>
            <w:tcBorders>
              <w:top w:val="single" w:sz="8" w:color="0000EE"/>
            </w:tcBorders>
            <w:gridSpan w:val="3"/>
          </w:tcPr>
          <w:p>
            <w:pPr>
              <w:spacing w:after="0"/>
              <w:rPr>
                <w:sz w:val="15"/>
                <w:szCs w:val="15"/>
                <w:color w:val="auto"/>
              </w:rPr>
            </w:pPr>
          </w:p>
        </w:tc>
        <w:tc>
          <w:tcPr>
            <w:tcW w:w="520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1"/>
          </w:tcPr>
          <w:p>
            <w:pPr>
              <w:spacing w:after="0" w:line="182" w:lineRule="exact"/>
              <w:rPr>
                <w:sz w:val="20"/>
                <w:szCs w:val="20"/>
                <w:color w:val="auto"/>
              </w:rPr>
            </w:pPr>
            <w:r>
              <w:rPr>
                <w:rFonts w:ascii="Arial" w:cs="Arial" w:eastAsia="Arial" w:hAnsi="Arial"/>
                <w:sz w:val="18"/>
                <w:szCs w:val="18"/>
                <w:color w:val="0000EE"/>
              </w:rPr>
              <w:t>Item 6. Exhibits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560" w:type="dxa"/>
            <w:vAlign w:val="bottom"/>
            <w:gridSpan w:val="17"/>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7240" w:type="dxa"/>
            <w:vAlign w:val="bottom"/>
            <w:gridSpan w:val="19"/>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5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r>
      <w:tr>
        <w:trPr>
          <w:trHeight w:val="156"/>
        </w:trPr>
        <w:tc>
          <w:tcPr>
            <w:tcW w:w="6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324,603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243,784</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46,071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79,331</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67,264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54,740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5,087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4,297</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9,347</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8,786</w:t>
            </w:r>
          </w:p>
        </w:tc>
      </w:tr>
      <w:tr>
        <w:trPr>
          <w:trHeight w:val="156"/>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462,998</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400,285</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67,700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22,568</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143,069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160,953</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100,485</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85,943</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w:t>
            </w: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314,768</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273,585</w:t>
            </w:r>
          </w:p>
        </w:tc>
      </w:tr>
      <w:tr>
        <w:trPr>
          <w:trHeight w:val="195"/>
        </w:trPr>
        <w:tc>
          <w:tcPr>
            <w:tcW w:w="65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777,766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673,870</w:t>
            </w:r>
          </w:p>
        </w:tc>
      </w:tr>
      <w:tr>
        <w:trPr>
          <w:trHeight w:val="143"/>
        </w:trPr>
        <w:tc>
          <w:tcPr>
            <w:tcW w:w="6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11,532</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72,761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59,942</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7,786</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w:t>
            </w: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112,408</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78,884</w:t>
            </w:r>
          </w:p>
        </w:tc>
      </w:tr>
      <w:tr>
        <w:trPr>
          <w:trHeight w:val="155"/>
        </w:trPr>
        <w:tc>
          <w:tcPr>
            <w:tcW w:w="6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182,131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189,647</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r>
      <w:tr>
        <w:trPr>
          <w:trHeight w:val="156"/>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184,026</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192,148</w:t>
            </w:r>
          </w:p>
        </w:tc>
      </w:tr>
      <w:tr>
        <w:trPr>
          <w:trHeight w:val="155"/>
        </w:trPr>
        <w:tc>
          <w:tcPr>
            <w:tcW w:w="656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296,434</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271,032</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COMMITMENTS AND CONTINGENCIES (Note 12)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7"/>
        </w:trPr>
        <w:tc>
          <w:tcPr>
            <w:tcW w:w="6560" w:type="dxa"/>
            <w:vAlign w:val="bottom"/>
          </w:tcPr>
          <w:p>
            <w:pPr>
              <w:ind w:left="220"/>
              <w:spacing w:after="0" w:line="157" w:lineRule="exact"/>
              <w:rPr>
                <w:sz w:val="20"/>
                <w:szCs w:val="20"/>
                <w:color w:val="auto"/>
              </w:rPr>
            </w:pPr>
            <w:r>
              <w:rPr>
                <w:rFonts w:ascii="Arial" w:cs="Arial" w:eastAsia="Arial" w:hAnsi="Arial"/>
                <w:sz w:val="14"/>
                <w:szCs w:val="14"/>
                <w:color w:val="auto"/>
              </w:rPr>
              <w:t>Common stock—$0.00001 par value; 500,000,000 shares authorized at September 30, 2023 and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December 31, 2022, respectively; 58,571,944 shares and 59,615,731 issued and outstanding at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560" w:type="dxa"/>
            <w:vAlign w:val="bottom"/>
          </w:tcPr>
          <w:p>
            <w:pPr>
              <w:ind w:left="220"/>
              <w:spacing w:after="0"/>
              <w:rPr>
                <w:sz w:val="20"/>
                <w:szCs w:val="20"/>
                <w:color w:val="auto"/>
              </w:rPr>
            </w:pPr>
            <w:r>
              <w:rPr>
                <w:rFonts w:ascii="Arial" w:cs="Arial" w:eastAsia="Arial" w:hAnsi="Arial"/>
                <w:sz w:val="14"/>
                <w:szCs w:val="14"/>
                <w:color w:val="auto"/>
              </w:rPr>
              <w:t>September 30, 2023 and December 31, 2022, respectively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651,731</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675,118</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(169,884)</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(272,130)</w:t>
            </w:r>
          </w:p>
        </w:tc>
      </w:tr>
      <w:tr>
        <w:trPr>
          <w:trHeight w:val="155"/>
        </w:trPr>
        <w:tc>
          <w:tcPr>
            <w:tcW w:w="656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481,332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402,838</w:t>
            </w:r>
          </w:p>
        </w:tc>
      </w:tr>
      <w:tr>
        <w:trPr>
          <w:trHeight w:val="156"/>
        </w:trPr>
        <w:tc>
          <w:tcPr>
            <w:tcW w:w="6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777,766</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673,870</w:t>
            </w: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060" w:right="379" w:hanging="3041"/>
        <w:spacing w:after="0" w:line="2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Borders>
              <w:bottom w:val="single" w:sz="8" w:color="auto"/>
            </w:tcBorders>
            <w:gridSpan w:val="5"/>
          </w:tcPr>
          <w:p>
            <w:pPr>
              <w:jc w:val="right"/>
              <w:ind w:right="5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52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4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160,268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117,206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413,610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309,547</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32,296</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22,959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78,084</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56,596</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127,972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94,247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335,526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252,951</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17,499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45,757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60,794</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23,418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20,467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70,518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58,210</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22,546</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21,331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67,417</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61,374</w:t>
            </w:r>
          </w:p>
        </w:tc>
        <w:tc>
          <w:tcPr>
            <w:tcW w:w="0" w:type="dxa"/>
            <w:vAlign w:val="bottom"/>
          </w:tcPr>
          <w:p>
            <w:pPr>
              <w:spacing w:after="0"/>
              <w:rPr>
                <w:sz w:val="1"/>
                <w:szCs w:val="1"/>
                <w:color w:val="auto"/>
              </w:rPr>
            </w:pPr>
          </w:p>
        </w:tc>
      </w:tr>
      <w:tr>
        <w:trPr>
          <w:trHeight w:val="196"/>
        </w:trPr>
        <w:tc>
          <w:tcPr>
            <w:tcW w:w="344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63,463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82,346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183,692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180,378</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64,509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151,834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72,573</w:t>
            </w:r>
          </w:p>
        </w:tc>
        <w:tc>
          <w:tcPr>
            <w:tcW w:w="0" w:type="dxa"/>
            <w:vAlign w:val="bottom"/>
          </w:tcPr>
          <w:p>
            <w:pPr>
              <w:spacing w:after="0"/>
              <w:rPr>
                <w:sz w:val="1"/>
                <w:szCs w:val="1"/>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(9,766)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(9,766)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(2,906)</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(8,327)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51,832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133,707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60,583</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(13,371)</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79,976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(31,461)</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72,376</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38,461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87,943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102,246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132,959</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income (loss) on investments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38,467</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87,794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101,881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132,781</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3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34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32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0.63</w:t>
            </w:r>
          </w:p>
        </w:tc>
        <w:tc>
          <w:tcPr>
            <w:tcW w:w="3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3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0"/>
        </w:trPr>
        <w:tc>
          <w:tcPr>
            <w:tcW w:w="34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Weighted average number of shares of</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basic</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59,863,102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59,234,720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59,856,941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59,070,063</w:t>
            </w:r>
          </w:p>
        </w:tc>
        <w:tc>
          <w:tcPr>
            <w:tcW w:w="0" w:type="dxa"/>
            <w:vAlign w:val="bottom"/>
          </w:tcPr>
          <w:p>
            <w:pPr>
              <w:spacing w:after="0"/>
              <w:rPr>
                <w:sz w:val="1"/>
                <w:szCs w:val="1"/>
                <w:color w:val="auto"/>
              </w:rPr>
            </w:pPr>
          </w:p>
        </w:tc>
      </w:tr>
      <w:tr>
        <w:trPr>
          <w:trHeight w:val="190"/>
        </w:trPr>
        <w:tc>
          <w:tcPr>
            <w:tcW w:w="3440" w:type="dxa"/>
            <w:vAlign w:val="bottom"/>
          </w:tcPr>
          <w:p>
            <w:pPr>
              <w:ind w:left="220"/>
              <w:spacing w:after="0" w:line="189" w:lineRule="exact"/>
              <w:rPr>
                <w:sz w:val="20"/>
                <w:szCs w:val="20"/>
                <w:color w:val="auto"/>
              </w:rPr>
            </w:pPr>
            <w:r>
              <w:rPr>
                <w:rFonts w:ascii="Arial" w:cs="Arial" w:eastAsia="Arial" w:hAnsi="Arial"/>
                <w:sz w:val="18"/>
                <w:szCs w:val="18"/>
                <w:color w:val="auto"/>
              </w:rPr>
              <w:t>Weighted average number of shares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20"/>
              <w:spacing w:after="0"/>
              <w:rPr>
                <w:sz w:val="20"/>
                <w:szCs w:val="20"/>
                <w:color w:val="auto"/>
              </w:rPr>
            </w:pPr>
            <w:r>
              <w:rPr>
                <w:rFonts w:ascii="Arial" w:cs="Arial" w:eastAsia="Arial" w:hAnsi="Arial"/>
                <w:sz w:val="18"/>
                <w:szCs w:val="18"/>
                <w:color w:val="auto"/>
              </w:rPr>
              <w:t>common stock - diluted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60,681,676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61,207,625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60,892,992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60,921,482</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60" w:right="379" w:hanging="3041"/>
        <w:spacing w:after="0" w:line="2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9"/>
              </w:rPr>
              <w:t>capital</w:t>
            </w:r>
          </w:p>
        </w:tc>
        <w:tc>
          <w:tcPr>
            <w:tcW w:w="40" w:type="dxa"/>
            <w:vAlign w:val="bottom"/>
          </w:tcPr>
          <w:p>
            <w:pPr>
              <w:spacing w:after="0"/>
              <w:rPr>
                <w:sz w:val="13"/>
                <w:szCs w:val="13"/>
                <w:color w:val="auto"/>
              </w:rPr>
            </w:pPr>
          </w:p>
        </w:tc>
        <w:tc>
          <w:tcPr>
            <w:tcW w:w="1200" w:type="dxa"/>
            <w:vAlign w:val="bottom"/>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rPr>
              <w:t>(loss) income</w:t>
            </w:r>
          </w:p>
        </w:tc>
        <w:tc>
          <w:tcPr>
            <w:tcW w:w="160" w:type="dxa"/>
            <w:vAlign w:val="bottom"/>
          </w:tcPr>
          <w:p>
            <w:pPr>
              <w:spacing w:after="0"/>
              <w:rPr>
                <w:sz w:val="13"/>
                <w:szCs w:val="13"/>
                <w:color w:val="auto"/>
              </w:rPr>
            </w:pPr>
          </w:p>
        </w:tc>
        <w:tc>
          <w:tcPr>
            <w:tcW w:w="94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2022</w:t>
            </w:r>
          </w:p>
        </w:tc>
        <w:tc>
          <w:tcPr>
            <w:tcW w:w="2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59,615,731</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675,118</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(151)</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(272,130)</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402,838</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102,246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102,246</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(365)</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(1,439,792)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(50,543)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(50,543)</w:t>
            </w:r>
          </w:p>
        </w:tc>
      </w:tr>
      <w:tr>
        <w:trPr>
          <w:trHeight w:val="157"/>
        </w:trPr>
        <w:tc>
          <w:tcPr>
            <w:tcW w:w="258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Exercise of options and restricted</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7"/>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units</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396,005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4,314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22,842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22,842</w:t>
            </w:r>
          </w:p>
        </w:tc>
      </w:tr>
      <w:tr>
        <w:trPr>
          <w:trHeight w:val="155"/>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September 30, 2023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58,571,944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651,731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(516)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(169,884)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481,332</w:t>
            </w:r>
          </w:p>
        </w:tc>
      </w:tr>
      <w:tr>
        <w:trPr>
          <w:trHeight w:val="20"/>
        </w:trPr>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05"/>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9"/>
              </w:rPr>
              <w:t>capital</w:t>
            </w:r>
          </w:p>
        </w:tc>
        <w:tc>
          <w:tcPr>
            <w:tcW w:w="40" w:type="dxa"/>
            <w:vAlign w:val="bottom"/>
          </w:tcPr>
          <w:p>
            <w:pPr>
              <w:spacing w:after="0"/>
              <w:rPr>
                <w:sz w:val="13"/>
                <w:szCs w:val="13"/>
                <w:color w:val="auto"/>
              </w:rPr>
            </w:pPr>
          </w:p>
        </w:tc>
        <w:tc>
          <w:tcPr>
            <w:tcW w:w="1200" w:type="dxa"/>
            <w:vAlign w:val="bottom"/>
            <w:gridSpan w:val="4"/>
          </w:tcPr>
          <w:p>
            <w:pPr>
              <w:jc w:val="center"/>
              <w:ind w:right="120"/>
              <w:spacing w:after="0" w:line="155" w:lineRule="exact"/>
              <w:rPr>
                <w:sz w:val="20"/>
                <w:szCs w:val="20"/>
                <w:color w:val="auto"/>
              </w:rPr>
            </w:pPr>
            <w:r>
              <w:rPr>
                <w:rFonts w:ascii="Arial" w:cs="Arial" w:eastAsia="Arial" w:hAnsi="Arial"/>
                <w:sz w:val="14"/>
                <w:szCs w:val="14"/>
                <w:b w:val="1"/>
                <w:bCs w:val="1"/>
                <w:color w:val="auto"/>
              </w:rPr>
              <w:t>(loss) income</w:t>
            </w:r>
          </w:p>
        </w:tc>
        <w:tc>
          <w:tcPr>
            <w:tcW w:w="160" w:type="dxa"/>
            <w:vAlign w:val="bottom"/>
          </w:tcPr>
          <w:p>
            <w:pPr>
              <w:spacing w:after="0"/>
              <w:rPr>
                <w:sz w:val="13"/>
                <w:szCs w:val="13"/>
                <w:color w:val="auto"/>
              </w:rPr>
            </w:pPr>
          </w:p>
        </w:tc>
        <w:tc>
          <w:tcPr>
            <w:tcW w:w="94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June 30, 2023</w:t>
            </w:r>
          </w:p>
        </w:tc>
        <w:tc>
          <w:tcPr>
            <w:tcW w:w="2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59,999,658</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694,038</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(522)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(208,345)</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485,172</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38,461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38,461</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(1,439,792)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(50,543)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(50,543)</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options</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12,078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7,991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7,991</w:t>
            </w:r>
          </w:p>
        </w:tc>
      </w:tr>
      <w:tr>
        <w:trPr>
          <w:trHeight w:val="155"/>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September 30, 2023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58,571,944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651,731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(516)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(169,884)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481,332</w:t>
            </w:r>
          </w:p>
        </w:tc>
      </w:tr>
      <w:tr>
        <w:trPr>
          <w:trHeight w:val="20"/>
        </w:trPr>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05"/>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5"/>
          </w:tcPr>
          <w:p>
            <w:pPr>
              <w:ind w:left="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r>
      <w:tr>
        <w:trPr>
          <w:trHeight w:val="175"/>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120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(loss) income</w:t>
            </w:r>
          </w:p>
        </w:tc>
        <w:tc>
          <w:tcPr>
            <w:tcW w:w="160" w:type="dxa"/>
            <w:vAlign w:val="bottom"/>
          </w:tcPr>
          <w:p>
            <w:pPr>
              <w:spacing w:after="0"/>
              <w:rPr>
                <w:sz w:val="13"/>
                <w:szCs w:val="13"/>
                <w:color w:val="auto"/>
              </w:rPr>
            </w:pPr>
          </w:p>
        </w:tc>
        <w:tc>
          <w:tcPr>
            <w:tcW w:w="9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2021</w:t>
            </w:r>
          </w:p>
        </w:tc>
        <w:tc>
          <w:tcPr>
            <w:tcW w:w="9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58,825,769</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640,104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(453,598)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186,507</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132,959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132,959</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8,050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stock options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470,589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18,913</w:t>
            </w:r>
          </w:p>
        </w:tc>
      </w:tr>
      <w:tr>
        <w:trPr>
          <w:trHeight w:val="155"/>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September 30, 2022</w:t>
            </w:r>
          </w:p>
        </w:tc>
        <w:tc>
          <w:tcPr>
            <w:tcW w:w="9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59,304,408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664,700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(320,639)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343,884</w:t>
            </w: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21"/>
        </w:trPr>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5"/>
          </w:tcPr>
          <w:p>
            <w:pPr>
              <w:ind w:left="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r>
      <w:tr>
        <w:trPr>
          <w:trHeight w:val="175"/>
        </w:trPr>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120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(loss) income</w:t>
            </w:r>
          </w:p>
        </w:tc>
        <w:tc>
          <w:tcPr>
            <w:tcW w:w="160" w:type="dxa"/>
            <w:vAlign w:val="bottom"/>
          </w:tcPr>
          <w:p>
            <w:pPr>
              <w:spacing w:after="0"/>
              <w:rPr>
                <w:sz w:val="13"/>
                <w:szCs w:val="13"/>
                <w:color w:val="auto"/>
              </w:rPr>
            </w:pPr>
          </w:p>
        </w:tc>
        <w:tc>
          <w:tcPr>
            <w:tcW w:w="9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June 30, 2022</w:t>
            </w:r>
          </w:p>
        </w:tc>
        <w:tc>
          <w:tcPr>
            <w:tcW w:w="9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59,117,749</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655,143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(408,582)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246,533</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87,943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87,943</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Issuance of common stock</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8,050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 of options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178,609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2,143</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7,006</w:t>
            </w:r>
          </w:p>
        </w:tc>
      </w:tr>
      <w:tr>
        <w:trPr>
          <w:trHeight w:val="155"/>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September 30, 2022</w:t>
            </w:r>
          </w:p>
        </w:tc>
        <w:tc>
          <w:tcPr>
            <w:tcW w:w="9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59,304,408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664,700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(320,639)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343,884</w:t>
            </w: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 xml:space="preserve">The accompanying notes are an integral part of the </w:t>
      </w:r>
      <w:r>
        <w:rPr>
          <w:rFonts w:ascii="Arial" w:cs="Arial" w:eastAsia="Arial" w:hAnsi="Arial"/>
          <w:sz w:val="17"/>
          <w:szCs w:val="17"/>
          <w:color w:val="auto"/>
        </w:rPr>
        <w:t>unaudited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6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102,246</w:t>
            </w:r>
          </w:p>
        </w:tc>
        <w:tc>
          <w:tcPr>
            <w:tcW w:w="2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132,959</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17,884</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17,005</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22,842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18,913</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1,241</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(14,542)</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(81,679)</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(2,031)</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debt extinguishment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Other non-cash expenses</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1,042</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(12,524)</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(20,222)</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(1,759)</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(4,704)</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9,048</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15,714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43,171</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14"/>
                <w:szCs w:val="14"/>
                <w:color w:val="auto"/>
              </w:rPr>
            </w:pPr>
          </w:p>
        </w:tc>
      </w:tr>
      <w:tr>
        <w:trPr>
          <w:trHeight w:val="156"/>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142,722</w:t>
            </w:r>
          </w:p>
        </w:tc>
        <w:tc>
          <w:tcPr>
            <w:tcW w:w="2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117,788</w:t>
            </w:r>
          </w:p>
        </w:tc>
        <w:tc>
          <w:tcPr>
            <w:tcW w:w="20" w:type="dxa"/>
            <w:vAlign w:val="bottom"/>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(105,856)</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(55,637)</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95,687</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(205)</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Milestone payments</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0" w:type="dxa"/>
            <w:vAlign w:val="bottom"/>
          </w:tcPr>
          <w:p>
            <w:pPr>
              <w:spacing w:after="0"/>
              <w:rPr>
                <w:sz w:val="14"/>
                <w:szCs w:val="14"/>
                <w:color w:val="auto"/>
              </w:rPr>
            </w:pPr>
          </w:p>
        </w:tc>
      </w:tr>
      <w:tr>
        <w:trPr>
          <w:trHeight w:val="155"/>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(10,374)</w:t>
            </w:r>
          </w:p>
        </w:tc>
        <w:tc>
          <w:tcPr>
            <w:tcW w:w="2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(94,937)</w:t>
            </w:r>
          </w:p>
        </w:tc>
        <w:tc>
          <w:tcPr>
            <w:tcW w:w="20" w:type="dxa"/>
            <w:vAlign w:val="bottom"/>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12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408</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long term debt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(2,997)</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(196,500)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Extinguishment of debt exit fees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(5,846)</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 term debt</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(50,000)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(514)</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Proceeds from exercised options</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4,828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5,275</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(52,029)</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w:t>
            </w:r>
          </w:p>
        </w:tc>
        <w:tc>
          <w:tcPr>
            <w:tcW w:w="20" w:type="dxa"/>
            <w:vAlign w:val="bottom"/>
          </w:tcPr>
          <w:p>
            <w:pPr>
              <w:spacing w:after="0"/>
              <w:rPr>
                <w:sz w:val="14"/>
                <w:szCs w:val="14"/>
                <w:color w:val="auto"/>
              </w:rPr>
            </w:pPr>
          </w:p>
        </w:tc>
      </w:tr>
      <w:tr>
        <w:trPr>
          <w:trHeight w:val="155"/>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80,319</w:t>
            </w:r>
          </w:p>
        </w:tc>
        <w:tc>
          <w:tcPr>
            <w:tcW w:w="2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27,034</w:t>
            </w:r>
          </w:p>
        </w:tc>
        <w:tc>
          <w:tcPr>
            <w:tcW w:w="20" w:type="dxa"/>
            <w:vAlign w:val="bottom"/>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c>
          <w:tcPr>
            <w:tcW w:w="2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235,059</w:t>
            </w:r>
          </w:p>
        </w:tc>
        <w:tc>
          <w:tcPr>
            <w:tcW w:w="20" w:type="dxa"/>
            <w:vAlign w:val="bottom"/>
          </w:tcPr>
          <w:p>
            <w:pPr>
              <w:spacing w:after="0"/>
              <w:rPr>
                <w:sz w:val="13"/>
                <w:szCs w:val="13"/>
                <w:color w:val="auto"/>
              </w:rPr>
            </w:pPr>
          </w:p>
        </w:tc>
      </w:tr>
      <w:tr>
        <w:trPr>
          <w:trHeight w:val="156"/>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324,853</w:t>
            </w: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262,093</w:t>
            </w:r>
          </w:p>
        </w:tc>
        <w:tc>
          <w:tcPr>
            <w:tcW w:w="20" w:type="dxa"/>
            <w:vAlign w:val="bottom"/>
          </w:tcPr>
          <w:p>
            <w:pPr>
              <w:spacing w:after="0"/>
              <w:rPr>
                <w:sz w:val="13"/>
                <w:szCs w:val="13"/>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15,653</w:t>
            </w:r>
          </w:p>
        </w:tc>
        <w:tc>
          <w:tcPr>
            <w:tcW w:w="2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11,334</w:t>
            </w:r>
          </w:p>
        </w:tc>
        <w:tc>
          <w:tcPr>
            <w:tcW w:w="20" w:type="dxa"/>
            <w:vAlign w:val="bottom"/>
          </w:tcPr>
          <w:p>
            <w:pPr>
              <w:spacing w:after="0"/>
              <w:rPr>
                <w:sz w:val="14"/>
                <w:szCs w:val="14"/>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taxes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36,543</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9,702</w:t>
            </w:r>
          </w:p>
        </w:tc>
        <w:tc>
          <w:tcPr>
            <w:tcW w:w="20" w:type="dxa"/>
            <w:vAlign w:val="bottom"/>
          </w:tcPr>
          <w:p>
            <w:pPr>
              <w:spacing w:after="0"/>
              <w:rPr>
                <w:sz w:val="14"/>
                <w:szCs w:val="14"/>
                <w:color w:val="auto"/>
              </w:rPr>
            </w:pPr>
          </w:p>
        </w:tc>
      </w:tr>
    </w:tbl>
    <w:p>
      <w:pPr>
        <w:spacing w:after="0" w:line="190" w:lineRule="exact"/>
        <w:rPr>
          <w:sz w:val="20"/>
          <w:szCs w:val="20"/>
          <w:color w:val="auto"/>
        </w:rPr>
      </w:pPr>
    </w:p>
    <w:p>
      <w:pPr>
        <w:ind w:left="4060" w:right="379" w:hanging="3041"/>
        <w:spacing w:after="0" w:line="260"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0" w:right="70"/>
        <w:spacing w:after="0" w:line="260" w:lineRule="auto"/>
        <w:rPr>
          <w:sz w:val="20"/>
          <w:szCs w:val="20"/>
          <w:color w:val="auto"/>
        </w:rPr>
      </w:pPr>
      <w:r>
        <w:rPr>
          <w:rFonts w:ascii="Arial" w:cs="Arial" w:eastAsia="Arial" w:hAnsi="Arial"/>
          <w:sz w:val="18"/>
          <w:szCs w:val="18"/>
          <w:b w:val="1"/>
          <w:bCs w:val="1"/>
          <w:color w:val="auto"/>
        </w:rPr>
        <w:t>HARMONY BIOSCIENCES HOLDINGS, INC. AND SUBSIDIARY NOTES TO UNAUDITED CONDENSED CONSOLIDATED FINANCIAL STATEMENTS (In thousands, except share and per share data)</w:t>
      </w:r>
    </w:p>
    <w:p>
      <w:pPr>
        <w:spacing w:after="0" w:line="151" w:lineRule="exact"/>
        <w:rPr>
          <w:sz w:val="20"/>
          <w:szCs w:val="20"/>
          <w:color w:val="auto"/>
        </w:rPr>
      </w:pPr>
    </w:p>
    <w:p>
      <w:pPr>
        <w:ind w:left="700" w:right="4399" w:hanging="650"/>
        <w:spacing w:after="0" w:line="491"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8" w:lineRule="auto"/>
        <w:rPr>
          <w:sz w:val="20"/>
          <w:szCs w:val="20"/>
          <w:color w:val="auto"/>
        </w:rPr>
      </w:pPr>
      <w:r>
        <w:rPr>
          <w:rFonts w:ascii="Arial" w:cs="Arial" w:eastAsia="Arial" w:hAnsi="Arial"/>
          <w:sz w:val="18"/>
          <w:szCs w:val="18"/>
          <w:color w:val="auto"/>
        </w:rPr>
        <w:t>Harmony Biosciences Holdings, Inc., and its consolidated subsidiary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subsidiary, Harmony Biosciences, LLC (“Harmony”), which was formed in May 2017. The Company is a commercial-stage pharmaceutical company focused on developing and commercializing innovative therapies for patients living with rare neurological diseases as well as patients living with other neurological diseases who have unmet medical needs. The Company is headquartered in Plymouth Meeting, Pennsylvania.</w:t>
      </w:r>
    </w:p>
    <w:p>
      <w:pPr>
        <w:spacing w:after="0" w:line="181"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$169,884 and $272,130, as of September 30, 2023 and December 31, 2022, respectively. As of September 30, 2023, the Company had cash, cash equivalents and investments of $438,374.</w:t>
      </w:r>
    </w:p>
    <w:p>
      <w:pPr>
        <w:spacing w:after="0" w:line="189"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The Company believes that its existing cash, cash equivalents and investments on hand as of September 30, 2023,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spacing w:after="0" w:line="178" w:lineRule="exact"/>
        <w:rPr>
          <w:sz w:val="20"/>
          <w:szCs w:val="20"/>
          <w:color w:val="auto"/>
        </w:rPr>
      </w:pPr>
    </w:p>
    <w:p>
      <w:pPr>
        <w:ind w:left="700" w:right="4179" w:hanging="650"/>
        <w:spacing w:after="0" w:line="491"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51" w:lineRule="auto"/>
        <w:rPr>
          <w:sz w:val="20"/>
          <w:szCs w:val="20"/>
          <w:color w:val="auto"/>
        </w:rPr>
      </w:pPr>
      <w:r>
        <w:rPr>
          <w:rFonts w:ascii="Arial" w:cs="Arial" w:eastAsia="Arial" w:hAnsi="Arial"/>
          <w:sz w:val="17"/>
          <w:szCs w:val="17"/>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September 30, 2023, the unaudited condensed consolidated statements of cash flows for the three and nine months ended September 30, 2023, and 2022, and the unaudited condensed consolidated statements of operations and comprehensive income and the unaudited condensed consolidated statements of shareholders’ equity for the three and nine months ended September 30, 2023 and 2022, are unaudited. The balance sheet as of December 31, 2022, was derived from audited financial statements as of and for the year ended December 31, 2022. The unaudited interim condensed consolidated financial statements have been prepared on the same basis as the audited annual financial statements as of and for the year ended December 31, 2022, and, in the opinion of management, reflect all adjustments, which include only normal recurring adjustments, necessary for the fair presentation of the Company’s financial position as of September 30, 2023, and the results of its operations and its cash flows for the three and nine months ended September 30, 2023 and 2022.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0" w:lineRule="auto"/>
        <w:rPr>
          <w:sz w:val="20"/>
          <w:szCs w:val="20"/>
          <w:color w:val="auto"/>
        </w:rPr>
      </w:pPr>
      <w:r>
        <w:rPr>
          <w:rFonts w:ascii="Arial" w:cs="Arial" w:eastAsia="Arial" w:hAnsi="Arial"/>
          <w:sz w:val="18"/>
          <w:szCs w:val="18"/>
          <w:color w:val="auto"/>
        </w:rPr>
        <w:t>in conjunction with the audited financial statements and accompanying notes thereto contained in the Company’s Annual Report on Form 10-K for the year ended December 31, 2022.</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2" w:lineRule="exact"/>
        <w:rPr>
          <w:sz w:val="20"/>
          <w:szCs w:val="20"/>
          <w:color w:val="auto"/>
        </w:rPr>
      </w:pPr>
    </w:p>
    <w:p>
      <w:pPr>
        <w:jc w:val="both"/>
        <w:ind w:left="60" w:right="79" w:firstLine="648"/>
        <w:spacing w:after="0" w:line="243"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the statements of cash flows.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60" w:type="dxa"/>
            <w:vAlign w:val="bottom"/>
            <w:gridSpan w:val="2"/>
          </w:tcPr>
          <w:p>
            <w:pPr>
              <w:jc w:val="right"/>
              <w:ind w:right="15"/>
              <w:spacing w:after="0" w:line="14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324,603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243,784</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324,853</w:t>
            </w:r>
          </w:p>
        </w:tc>
        <w:tc>
          <w:tcPr>
            <w:tcW w:w="42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244,534</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w:t>
            </w:r>
          </w:p>
        </w:tc>
        <w:tc>
          <w:tcPr>
            <w:tcW w:w="48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net, on the unaudited condensed consolidated statements of operations and comprehensive income. Interest income and realized gains and losses, if any, are also recorded in interest expense, net, on the unaudited condensed consolidated statement of operations and comprehensive income. Realized gains and losses that result from the sale of investments are determined on a specific identification basis.</w:t>
      </w:r>
    </w:p>
    <w:p>
      <w:pPr>
        <w:spacing w:after="0" w:line="19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8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income generated from our investments and cash equivalents, which is included in interest expense, net, was $3,384 and $8,537 for the three and nine months ended September 30, 2023, respectively, compared to $828 and $1,145 for the three and nine months ended September 30, 2022, respectively.</w:t>
      </w:r>
    </w:p>
    <w:p>
      <w:pPr>
        <w:spacing w:after="0" w:line="3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Substantially all of the Company’s cash and money market funds are held in four financial institutions. Due to their size, the Company believes these financial institutions represent minimal credit risk. Deposits may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88"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is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September 30, 2023, three customers accounted for 100% of gross accounts receivable; Caremark LLC (“CVS Caremark”), which accounted for 37% of gross accounts receivable; Accredo Health Group, Inc. (“Accredo”), which accounted for 37% of gross accounts receivable; and PANTHERx Specialty Pharmacy LLC (“Pantherx”), which accounted for 26% of gross accounts receivable. As of December 31, 2022, three customers accounted for 100% of gross accounts receivable; CVS Caremark, which accounted for 41% of gross accounts receivable, Accredo, which accounted for 35% of gross accounts receivable; and Pantherx, which accounted for 24% of gross accounts receivable.</w:t>
      </w:r>
    </w:p>
    <w:p>
      <w:pPr>
        <w:spacing w:after="0" w:line="19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For the nine months ended September 30, 2023, three customers accounted for 100% of gross product revenues; CVS Caremark accounted for 37% of gross product revenues; Accredo accounted for 32% of gross product revenues; and Pantherx accounted for 31% of gross product revenues. For the nine months ended September 30, 2022, three customers accounted for 100% of gross product revenues; CVS Caremark accounted for 40% of gross product revenues; Pantherx accounted for 30% of gross product revenues; and Accredo accounted for 30% of gross product revenues.</w:t>
      </w:r>
    </w:p>
    <w:p>
      <w:pPr>
        <w:spacing w:after="0" w:line="194"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The Company depends on a single source supplier for each of its product and active pharmaceutical ingredient.</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2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2" w:lineRule="exact"/>
        <w:rPr>
          <w:sz w:val="20"/>
          <w:szCs w:val="20"/>
          <w:color w:val="auto"/>
        </w:rPr>
      </w:pPr>
    </w:p>
    <w:p>
      <w:pPr>
        <w:ind w:left="60" w:right="59" w:firstLine="648"/>
        <w:spacing w:after="0" w:line="260" w:lineRule="auto"/>
        <w:rPr>
          <w:sz w:val="20"/>
          <w:szCs w:val="20"/>
          <w:color w:val="auto"/>
        </w:rPr>
      </w:pPr>
      <w:r>
        <w:rPr>
          <w:rFonts w:ascii="Arial" w:cs="Arial" w:eastAsia="Arial" w:hAnsi="Arial"/>
          <w:sz w:val="18"/>
          <w:szCs w:val="18"/>
          <w:color w:val="auto"/>
        </w:rPr>
        <w:t>The Company did not adopt any new accounting pronouncements that had a material effect on its condensed consolidated financial statements during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2" w:lineRule="exact"/>
        <w:rPr>
          <w:sz w:val="20"/>
          <w:szCs w:val="20"/>
          <w:color w:val="auto"/>
        </w:rPr>
      </w:pPr>
    </w:p>
    <w:p>
      <w:pPr>
        <w:jc w:val="both"/>
        <w:ind w:left="60" w:right="79" w:firstLine="648"/>
        <w:spacing w:after="0" w:line="260"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27,717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1,915</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46,088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46,071</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39,497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68,199</w:t>
            </w: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67,700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26,553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26,534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49,149</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3,658</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79,424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79,331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22,568</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September 30, 2023 and December 31, 2022,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8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84" w:lineRule="exact"/>
        <w:rPr>
          <w:sz w:val="20"/>
          <w:szCs w:val="20"/>
          <w:color w:val="auto"/>
        </w:rPr>
      </w:pPr>
    </w:p>
    <w:p>
      <w:pPr>
        <w:ind w:left="700" w:right="739"/>
        <w:spacing w:after="0" w:line="260"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73" w:lineRule="exact"/>
        <w:rPr>
          <w:sz w:val="20"/>
          <w:szCs w:val="20"/>
          <w:color w:val="auto"/>
        </w:rPr>
      </w:pPr>
    </w:p>
    <w:p>
      <w:pPr>
        <w:ind w:left="700" w:right="199"/>
        <w:spacing w:after="0" w:line="260"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3" w:lineRule="exact"/>
        <w:rPr>
          <w:sz w:val="20"/>
          <w:szCs w:val="20"/>
          <w:color w:val="auto"/>
        </w:rPr>
      </w:pPr>
    </w:p>
    <w:p>
      <w:pPr>
        <w:ind w:left="700" w:right="119"/>
        <w:spacing w:after="0" w:line="260"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7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September 30, 2023 or December 31, 2022.</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September 30, 2023</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December 31, 2022</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8"/>
                <w:szCs w:val="18"/>
                <w:color w:val="auto"/>
              </w:rPr>
            </w:pPr>
          </w:p>
        </w:tc>
        <w:tc>
          <w:tcPr>
            <w:tcW w:w="7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198,135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198,135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184,977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184,977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29,326</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55,808</w:t>
            </w:r>
          </w:p>
        </w:tc>
        <w:tc>
          <w:tcPr>
            <w:tcW w:w="16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55,808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70,608</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28,637</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311,906</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198,135</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113,771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286,876</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184,977</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6. INVENTORY</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80" w:type="dxa"/>
            <w:vAlign w:val="bottom"/>
            <w:gridSpan w:val="4"/>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2,611</w:t>
            </w:r>
          </w:p>
        </w:tc>
        <w:tc>
          <w:tcPr>
            <w:tcW w:w="2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5,376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4,916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5,087</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right"/>
              <w:ind w:right="213"/>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INTANGIBLE ASSETS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$ 75,000 under the provisions of the 2017 LCA (defined below) which the Company capitalized as an intangible asset. The Company determined a useful life of 10 years for such intangible asset, and, as of September 30, 2023, the remaining useful life was 6.0 years.</w:t>
      </w:r>
    </w:p>
    <w:p>
      <w:pPr>
        <w:spacing w:after="0" w:line="189"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September 30, 2023, the remaining useful life was 6.0 years.</w:t>
      </w:r>
    </w:p>
    <w:p>
      <w:pPr>
        <w:spacing w:after="0" w:line="189"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September 30, 2023, the remaining useful life was 6.0 years.</w:t>
      </w:r>
    </w:p>
    <w:p>
      <w:pPr>
        <w:spacing w:after="0" w:line="188"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Amortization expense was $5,962 and $5,961 for the three months ended September 30, 2023 and 2022, respectively, and $17,884 and $17,005 for the nine months ended September 30, 2023 and 2022, respectively, and is recorded in general and administrative expenses on the unaudited condensed consolidated statements of operations and comprehensive income.</w:t>
      </w:r>
    </w:p>
    <w:p>
      <w:pPr>
        <w:spacing w:after="0" w:line="188" w:lineRule="exact"/>
        <w:rPr>
          <w:sz w:val="20"/>
          <w:szCs w:val="20"/>
          <w:color w:val="auto"/>
        </w:rPr>
      </w:pPr>
    </w:p>
    <w:p>
      <w:pPr>
        <w:jc w:val="both"/>
        <w:ind w:left="60" w:right="79" w:firstLine="648"/>
        <w:spacing w:after="0" w:line="260"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2023 (Excluding the nine months ended September 30, 2023)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5,961</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41,728</w:t>
            </w: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143,069</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900" w:type="dxa"/>
            <w:vAlign w:val="bottom"/>
            <w:gridSpan w:val="4"/>
          </w:tcPr>
          <w:p>
            <w:pPr>
              <w:ind w:left="640"/>
              <w:spacing w:after="0"/>
              <w:rPr>
                <w:sz w:val="20"/>
                <w:szCs w:val="20"/>
                <w:color w:val="auto"/>
              </w:rPr>
            </w:pPr>
            <w:r>
              <w:rPr>
                <w:rFonts w:ascii="Arial" w:cs="Arial" w:eastAsia="Arial" w:hAnsi="Arial"/>
                <w:sz w:val="18"/>
                <w:szCs w:val="18"/>
                <w:color w:val="auto"/>
              </w:rPr>
              <w:t>The gross carrying amount and net book value of the intangible asset is as follows: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r>
      <w:tr>
        <w:trPr>
          <w:trHeight w:val="196"/>
        </w:trPr>
        <w:tc>
          <w:tcPr>
            <w:tcW w:w="67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6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7"/>
                <w:szCs w:val="17"/>
                <w:color w:val="auto"/>
              </w:rPr>
            </w:pPr>
          </w:p>
        </w:tc>
        <w:tc>
          <w:tcPr>
            <w:tcW w:w="9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(71,931)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(54,047)</w:t>
            </w:r>
          </w:p>
        </w:tc>
        <w:tc>
          <w:tcPr>
            <w:tcW w:w="20" w:type="dxa"/>
            <w:vAlign w:val="bottom"/>
          </w:tcPr>
          <w:p>
            <w:pPr>
              <w:spacing w:after="0"/>
              <w:rPr>
                <w:sz w:val="17"/>
                <w:szCs w:val="17"/>
                <w:color w:val="auto"/>
              </w:rPr>
            </w:pPr>
          </w:p>
        </w:tc>
      </w:tr>
      <w:tr>
        <w:trPr>
          <w:trHeight w:val="196"/>
        </w:trPr>
        <w:tc>
          <w:tcPr>
            <w:tcW w:w="67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143,069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160,953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ind w:left="700" w:right="3199" w:hanging="650"/>
        <w:spacing w:after="0" w:line="491"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License Agreements</w:t>
      </w:r>
    </w:p>
    <w:p>
      <w:pPr>
        <w:jc w:val="both"/>
        <w:ind w:left="60" w:right="59" w:firstLine="648"/>
        <w:spacing w:after="0" w:line="241"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$29,665 and $20,944 for the three months ended September 30, 2023 and 2022, respectively, and $71,267 and $ 51,741 for the nine months ended September 30, 2023 and 2022, respectively, for sales-based, trademark and tiered royalties recognized as cost of product sold. As of September 30, 2023 and December 31, 2022, the Company had accrued $29,665 and $25,367, respectively, for sales-based, trademark and tiered royalties.</w:t>
      </w:r>
    </w:p>
    <w:p>
      <w:pPr>
        <w:spacing w:after="0" w:line="20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July 31,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unaudited condensed consolidated statement of operations and comprehensive income for the nine months ended September 30, 2023. There are additional payments due under the APA upon the achievement of certain milestones including $1,000 for preclinical milestones, $19,000 for development milestones, $44,000 for regulatory milestones and $110,000 for sales milestones.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52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29,665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25,367</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31,853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27,860</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3,286</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1,163</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r>
      <w:tr>
        <w:trPr>
          <w:trHeight w:val="196"/>
        </w:trPr>
        <w:tc>
          <w:tcPr>
            <w:tcW w:w="5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72,761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59,942</w:t>
            </w:r>
          </w:p>
        </w:tc>
      </w:tr>
      <w:tr>
        <w:trPr>
          <w:trHeight w:val="20"/>
        </w:trPr>
        <w:tc>
          <w:tcPr>
            <w:tcW w:w="5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On July 26,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w:t>
      </w:r>
    </w:p>
    <w:p>
      <w:pPr>
        <w:spacing w:after="0" w:line="188"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On September 21, 2023, the Company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$15,000. The First Incremental Amendment amends the TLA Credit Agreement and provides that the Incremental Term Loan will have identical terms as the TLA Term Loan.</w:t>
      </w:r>
    </w:p>
    <w:p>
      <w:pPr>
        <w:spacing w:after="0" w:line="18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quarterly $3,750 principal payments, which commence on December 31, 2023, increasing to quarterly $5,000 principal payments beginning on December 31, 2025, with a $115,000 payment due on the maturity date of July 26, 2028. The Term Loans bear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9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The net cash received related to the Term Loans as a result of the transactions, less debt issuance costs of $2,997, was $197,003. The debt issuance costs related to the Term Loans will be amortized as additional interest expense over the loan term of the TLA Credit Agreement. The fair value of the Term Loans as of September 30, 2023 was $199,820.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the Company entered into the Blackstone Credit Agreement that provided for (i) a senior secured term loan facility in an aggregate original principal amount of $200,000 (the “Initial Term Loan”) and (ii) a senior secured delayed draw term loan facility in an aggregate principal amount up to $100,000 (the “DDTL”). The DDTL was initially available to draw down through August 9, 2022. In August 2022, the Company entered into an agreement to extend the expiration date of the DDTL to August 9, 2023, for which the Company would pay a ticking fee at a rate of 1% per annum on the undrawn portion of the DDTL (the “Ticking Fee”), which commenced on August 10, 2022.</w:t>
      </w:r>
    </w:p>
    <w:p>
      <w:pPr>
        <w:spacing w:after="0" w:line="19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received from the Initial Term Loan was $191,849, net of debt issuance costs of $8,151. In addition, the Company paid $1,000 in debt issuance costs relating to the DDTL, which was initially recorded in other current assets within the unaudited condensed consolidated balance sheet.</w:t>
      </w:r>
    </w:p>
    <w:p>
      <w:pPr>
        <w:spacing w:after="0" w:line="18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connection with the TLA Credit Agreement, the Company extinguished the Blackstone Credit Agreement, which required a payoff amount of $207,308 consisting of principal repayment, interest, exit fees, Ticking Fee and a prepayment premium. The Company recognized a loss on extinguishment of debt of $9,766 relating to the Blackstone Credit Agreement within the Company’s unaudited condensed consolidated statements of operation and comprehensive income for the three and nine months ended September 30, 2023. In addition, the Company recognized $1,972 relating to unamortized debt issuance costs relating to the DDTL and the Ticking Fee, which was recorded in interest expense, net within the unaudited condensed consolidated statement of operations and comprehensive income for the three and nine months ended September 30, 2023.</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net carrying value</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197,131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182,131</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189,647</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jc w:val="right"/>
              <w:ind w:right="1230"/>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8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8"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Future minimum payments relating to long-term debt, net as of September 30, 2023, for the periods indicated below consists of the following:</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 (Excluding the nine months ended September 30, 2023)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16"/>
        </w:trPr>
        <w:tc>
          <w:tcPr>
            <w:tcW w:w="7780" w:type="dxa"/>
            <w:vAlign w:val="bottom"/>
          </w:tcPr>
          <w:p>
            <w:pPr>
              <w:ind w:left="1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r>
      <w:tr>
        <w:trPr>
          <w:trHeight w:val="216"/>
        </w:trPr>
        <w:tc>
          <w:tcPr>
            <w:tcW w:w="7780" w:type="dxa"/>
            <w:vAlign w:val="bottom"/>
          </w:tcPr>
          <w:p>
            <w:pPr>
              <w:ind w:left="1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w:t>
            </w:r>
          </w:p>
        </w:tc>
      </w:tr>
      <w:tr>
        <w:trPr>
          <w:trHeight w:val="196"/>
        </w:trPr>
        <w:tc>
          <w:tcPr>
            <w:tcW w:w="7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related to the Company’s long-term debt, net, is included in interest expense, net in the unaudited condensed consolidated statements of operations and comprehensive income and consists of the following: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4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4,791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$ 15,900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$ 12,110</w:t>
            </w:r>
          </w:p>
        </w:tc>
      </w:tr>
      <w:tr>
        <w:trPr>
          <w:trHeight w:val="203"/>
        </w:trPr>
        <w:tc>
          <w:tcPr>
            <w:tcW w:w="5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3,061</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1,241</w:t>
            </w:r>
          </w:p>
        </w:tc>
      </w:tr>
      <w:tr>
        <w:trPr>
          <w:trHeight w:val="196"/>
        </w:trPr>
        <w:tc>
          <w:tcPr>
            <w:tcW w:w="54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7,012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4,931</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$ 18,961</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$ 13,351</w:t>
            </w: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The Company subsequently entered into two separate operating leases for additional office space in Plymouth Meeting, PA, which include approximately thirteen thousand square feet and seven thousand square feet of additional office space, respectively, and expire in May 2024. The terms of the lease payments provide for rental payments on a monthly basis and on a graduated scale. The Company also leases a fleet of automobiles that are used by its sales representatives and are classified as operating leases.</w:t>
      </w:r>
    </w:p>
    <w:p>
      <w:pPr>
        <w:spacing w:after="0" w:line="191" w:lineRule="exact"/>
        <w:rPr>
          <w:sz w:val="20"/>
          <w:szCs w:val="20"/>
          <w:color w:val="auto"/>
        </w:rPr>
      </w:pPr>
    </w:p>
    <w:p>
      <w:pPr>
        <w:jc w:val="both"/>
        <w:ind w:left="60" w:right="79" w:firstLine="648"/>
        <w:spacing w:after="0" w:line="243"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8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recorded operating lease costs of $ 473 and $378 for the three months ended September 30, 2023 and 2022, respectively, and $1,295 and $1,155 for the nine months ended September 30, 2023 and 2022, respectively.</w:t>
      </w:r>
    </w:p>
    <w:p>
      <w:pPr>
        <w:spacing w:after="0" w:line="184" w:lineRule="exact"/>
        <w:rPr>
          <w:sz w:val="20"/>
          <w:szCs w:val="20"/>
          <w:color w:val="auto"/>
        </w:rPr>
      </w:pPr>
    </w:p>
    <w:p>
      <w:pPr>
        <w:jc w:val="both"/>
        <w:ind w:left="60" w:right="79" w:firstLine="648"/>
        <w:spacing w:after="0" w:line="260" w:lineRule="auto"/>
        <w:rPr>
          <w:sz w:val="20"/>
          <w:szCs w:val="20"/>
          <w:color w:val="auto"/>
        </w:rPr>
      </w:pPr>
      <w:r>
        <w:rPr>
          <w:rFonts w:ascii="Arial" w:cs="Arial" w:eastAsia="Arial" w:hAnsi="Arial"/>
          <w:sz w:val="18"/>
          <w:szCs w:val="18"/>
          <w:color w:val="auto"/>
        </w:rPr>
        <w:t>As of September 30, 2023, the weighted-average remaining lease term for operating leases was 1.8 years and the weighted-average discount rate for operating leases was 6.0%.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240" w:type="dxa"/>
            <w:vAlign w:val="bottom"/>
          </w:tcPr>
          <w:p>
            <w:pPr>
              <w:ind w:left="1440"/>
              <w:spacing w:after="0"/>
              <w:rPr>
                <w:sz w:val="20"/>
                <w:szCs w:val="20"/>
                <w:color w:val="auto"/>
              </w:rPr>
            </w:pPr>
            <w:r>
              <w:rPr>
                <w:rFonts w:ascii="Arial" w:cs="Arial" w:eastAsia="Arial" w:hAnsi="Arial"/>
                <w:sz w:val="14"/>
                <w:szCs w:val="14"/>
                <w:b w:val="1"/>
                <w:bCs w:val="1"/>
                <w:color w:val="auto"/>
              </w:rPr>
              <w:t>Leases</w:t>
            </w:r>
          </w:p>
        </w:tc>
        <w:tc>
          <w:tcPr>
            <w:tcW w:w="2620" w:type="dxa"/>
            <w:vAlign w:val="bottom"/>
          </w:tcPr>
          <w:p>
            <w:pPr>
              <w:ind w:left="90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3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2,456</w:t>
            </w:r>
          </w:p>
        </w:tc>
        <w:tc>
          <w:tcPr>
            <w:tcW w:w="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2,312</w:t>
            </w: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1,683</w:t>
            </w:r>
          </w:p>
        </w:tc>
        <w:tc>
          <w:tcPr>
            <w:tcW w:w="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1,614</w:t>
            </w:r>
          </w:p>
        </w:tc>
      </w:tr>
      <w:tr>
        <w:trPr>
          <w:trHeight w:val="203"/>
        </w:trPr>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975</w:t>
            </w:r>
          </w:p>
        </w:tc>
      </w:tr>
      <w:tr>
        <w:trPr>
          <w:trHeight w:val="196"/>
        </w:trPr>
        <w:tc>
          <w:tcPr>
            <w:tcW w:w="32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6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2,584</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2,589</w:t>
            </w:r>
          </w:p>
        </w:tc>
      </w:tr>
      <w:tr>
        <w:trPr>
          <w:trHeight w:val="20"/>
        </w:trPr>
        <w:tc>
          <w:tcPr>
            <w:tcW w:w="3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September 30, 2022</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1,297</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339"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Future payments under noncancelable operating leases with initial terms of one year or more as of September 30, 2023 consisted of the following:</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2023 (Excluding the nine months ended September 30, 2023)</w:t>
            </w:r>
          </w:p>
        </w:tc>
        <w:tc>
          <w:tcPr>
            <w:tcW w:w="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w:t>
            </w:r>
          </w:p>
        </w:tc>
      </w:tr>
      <w:tr>
        <w:trPr>
          <w:trHeight w:val="202"/>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2024</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1,407</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532</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2026</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2,749</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2,584</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September 30, 2023, there were no material claims or suits outstanding.</w:t>
      </w:r>
    </w:p>
    <w:p>
      <w:pPr>
        <w:spacing w:after="0" w:line="188" w:lineRule="exact"/>
        <w:rPr>
          <w:sz w:val="20"/>
          <w:szCs w:val="20"/>
          <w:color w:val="auto"/>
        </w:rPr>
      </w:pPr>
    </w:p>
    <w:p>
      <w:pPr>
        <w:ind w:left="700" w:right="6399" w:hanging="650"/>
        <w:spacing w:after="0" w:line="519" w:lineRule="auto"/>
        <w:tabs>
          <w:tab w:leader="none" w:pos="35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August 1, 2023, the Company’s Board of Directors approved a program providing for the repurchase of shares of common stock in an aggregate amount of up to $125,000, excluding commissions and transaction fees (the “August 2023 Repurchase Program”). The August 2023 Repurchase Program may be suspended, terminated or modified at any time for any reason. During the three and nine months ended September 30, 2023, the Company repurchased and cancelled 1,439,792 shares of common stock at an aggregate cost of $50,000, exclusive of commissions and transaction fees. As of September 30, 2023 the remaining amount of common stock authorized for repurchases was $75,000.</w:t>
      </w:r>
    </w:p>
    <w:p>
      <w:pPr>
        <w:spacing w:after="0" w:line="191"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See Note 18 to our unaudited condensed consolidated financial statements for information related to the termination of the August 2023 Repurchase Program as of October 27, 2023.</w:t>
      </w:r>
    </w:p>
    <w:p>
      <w:pPr>
        <w:spacing w:after="0" w:line="163" w:lineRule="exact"/>
        <w:rPr>
          <w:sz w:val="20"/>
          <w:szCs w:val="20"/>
          <w:color w:val="auto"/>
        </w:rPr>
      </w:pPr>
    </w:p>
    <w:p>
      <w:pPr>
        <w:ind w:left="700" w:right="3179" w:hanging="650"/>
        <w:spacing w:after="0" w:line="491" w:lineRule="auto"/>
        <w:tabs>
          <w:tab w:leader="none" w:pos="3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39"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9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September 30, 2023, there were 6,755,091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2023:</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0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2022</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6,460,947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w:t>
            </w: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376,422</w:t>
            </w:r>
          </w:p>
        </w:tc>
        <w:tc>
          <w:tcPr>
            <w:tcW w:w="18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36.71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(367,376)</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(206,318)</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60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2023</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6,263,675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w:t>
            </w:r>
          </w:p>
        </w:tc>
      </w:tr>
      <w:tr>
        <w:trPr>
          <w:trHeight w:val="20"/>
        </w:trPr>
        <w:tc>
          <w:tcPr>
            <w:tcW w:w="6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nine months ended September 30, 2023:</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80" w:type="dxa"/>
            <w:vAlign w:val="bottom"/>
          </w:tcPr>
          <w:p>
            <w:pPr>
              <w:spacing w:after="0"/>
              <w:rPr>
                <w:sz w:val="14"/>
                <w:szCs w:val="14"/>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080" w:type="dxa"/>
            <w:vAlign w:val="bottom"/>
          </w:tcPr>
          <w:p>
            <w:pPr>
              <w:spacing w:after="0"/>
              <w:rPr>
                <w:sz w:val="15"/>
                <w:szCs w:val="15"/>
                <w:color w:val="auto"/>
              </w:rPr>
            </w:pPr>
          </w:p>
        </w:tc>
        <w:tc>
          <w:tcPr>
            <w:tcW w:w="940" w:type="dxa"/>
            <w:vAlign w:val="bottom"/>
          </w:tcPr>
          <w:p>
            <w:pPr>
              <w:jc w:val="right"/>
              <w:ind w:right="11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2022</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6.32</w:t>
            </w: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r>
      <w:tr>
        <w:trPr>
          <w:trHeight w:val="203"/>
        </w:trPr>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r>
      <w:tr>
        <w:trPr>
          <w:trHeight w:val="203"/>
        </w:trPr>
        <w:tc>
          <w:tcPr>
            <w:tcW w:w="60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spacing w:after="0"/>
              <w:rPr>
                <w:sz w:val="17"/>
                <w:szCs w:val="17"/>
                <w:color w:val="auto"/>
              </w:rPr>
            </w:pPr>
          </w:p>
        </w:tc>
      </w:tr>
      <w:tr>
        <w:trPr>
          <w:trHeight w:val="196"/>
        </w:trPr>
        <w:tc>
          <w:tcPr>
            <w:tcW w:w="6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2023</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3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w:t>
            </w:r>
          </w:p>
        </w:tc>
      </w:tr>
      <w:tr>
        <w:trPr>
          <w:trHeight w:val="20"/>
        </w:trPr>
        <w:tc>
          <w:tcPr>
            <w:tcW w:w="6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3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nine months ended September 30, 2023:</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06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Grant 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06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Fair Value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2022</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3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29.03</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outstanding—September 30, 2023</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340" w:type="dxa"/>
            <w:vAlign w:val="bottom"/>
            <w:tcBorders>
              <w:bottom w:val="single" w:sz="8" w:color="CCEEFF"/>
            </w:tcBorders>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7.49</w:t>
            </w:r>
          </w:p>
        </w:tc>
      </w:tr>
      <w:tr>
        <w:trPr>
          <w:trHeight w:val="20"/>
        </w:trPr>
        <w:tc>
          <w:tcPr>
            <w:tcW w:w="6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As of September 30, 2023 and December 31, 2022, stock awards issued under the 2017 and 2020 Plans of 3,141,836 and 1,818,045 shares of common stock, respectively, were vested.</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4"/>
                <w:szCs w:val="14"/>
                <w:b w:val="1"/>
                <w:bCs w:val="1"/>
                <w:color w:val="auto"/>
              </w:rPr>
              <w:t>As of</w:t>
            </w:r>
          </w:p>
        </w:tc>
      </w:tr>
      <w:tr>
        <w:trPr>
          <w:trHeight w:val="142"/>
        </w:trPr>
        <w:tc>
          <w:tcPr>
            <w:tcW w:w="6200" w:type="dxa"/>
            <w:vAlign w:val="bottom"/>
          </w:tcPr>
          <w:p>
            <w:pPr>
              <w:spacing w:after="0"/>
              <w:rPr>
                <w:sz w:val="12"/>
                <w:szCs w:val="12"/>
                <w:color w:val="auto"/>
              </w:rPr>
            </w:pPr>
          </w:p>
        </w:tc>
        <w:tc>
          <w:tcPr>
            <w:tcW w:w="1400" w:type="dxa"/>
            <w:vAlign w:val="bottom"/>
            <w:gridSpan w:val="2"/>
          </w:tcPr>
          <w:p>
            <w:pPr>
              <w:jc w:val="right"/>
              <w:ind w:right="279"/>
              <w:spacing w:after="0" w:line="143"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jc w:val="right"/>
              <w:ind w:right="190"/>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62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196"/>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87"/>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76.32 - 80.21 %</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72.57 - 77.08 %</w:t>
            </w: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3.42 - 4.61 %</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1.99 - 4.05 %</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40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0.00 %</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2.4 - 6.3</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3.1 - 6.3</w:t>
            </w:r>
          </w:p>
        </w:tc>
        <w:tc>
          <w:tcPr>
            <w:tcW w:w="160" w:type="dxa"/>
            <w:vAlign w:val="bottom"/>
            <w:shd w:val="clear" w:color="auto" w:fill="CCEEFF"/>
          </w:tcPr>
          <w:p>
            <w:pPr>
              <w:spacing w:after="0"/>
              <w:rPr>
                <w:sz w:val="17"/>
                <w:szCs w:val="17"/>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The weighted average per share fair value of awards issued under the 2017 Plan and 2020 Plan was $20.13 and $18.88 on September 30, 2023 and December 31, 2022, respectively.</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Stock-based compensation expense, net for the three and nine months ended September 30, 2023 and 2022, was recorded in the unaudited condensed consolidated statements of operations and comprehensive income in the following line items: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3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1,866</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1,218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1,096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3,437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2,956</w:t>
            </w: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4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5,709</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5,349</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15,912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14,412</w:t>
            </w:r>
          </w:p>
        </w:tc>
      </w:tr>
      <w:tr>
        <w:trPr>
          <w:trHeight w:val="196"/>
        </w:trPr>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7,957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6,967</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22,311</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19,234</w:t>
            </w: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Stock-based compensation expense, net related to options and RSUs issued under the 2017 Plan and 2020 Plan is included in stockholder’s equity, and a liability for SARs is included in other non-current liabilities, in the Company’s unaudited condensed consolidated balance sheet. As of September 30, 2023, the total unrecognized stock-based compensation expense related to options and RSUs was $67,842. Such amount will be recognized in the Company’s consolidated statement of operations over a weighted average period of 2.4 years.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December 31 of the preceding year or (ii) an amount determined by the Company’s board of directors. It is intended that the ESPP meet the requirements for an “employee stock purchase plan” under Section 423 of the Internal Revenue Code. There were no shares issued under the ESPP for the three months ended September 30, 2023 and 2022, and there were 14,043 and 14,889 shares issued under the ESPP for the nine months ended September 30, 2023 and 2022, respectively. The discount on the ESPP was $100 and $ 86 for the three months ended September 30, 2023 and 2022, respectively, and $308 and $271 for the nine months ended September 30, 2023 and 2022, respectively, and is recorded within stock-based compensation expense.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58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5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58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38,461</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87,943</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102,246</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132,959</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0"/>
        </w:trPr>
        <w:tc>
          <w:tcPr>
            <w:tcW w:w="3580" w:type="dxa"/>
            <w:vAlign w:val="bottom"/>
          </w:tcPr>
          <w:p>
            <w:pPr>
              <w:ind w:left="100"/>
              <w:spacing w:after="0" w:line="189" w:lineRule="exact"/>
              <w:rPr>
                <w:sz w:val="20"/>
                <w:szCs w:val="20"/>
                <w:color w:val="auto"/>
              </w:rPr>
            </w:pPr>
            <w:r>
              <w:rPr>
                <w:rFonts w:ascii="Arial" w:cs="Arial" w:eastAsia="Arial" w:hAnsi="Arial"/>
                <w:sz w:val="18"/>
                <w:szCs w:val="18"/>
                <w:color w:val="auto"/>
              </w:rPr>
              <w:t>Net income per share of common stock -</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3580" w:type="dxa"/>
            <w:vAlign w:val="bottom"/>
          </w:tcPr>
          <w:p>
            <w:pPr>
              <w:ind w:left="1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190"/>
        </w:trPr>
        <w:tc>
          <w:tcPr>
            <w:tcW w:w="35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Net income per share of common stock-</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5"/>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190"/>
        </w:trPr>
        <w:tc>
          <w:tcPr>
            <w:tcW w:w="3580" w:type="dxa"/>
            <w:vAlign w:val="bottom"/>
          </w:tcPr>
          <w:p>
            <w:pPr>
              <w:ind w:left="100"/>
              <w:spacing w:after="0" w:line="189" w:lineRule="exact"/>
              <w:rPr>
                <w:sz w:val="20"/>
                <w:szCs w:val="20"/>
                <w:color w:val="auto"/>
              </w:rPr>
            </w:pPr>
            <w:r>
              <w:rPr>
                <w:rFonts w:ascii="Arial" w:cs="Arial" w:eastAsia="Arial" w:hAnsi="Arial"/>
                <w:sz w:val="18"/>
                <w:szCs w:val="18"/>
                <w:color w:val="auto"/>
              </w:rPr>
              <w:t>Weighted average number of shares of</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3580" w:type="dxa"/>
            <w:vAlign w:val="bottom"/>
          </w:tcPr>
          <w:p>
            <w:pPr>
              <w:ind w:left="100"/>
              <w:spacing w:after="0"/>
              <w:rPr>
                <w:sz w:val="20"/>
                <w:szCs w:val="20"/>
                <w:color w:val="auto"/>
              </w:rPr>
            </w:pPr>
            <w:r>
              <w:rPr>
                <w:rFonts w:ascii="Arial" w:cs="Arial" w:eastAsia="Arial" w:hAnsi="Arial"/>
                <w:sz w:val="18"/>
                <w:szCs w:val="18"/>
                <w:color w:val="auto"/>
              </w:rPr>
              <w:t>common stock - basic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59,863,102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59,234,720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59,856,941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59,070,063</w:t>
            </w:r>
          </w:p>
        </w:tc>
      </w:tr>
      <w:tr>
        <w:trPr>
          <w:trHeight w:val="190"/>
        </w:trPr>
        <w:tc>
          <w:tcPr>
            <w:tcW w:w="35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Weighted average number of shares of</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5"/>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diluted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60,681,676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61,207,625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60,892,992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60,921,482</w:t>
            </w:r>
          </w:p>
        </w:tc>
      </w:tr>
    </w:tbl>
    <w:p>
      <w:pPr>
        <w:spacing w:after="0" w:line="190"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Securities outstanding that were included in the computation above, utilizing the treasury stock method are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7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8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r>
      <w:tr>
        <w:trPr>
          <w:trHeight w:val="170"/>
        </w:trPr>
        <w:tc>
          <w:tcPr>
            <w:tcW w:w="37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Stock options, SARs, and RSUs to purchase</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5"/>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818,574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1,972,905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1,036,051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1,851,419</w:t>
            </w:r>
          </w:p>
        </w:tc>
      </w:tr>
    </w:tbl>
    <w:p>
      <w:pPr>
        <w:spacing w:after="0" w:line="190" w:lineRule="exact"/>
        <w:rPr>
          <w:sz w:val="20"/>
          <w:szCs w:val="20"/>
          <w:color w:val="auto"/>
        </w:rPr>
      </w:pPr>
    </w:p>
    <w:p>
      <w:pPr>
        <w:jc w:val="both"/>
        <w:ind w:left="60" w:right="79" w:firstLine="648"/>
        <w:spacing w:after="0" w:line="260" w:lineRule="auto"/>
        <w:rPr>
          <w:sz w:val="20"/>
          <w:szCs w:val="20"/>
          <w:color w:val="auto"/>
        </w:rPr>
      </w:pPr>
      <w:r>
        <w:rPr>
          <w:rFonts w:ascii="Arial" w:cs="Arial" w:eastAsia="Arial" w:hAnsi="Arial"/>
          <w:sz w:val="18"/>
          <w:szCs w:val="18"/>
          <w:color w:val="auto"/>
        </w:rPr>
        <w:t>Potential shares of common stock issuable that were excluded from the computation of diluted weighted-average shares outstanding excluded from the numerator, are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7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8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2022</w:t>
            </w:r>
          </w:p>
        </w:tc>
      </w:tr>
      <w:tr>
        <w:trPr>
          <w:trHeight w:val="170"/>
        </w:trPr>
        <w:tc>
          <w:tcPr>
            <w:tcW w:w="37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Stock options, SARs, and RSUs to purchase</w:t>
            </w: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5"/>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5,518,309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4,754,958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5,300,832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4,876,444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INCOME TAXES</w:t>
      </w:r>
    </w:p>
    <w:p>
      <w:pPr>
        <w:spacing w:after="0" w:line="222" w:lineRule="exact"/>
        <w:rPr>
          <w:sz w:val="20"/>
          <w:szCs w:val="20"/>
          <w:color w:val="auto"/>
        </w:rPr>
      </w:pPr>
    </w:p>
    <w:p>
      <w:pPr>
        <w:ind w:left="60" w:right="219" w:firstLine="648"/>
        <w:spacing w:after="0" w:line="260" w:lineRule="auto"/>
        <w:rPr>
          <w:sz w:val="20"/>
          <w:szCs w:val="20"/>
          <w:color w:val="auto"/>
        </w:rPr>
      </w:pPr>
      <w:r>
        <w:rPr>
          <w:rFonts w:ascii="Arial" w:cs="Arial" w:eastAsia="Arial" w:hAnsi="Arial"/>
          <w:sz w:val="18"/>
          <w:szCs w:val="18"/>
          <w:color w:val="auto"/>
        </w:rPr>
        <w:t>A reconciliation between the statutory federal income tax rate and the Company’s effective income tax rate for the three and nine months ended September 30, 2023 and 2022 is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76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Nine Months Ended September 30,</w:t>
            </w:r>
          </w:p>
        </w:tc>
      </w:tr>
      <w:tr>
        <w:trPr>
          <w:trHeight w:val="175"/>
        </w:trPr>
        <w:tc>
          <w:tcPr>
            <w:tcW w:w="4240" w:type="dxa"/>
            <w:vAlign w:val="bottom"/>
            <w:gridSpan w:val="2"/>
          </w:tcPr>
          <w:p>
            <w:pPr>
              <w:ind w:left="390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11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21.0</w:t>
            </w:r>
          </w:p>
        </w:tc>
        <w:tc>
          <w:tcPr>
            <w:tcW w:w="26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tcBorders>
              <w:top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6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(17.0)</w:t>
            </w:r>
          </w:p>
        </w:tc>
        <w:tc>
          <w:tcPr>
            <w:tcW w:w="13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(0.9)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r>
      <w:tr>
        <w:trPr>
          <w:trHeight w:val="203"/>
        </w:trPr>
        <w:tc>
          <w:tcPr>
            <w:tcW w:w="4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(22.1)</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(0.5)</w:t>
            </w:r>
          </w:p>
        </w:tc>
      </w:tr>
      <w:tr>
        <w:trPr>
          <w:trHeight w:val="203"/>
        </w:trPr>
        <w:tc>
          <w:tcPr>
            <w:tcW w:w="4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60" w:type="dxa"/>
            <w:vAlign w:val="bottom"/>
          </w:tcPr>
          <w:p>
            <w:pPr>
              <w:spacing w:after="0"/>
              <w:rPr>
                <w:sz w:val="17"/>
                <w:szCs w:val="17"/>
                <w:color w:val="auto"/>
              </w:rPr>
            </w:pPr>
          </w:p>
        </w:tc>
        <w:tc>
          <w:tcPr>
            <w:tcW w:w="13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(1.6)</w:t>
            </w: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(0.2)</w:t>
            </w:r>
          </w:p>
        </w:tc>
      </w:tr>
      <w:tr>
        <w:trPr>
          <w:trHeight w:val="203"/>
        </w:trPr>
        <w:tc>
          <w:tcPr>
            <w:tcW w:w="42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7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(985.7)</w:t>
            </w:r>
          </w:p>
        </w:tc>
        <w:tc>
          <w:tcPr>
            <w:tcW w:w="13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(144.9)</w:t>
            </w:r>
          </w:p>
        </w:tc>
      </w:tr>
      <w:tr>
        <w:trPr>
          <w:trHeight w:val="196"/>
        </w:trPr>
        <w:tc>
          <w:tcPr>
            <w:tcW w:w="35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25.8</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(1,003.8)</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28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(119.5)</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3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RELATED-PARTY TRANSACTIONS</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The Company terminated the management agreement upon the consummation of its IPO. The Company is also party to a right of use agreement with the related party whereby it has access to and the right to use certain office space leased by the related party in Chicago, IL. In addition, the Company had participated in certain transactions with separate related parties that also share common ownership with the Company, primarily related to combined employee health plans. The Company incurred $73 and $71 for the three months ended September 30, 2023 and 2022, and incurred $218 and $213 for the nine months ended September 30, 2023 and 2022, respectively, in expenses to this related party, which are included in general and administrative expense in the unaudited condensed consolidated statements of operations and comprehensive loss. As of September 30, 2023 and December 31, 2022, there were no amounts due to or due from related parties included in the unaudited condensed consolidated balance sheets.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On October 10, 2023, the Company completed a tender offer (the “Tender Offer”) to acquire all of the outstanding shares of common stock of Zynerba Pharmaceuticals, Inc. (“Zynerba Common Stock”), a clinical-stage pharmaceutical company focused on innovative pharmaceutically produced transdermal cannabidiol therapies for orphan neuropsychiatric disorders, including Fragile X syndrome.</w:t>
      </w:r>
    </w:p>
    <w:p>
      <w:pPr>
        <w:spacing w:after="0" w:line="188"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Under the terms of the Tender Offer, the Company paid (i) $1.1059 per share of Zynerba Common Stock (the “Common Cash Amount”), plus (ii) one contingent value right (each, a “CVR”) per share of Zynerba Common Stock (the “Common CVR Amount”) for each holder of Zynerba Common Stock upon the closing of the Tender Offer, which represents the right to receive up to approximately $2.5444 per share of Zynerba Common Stock, subject to the achievement of certain clinical, regulatory and sales-based milestones. Both the Common Cash Amount and Common CVR Amount are to be paid in cash, subject to any applicable withholding of taxes and without interest. The aggregate consideration paid by the Company to acquire the Zynerba Common Stock upon completion of the Tender Offer was $60,000, exclusive of transaction related fees. The Company financed the acquisition with cash on hand.</w:t>
      </w:r>
    </w:p>
    <w:p>
      <w:pPr>
        <w:spacing w:after="0" w:line="191"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On October 27, 2023, the Company’s Board of Directors approved a program providing for the repurchase of shares of common stock in an aggregate amount of up to $200,000, excluding commissions and transaction fees (the “October 2023 Repurchase Program”). The board simultaneously terminated the August 2023 Repurchase Program and any remaining amount authorized for the repurchase of shares. The October 2023 Repurchase Program may be suspended, terminated, or modified at any time for any reason.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91"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commercialization efforts and strategy for WAKIX;</w:t>
      </w:r>
    </w:p>
    <w:p>
      <w:pPr>
        <w:spacing w:after="0" w:line="225"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72" w:lineRule="exact"/>
        <w:rPr>
          <w:rFonts w:ascii="Arial" w:cs="Arial" w:eastAsia="Arial" w:hAnsi="Arial"/>
          <w:sz w:val="18"/>
          <w:szCs w:val="18"/>
          <w:color w:val="auto"/>
        </w:rPr>
      </w:pPr>
    </w:p>
    <w:p>
      <w:pPr>
        <w:ind w:left="1040" w:right="43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72"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ongoing and planned clinical trials;</w:t>
      </w:r>
    </w:p>
    <w:p>
      <w:pPr>
        <w:spacing w:after="0" w:line="223" w:lineRule="exact"/>
        <w:rPr>
          <w:rFonts w:ascii="Arial" w:cs="Arial" w:eastAsia="Arial" w:hAnsi="Arial"/>
          <w:sz w:val="18"/>
          <w:szCs w:val="18"/>
          <w:color w:val="auto"/>
        </w:rPr>
      </w:pPr>
    </w:p>
    <w:p>
      <w:pPr>
        <w:ind w:left="1040" w:right="93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the scope of our license agreements with Bioprojet Société Civile de Recherche (“Bioprojet”);</w:t>
      </w:r>
    </w:p>
    <w:p>
      <w:pPr>
        <w:spacing w:after="0" w:line="171"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favorable insurance coverage and reimbursement for WAKIX;</w:t>
      </w:r>
    </w:p>
    <w:p>
      <w:pPr>
        <w:spacing w:after="0" w:line="225"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72"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72"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172"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225"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ectPr>
          <w:pgSz w:w="11900" w:h="16838" w:orient="portrait"/>
          <w:cols w:equalWidth="0" w:num="1">
            <w:col w:w="9019"/>
          </w:cols>
          <w:pgMar w:left="1440" w:top="518"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95"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9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94"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7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22" w:lineRule="exact"/>
        <w:rPr>
          <w:sz w:val="20"/>
          <w:szCs w:val="20"/>
          <w:color w:val="auto"/>
        </w:rPr>
      </w:pPr>
    </w:p>
    <w:p>
      <w:pPr>
        <w:jc w:val="both"/>
        <w:ind w:left="60" w:right="59" w:firstLine="648"/>
        <w:spacing w:after="0" w:line="223"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In August 2019, WAKIX was approved by the U.S. Food and Drug Administration (the “FDA”)</w:t>
      </w:r>
    </w:p>
    <w:p>
      <w:pPr>
        <w:spacing w:after="0" w:line="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90" w:lineRule="exact"/>
        <w:rPr>
          <w:sz w:val="20"/>
          <w:szCs w:val="20"/>
          <w:color w:val="auto"/>
        </w:rPr>
      </w:pPr>
    </w:p>
    <w:p>
      <w:pPr>
        <w:jc w:val="both"/>
        <w:ind w:left="60" w:right="79" w:firstLine="648"/>
        <w:spacing w:after="0" w:line="210"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 We</w:t>
      </w:r>
    </w:p>
    <w:p>
      <w:pPr>
        <w:spacing w:after="0" w:line="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are taking a mechanism-based approach to managing the life cycle of pitolisant and identified idiopathic hypersomnia (“IH”), another central disorder of hypersomnolence like narcolepsy, as our next potential new indication for WAKIX, which received Orphan Drug designation by the FDA in September 2023. In April 2022, we initiated a Phase 3 registrational trial, the INTUNE Study, to evaluate the efficacy and safety of pitolisant in adult patients with IH. We completed enrollment in the INTUNE study in May 2023 and we announced topline data on October 11, 2023. While the primary endpoint did not meet statistical significance, the totality of the data showed favorable trends for pitolisant in the treatment of adult patients with IH. We are currently analyzing the full data set to determine next steps, which include interactions with the FDA. We are focusing our development efforts on other rare neurological disorders in which EDS is a prominent symptom, including Prader-Willi Syndrome (“PWS”) and myotonic dystrophy, otherwise known as dystrophia myotonica (“DM”). Based on the positive signals from the data from our Phase 2 proof-of-concept signal detection clinical trial to evaluate pitolisant for the treatment of EDS and other key symptoms in patients with PWS, an end-of-phase 2 meeting with the FDA was held in June 2023. We aligned with the FDA on the proposed Phase 3 study design to support further investigation of pitolisant as a potential treatment to address the unmet medical need for children, adolescents and adults with PWS experiencing EDS, for which there is currently no approved treatment. In October 2023, we received FDA alignment of the protocol for the Phase 3 TEMPO study in patients with PWS, which will satisfy the requirements for both the registrational trial and pediatric exclusivity. We expect to initiate the Phase 3 study in the first quarter of 2024. In June 2021, we initiated a Phase 2 proof-of-concept clinical trial to evaluate pitolisant for the treatment of EDS, fatigue and cognitive dysfunction in adult patients with DM1 and we are on track for topline results from this trial in the fourth quarter of 2023.</w:t>
      </w:r>
    </w:p>
    <w:p>
      <w:pPr>
        <w:spacing w:after="0" w:line="20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partner, Bioprojet, completed a Phase 3 trial in pediatric patients with narcolepsy and received an approval from the European Medical Agency’s (“EMA”) Committee for Medicinal Products for Human Use (“CHMP”) for a pediatric narcolepsy indication. We are working with Bioprojet towards the submission to the FDA of a supplemental NDA for pediatric narcolepsy, which we plan to submit in the fourth quarter of 2023. In addition, we made progress with FDA in gaining alignment on the requirements for pediatric exclusivity for WAKIX, which we are actively pursuing.</w:t>
      </w:r>
    </w:p>
    <w:p>
      <w:pPr>
        <w:spacing w:after="0" w:line="19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actively working to expand our pipeline through the acquisition of additional assets that focus on addressing the unmet needs of patients living with rare neurological diseases as well as patients living with other neurological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The 2022 LCA has the potential to generate new intellectual property and extend the pitolisant franchise. We are co-developing the new formulations of pitolisant with Bioprojet and work is ongoing. One of the formulations was dosed in a phase 1 pharmacokinetic study in healthy volunteers in October 2023.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addition, on October 10, 2023, we completed the acquisition of Zynerba Pharmaceuticals, Inc. (“Zynerba”), a clinical-stage pharmaceutical company focused on innovative pharmaceutically produced transdermal cannabidiol therapies for orphan neuropsychiatric disorders. Zynerba’s drug candidate is Zygel (also known as ZYN002), the first and only pharmaceutically-produced synthetic cannabidiol gel, devoid of THC, and formulated as a patent protected, permeation-enhanced gel for transdermal delivery. Zygel is currently in a pivotal Phase 3 study for the treatment of Fragile X Syndrome.</w:t>
      </w:r>
    </w:p>
    <w:p>
      <w:pPr>
        <w:spacing w:after="0" w:line="19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Melanin-concentrating hormone receptor 1 (MCHR1) antagonist previously developed as CSTI-100/ALB-127258(a)/ALB-127258 (the “Compound”), along with intellectual property and other assets related to the development, manufacture, and commercialization of the Compound. In connection with the acquisition, we made an upfront payment of $3.5 million and will be required to make additional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A preclinical proof-of-concept study to assess the effect of HBS-102 on hyperphagia, weight gain, and other metabolic parameters in a mouse model of PWS is ongoing. A thirteen week chronic toxicity study was initiated during the third quarter of 2023.</w:t>
      </w:r>
    </w:p>
    <w:p>
      <w:pPr>
        <w:spacing w:after="0" w:line="19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9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were founded in July 2017 as Harmony Biosciences II, LLC, a Delaware limited liability company. We converted to a Delaware corporation named Harmony Biosciences II, Inc. in September 2017, and, in February 2020, we changed our name to Harmony Biosciences Holdings, Inc. Our operations are conducted by our wholly owned subsidiary, Harmony Biosciences, LLC, which was formed in May 2017. Our operations to date have consisted of building and staffing our organization, acquiring the rights to pitolisant, raising capital, opening an investigational new drug application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 launching and commercializing WAKIX in the United States. In addition, we have opened INDs for the development of pitolisant in PWS, DM and IH and have initiated clinical trials in pursuit of potential new indications in those rare disease patient populations.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As of September 30, 2023, we continued to see growth in the number of unique healthcare professional (“HCP”) prescribers of WAKIX since it became available in November 2019. The average number of patients on WAKIX for the three months ended September 30, 2023 was approximately 5,800. Additionally, as of September 30, 2023,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Net product sales includes gross sales of WAKIX less provisions for sales discounts and allowances, which includes trade allowances, rebates to government and commercial entities, and discounts. Although we expect net sales to increase over time, provisions for sales discounts and allowances may fluctuate based on the mix of sales to different customer segments and/or changes in our estimates.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expect the cost of product sales to increase as we continue to ramp up production in order to meet future demand for WAKIX and diversify our supply chain for WAKIX.</w:t>
      </w:r>
    </w:p>
    <w:p>
      <w:pPr>
        <w:spacing w:after="0" w:line="189"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January 2025. We regularly review our inventory levels and expect write-offs from time to time. We will continue to assess inventory levels in future periods as demand for WAKIX and the rate of inventory turnover evolves. We currently expect to have adequate supply of WAKIX into the first quarter of 2025, with additional API on-hand inventory to support at least 36 months beyond this time frame.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and DM.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in IH, PWS and DM and assess other product candidates to expand our pipeline. Research and development expenses also include:</w:t>
      </w:r>
    </w:p>
    <w:p>
      <w:pPr>
        <w:spacing w:after="0" w:line="191" w:lineRule="exact"/>
        <w:rPr>
          <w:sz w:val="20"/>
          <w:szCs w:val="20"/>
          <w:color w:val="auto"/>
        </w:rPr>
      </w:pPr>
    </w:p>
    <w:p>
      <w:pPr>
        <w:ind w:left="1040" w:right="51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72" w:lineRule="exact"/>
        <w:rPr>
          <w:rFonts w:ascii="Arial" w:cs="Arial" w:eastAsia="Arial" w:hAnsi="Arial"/>
          <w:sz w:val="18"/>
          <w:szCs w:val="18"/>
          <w:color w:val="auto"/>
        </w:rPr>
      </w:pPr>
    </w:p>
    <w:p>
      <w:pPr>
        <w:ind w:left="1040" w:right="49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packaging and labeling of clinical supplies;</w:t>
      </w:r>
    </w:p>
    <w:p>
      <w:pPr>
        <w:spacing w:after="0" w:line="225" w:lineRule="exact"/>
        <w:rPr>
          <w:rFonts w:ascii="Arial" w:cs="Arial" w:eastAsia="Arial" w:hAnsi="Arial"/>
          <w:sz w:val="18"/>
          <w:szCs w:val="18"/>
          <w:color w:val="auto"/>
        </w:rPr>
      </w:pPr>
    </w:p>
    <w:p>
      <w:pPr>
        <w:ind w:left="1040" w:right="27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third-party expenses (e.g., consultants, advisors) directly attributable to the development of our product candidates; and</w:t>
      </w:r>
    </w:p>
    <w:p>
      <w:pPr>
        <w:spacing w:after="0" w:line="172"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expense for assets used in research and development activities.</w:t>
      </w:r>
    </w:p>
    <w:p>
      <w:pPr>
        <w:spacing w:after="0" w:line="225" w:lineRule="exact"/>
        <w:rPr>
          <w:sz w:val="20"/>
          <w:szCs w:val="20"/>
          <w:color w:val="auto"/>
        </w:rPr>
      </w:pPr>
    </w:p>
    <w:p>
      <w:pPr>
        <w:ind w:left="60" w:right="59" w:firstLine="648"/>
        <w:spacing w:after="0" w:line="260"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central laboratories, contractors, and consultants in connection with our clinical development programs. Internal expenses primarily relate to personnel who are deployed across multiple programs.</w:t>
      </w:r>
    </w:p>
    <w:p>
      <w:pPr>
        <w:spacing w:after="0" w:line="17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spacing w:after="0" w:line="191"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88" w:lineRule="exact"/>
        <w:rPr>
          <w:sz w:val="20"/>
          <w:szCs w:val="20"/>
          <w:color w:val="auto"/>
        </w:rPr>
      </w:pPr>
    </w:p>
    <w:p>
      <w:pPr>
        <w:ind w:left="1040" w:right="11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72" w:lineRule="exact"/>
        <w:rPr>
          <w:rFonts w:ascii="Arial" w:cs="Arial" w:eastAsia="Arial" w:hAnsi="Arial"/>
          <w:sz w:val="18"/>
          <w:szCs w:val="18"/>
          <w:color w:val="auto"/>
        </w:rPr>
      </w:pPr>
    </w:p>
    <w:p>
      <w:pPr>
        <w:ind w:left="1040" w:right="33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72" w:lineRule="exact"/>
        <w:rPr>
          <w:rFonts w:ascii="Arial" w:cs="Arial" w:eastAsia="Arial" w:hAnsi="Arial"/>
          <w:sz w:val="18"/>
          <w:szCs w:val="18"/>
          <w:color w:val="auto"/>
        </w:rPr>
      </w:pPr>
    </w:p>
    <w:p>
      <w:pPr>
        <w:jc w:val="both"/>
        <w:ind w:left="1040" w:right="79" w:hanging="315"/>
        <w:spacing w:after="0" w:line="241"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including our ability to access sleep labs in order to conduct objective sleep testing, that could be impacted by future shelter-in-place orders and needs of the health care system to focus on managing patients affected by COVID-19;</w:t>
      </w:r>
    </w:p>
    <w:p>
      <w:pPr>
        <w:spacing w:after="0" w:line="187"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receiving Bioprojet’s consent to pursue additional indications for pitolisant;</w:t>
      </w:r>
    </w:p>
    <w:p>
      <w:pPr>
        <w:spacing w:after="0" w:line="226"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and timely enrollment and completion of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completion of preclinical studies and clinical trials;</w:t>
      </w:r>
    </w:p>
    <w:p>
      <w:pPr>
        <w:spacing w:after="0" w:line="225" w:lineRule="exact"/>
        <w:rPr>
          <w:rFonts w:ascii="Arial" w:cs="Arial" w:eastAsia="Arial" w:hAnsi="Arial"/>
          <w:sz w:val="18"/>
          <w:szCs w:val="18"/>
          <w:color w:val="auto"/>
        </w:rPr>
      </w:pPr>
    </w:p>
    <w:p>
      <w:pPr>
        <w:ind w:left="1040" w:right="45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72" w:lineRule="exact"/>
        <w:rPr>
          <w:rFonts w:ascii="Arial" w:cs="Arial" w:eastAsia="Arial" w:hAnsi="Arial"/>
          <w:sz w:val="18"/>
          <w:szCs w:val="18"/>
          <w:color w:val="auto"/>
        </w:rPr>
      </w:pPr>
    </w:p>
    <w:p>
      <w:pPr>
        <w:ind w:left="1040" w:right="49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72"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72"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5" w:lineRule="exact"/>
        <w:rPr>
          <w:rFonts w:ascii="Arial" w:cs="Arial" w:eastAsia="Arial" w:hAnsi="Arial"/>
          <w:sz w:val="18"/>
          <w:szCs w:val="18"/>
          <w:color w:val="auto"/>
        </w:rPr>
      </w:pPr>
    </w:p>
    <w:p>
      <w:pPr>
        <w:ind w:left="1040" w:right="67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72" w:lineRule="exact"/>
        <w:rPr>
          <w:rFonts w:ascii="Arial" w:cs="Arial" w:eastAsia="Arial" w:hAnsi="Arial"/>
          <w:sz w:val="18"/>
          <w:szCs w:val="18"/>
          <w:color w:val="auto"/>
        </w:rPr>
      </w:pPr>
    </w:p>
    <w:p>
      <w:pPr>
        <w:ind w:left="1040" w:right="67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and to expand our portfolio with the anticipated growth from potential additional indications.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72"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72" w:lineRule="exact"/>
        <w:rPr>
          <w:rFonts w:ascii="Arial" w:cs="Arial" w:eastAsia="Arial" w:hAnsi="Arial"/>
          <w:sz w:val="18"/>
          <w:szCs w:val="18"/>
          <w:color w:val="auto"/>
        </w:rPr>
      </w:pPr>
    </w:p>
    <w:p>
      <w:pPr>
        <w:jc w:val="both"/>
        <w:ind w:left="1040" w:right="79" w:hanging="315"/>
        <w:spacing w:after="0" w:line="24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84"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72"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73"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8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Agreements</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were party to a management services agreement with Paragon Biosciences, LLC (“Paragon”), which was terminated upon the consummation of our IPO, pursuant to which Paragon provided us with certain professional services.</w:t>
      </w:r>
    </w:p>
    <w:p>
      <w:pPr>
        <w:spacing w:after="0" w:line="18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three and nine months ended September 30, 2023, we paid fees of $0.1 million and $0.2 million, respectively, pursuant to this agreement.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Loss on Debt Extinguishment</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Loss on debt extinguishment consists primarily of costs of extinguishment of debt during the applicable period related to the prepayment of our credit agreements.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net consists primarily of interest expense on debt facilities, amortization of debt issuance costs and amortization of premiums on our debt securities, partially offset by interest income earned on our cash and investment balances and accretion of the discount on our debt securities.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ind w:left="60" w:right="359" w:firstLine="648"/>
        <w:spacing w:after="0" w:line="260"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5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6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revenues</w:t>
            </w:r>
          </w:p>
        </w:tc>
        <w:tc>
          <w:tcPr>
            <w:tcW w:w="3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160,268</w:t>
            </w:r>
          </w:p>
        </w:tc>
        <w:tc>
          <w:tcPr>
            <w:tcW w:w="600" w:type="dxa"/>
            <w:vAlign w:val="bottom"/>
            <w:gridSpan w:val="2"/>
            <w:shd w:val="clear" w:color="auto" w:fill="CCEEFF"/>
          </w:tcPr>
          <w:p>
            <w:pPr>
              <w:jc w:val="right"/>
              <w:ind w:right="227"/>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117,206</w:t>
            </w:r>
          </w:p>
        </w:tc>
        <w:tc>
          <w:tcPr>
            <w:tcW w:w="4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413,610</w:t>
            </w: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7"/>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309,547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32,296</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22,959</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78,084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127,972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94,247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335,526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252,951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17,499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40,548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45,757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23,418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20,467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70,518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22,546</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21,331</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67,417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61,374</w:t>
            </w: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63,463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82,346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183,692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98"/>
              </w:rPr>
              <w:t>180,378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64,509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11,901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151,834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72,573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(2,906)</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(3,990)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(8,327)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51,832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7,967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133,707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60,583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(13,371)</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79,976</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(31,461)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72,376</w:t>
            </w:r>
          </w:p>
        </w:tc>
        <w:tc>
          <w:tcPr>
            <w:tcW w:w="0" w:type="dxa"/>
            <w:vAlign w:val="bottom"/>
          </w:tcPr>
          <w:p>
            <w:pPr>
              <w:spacing w:after="0"/>
              <w:rPr>
                <w:sz w:val="1"/>
                <w:szCs w:val="1"/>
                <w:color w:val="auto"/>
              </w:rPr>
            </w:pP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38,461</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87,943</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102,246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132,959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Net product revenues increased by $43.1 million, or 36.7%, for the three months ended September 30, 2023 and increased by $104.1 million, or 33.6%, for the nine months ended September 30, 2023, compared to the same periods in 2022. The increase for the three months ended September 30, 2023, was primarily due to a 28.2% increase in the number of units shipped, and the net impact of a 7.0% price increase. The increase for the nine months ended September 30, 2023, was primarily due to a 26.9% increase in number of units shipped,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and the net impact of a 7.0% price increase. The price increase for both comparable periods occurred in January 2023.</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Cost of product sales increased by $9.3 million, or 40.7%, for the three months ended September 30, 2023 and increased by $21.5 million, or 38.0%, for the nine months ended September 30, 2023, compared to the same periods in 2022. Cost of product sales as a percentage of net product revenues was 20.2% and 18.9% for the three and nine months ended September 30, 2023, respectively, compared to 19.6% and 18.3% for the three and nine months ended September 30, 2022, respectively. The increase in cost of product sales in both comparable periods was due to higher royalties as a result of higher sales of WAKIX and the increase in cost of product sales as a percentage of net product revenues was due to entering a higher royalty tier earlier in 2023 compared to 2022.</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2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Research and development expenses decreased by $23.0 million, or 56.8%, for the three months ended September 30, 2023 and decreased by $15.0 million, or 24.7%, for the nine months ended September 30, 2023, compared to the same periods in 2022. The decrease for the three months ended September 30, 2023 was primarily driven by a $30 million licensing fee incurred upon entering the 2022 LCA with Bioprojet during the three months ended September 30, 2022, partially offset by a $5.7 million increase in clinical development work associated with IH, PWS and DM, a $0.9 million increase in personnel costs and a $0.5 million increase in stock compensation associated with new awards. The decrease for the nine months ended September 30, 2023 was primarily driven by a $30 million licensing fee incurred upon entering the 2022 LCA with Bioprojet during the nine months ended September 30, 2022, partially offset by an $11.0 million increase in clinical development work associated with IH, PWS and DM, a $2.3 million increase in personnel costs, a $1.1 million increase in stock compensation associated with new awards and a $0.8 million IPR&amp;D charge related to preclinical milestones achieved for HBS-102.</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Sales and marketing expenses increased by $3.0 million, or 14.4%, for the three months ended September 30, 2023, and increased by $12.3 million, or 21.1%, for the nine months ended September 30, 2023, compared to the same periods in 2022. The increase for the three months ended September 30, 2023, was primarily due to a $2.3 million increase in personnel costs and a $0.4 million increase in patient engagement and marketing activities. The increase for the nine months ended September 30, 2023, was primarily due to a $7.1 million increase in patient engagement and marketing activities and a $4.8 million increase in personnel costs. The increase in patient engagement and marketing activities for both comparable periods was driven by our continued growth of WAKIX and the increase in personnel costs for both comparable periods was related to our sales force expansion.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General and administrative expenses increased by $1.2 million, or 5.7%, for the three months ended September 30, 2023 and increased by $6.0 million, or 9.8%, for the nine months ended September 30, 2023, as compared to the same periods in 2022. The increase in the three months ended September 30, 2023 was primarily due to a $0.9 million increase in personnel costs and a $0.3 million increase in stock compensation associated with new awards. The increase in the nine months ended September 30, 2023 was primarily due to a $2.5 million increase in personnel costs, a $1.5 million increase to stock compensation associated with new awards and a $0.9 million increase in intangible asset amortization as a result of the $40.0 million milestone payment in March 2022 upon attaining $500.0 million in life-to-date aggregate net sales of WAKIX in the United States.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Loss on Debt Extinguishment</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Loss on debt extinguishment was $ 9.8 million for the three and nine months ended September 30, 2023. There was no comparable amount in the prior year periods related to the extinguishment of the Blackstone Credit Agreement (defined below).</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Interest expense, net decreased by $1.0 million, or 27.2%, for the three months ended September 30, 2023 and decreased by $ 3.8 million, or 31.1%, for the nine months ended September 30, 2023, compared to the same periods in 2022. The decrease for the three months ended September 30, 2023, was primarily due to a $2.6 million increase in interest income generated from our investments and cash equivalents, partially offset by $2.0 million in unamortized fees and ticking fees pertaining to the DDTL (defined below). The decrease for the nine months ended September 30, 2023, was primarily due to a $7.4 million increase in interest income generated from our investments and cash equivalents and a $2.0 million increase in accretion of discount on our investments, partially offset by a $3.8 million increase in interest expense due to higher rates and $2.0 million in unamortized fees and ticking fees pertaining to the DDTL (defined below).</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Income tax expense was $13.4 million, representing a 25.8% effective tax rate, for the three months ended September 30, 2023, and $31.5 million, or an effective tax rate of 23.5%, for the nine months ended September 30, 2023. Income tax benefit was $80.0 million and $72.4 million for the three and nine months ended September 30. 2022, respectively. The income tax benefit related to both the three and nine months ended September 30, 2022 was due to the release of the valuation allowance on our deferred tax assets, partially offset by current period provision for state and federal income taxes. The effective tax rate of 23.5% for the nine months ended September 30, 2023 included 21.0% for the provision of federal income taxes and 4.7% for the provision of state income taxes, partially offset by a tax windfall benefit of 0.9% from the exercise of stock options and a 1.6% benefit from credits.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To date, we have financed our operations primarily with (a) proceeds from sales of our convertible preferred stock; (b) borrowings under our debt agreements; (c) the proceeds from our IPO; and (d) the proceeds from the sale of common stock to Blackstone. From our inception through our IPO, we received aggregate proceeds of $ 345.0 million from sales of our convertible preferred stock. In August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September 30, 2023, we had cash, cash equivalents, restricted cash and investments of $438.6 million and an accumulated deficit of $169.9 million. As of September 30, 2023, we had outstanding debt of $200.0 million.</w:t>
      </w:r>
    </w:p>
    <w:p>
      <w:pPr>
        <w:spacing w:after="0" w:line="19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have invested a portion of our available cash in money market funds, U.S. government and agency securities, corporate debt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Our investment portfolio may be adversely impacted by future disruptions in the credit markets.</w:t>
      </w:r>
    </w:p>
    <w:p>
      <w:pPr>
        <w:spacing w:after="0" w:line="19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ectPr>
          <w:pgSz w:w="11900" w:h="16838" w:orient="portrait"/>
          <w:cols w:equalWidth="0" w:num="1">
            <w:col w:w="9019"/>
          </w:cols>
          <w:pgMar w:left="1440" w:top="518"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We believe that our existing cash, cash equivalents and investments on hand as of September 30, 2023, will enable us to meet our operational liquidity needs and fund our planned investing activities for the next 12 months. We have based our liquidity and cash flow projections on assumptions that may prove to be incorrect, and we could use our capital resources sooner than we expect.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July 26, 2023, we entered into a Credit Agreement (the “TLA Credit Agreement”) with JPMorgan Chase Bank, N.A., as “Administrative Agent”, and certain lenders. The TLA Credit Agreement provides for a five-year senior secured term loan (the “TLA Term Loan”) in an aggregate principal amount of $185.0 million.</w:t>
      </w:r>
    </w:p>
    <w:p>
      <w:pPr>
        <w:spacing w:after="0" w:line="184"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On September 21, 2023, we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 million. The First Incremental Amendment amends the TLA Credit Agreement and provides that the Incremental Term Loan will have identical terms as the TLA Term Loan.</w:t>
      </w:r>
    </w:p>
    <w:p>
      <w:pPr>
        <w:spacing w:after="0" w:line="18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$3.8 million quarterly principal payments, which commence on December 31, 2023, increasing to $5.0 million quarterly principal payments beginning on December 31, 2025, with a $115.0 million payment due on the maturity date of July 26, 2028.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91"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September 30, 2023.</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we entered into the Blackstone Credit Agreement that provided for (i) a senior secured term loan facility in an aggregate original principal amount of $200.0 million (the “Initial Term Loan”) and (ii) a senior secured delayed draw term loan facility in an aggregate principal amount up to $100.0 million (the “DDTL” and, together with the Initial Term Loans, the “Loans”). The DDTL was initially available to draw down through August 9, 2022. In August 2022, we entered into an agreement to extend the expiration date of the DDTL to August 9, 2023, for which we paid a ticking fee at a rate of 1% per annum on the undrawn portion of the DDTL, which commenced on August 10, 2022. We used substantially all of the proceeds from the Blackstone Credit Agreement, and the related sale of our common stock, to repay the balance of the OrbiMed Credit Agreement.</w:t>
      </w:r>
    </w:p>
    <w:p>
      <w:pPr>
        <w:spacing w:after="0" w:line="191"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In connection with the TLA Credit Agreement, we extinguished the Blackstone Credit Agreement, which required a payoff amount of $207.3 million consisting of principal repayment, interest, exit fees, a ticking fee and a prepayment premium. We recognized a loss on extinguishment of debt of $9.8 million relating to the Blackstone Credit Agreement for the three and nine months ended September 30, 2023.</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August 1, 2023, our Board of Directors approved a program providing for the repurchase of shares of common stock in an aggregate amount of up to $125.0 million, excluding commissions and transaction fees. The repurchase program may be suspended, terminated or modified at any time for any reason. During the three and nine months ended September 30, 2023, we repurchased and cancelled 1,439,792 shares of common stock at an aggregate cost of $50.0 million, excluding commissions and transaction fees. As of September 30, 2023 the remaining amount of common stock authorized for repurchases was $75.0 million.</w:t>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355600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Acquisitions</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On October 10, 2023, we completed a tender offer (the “Tender Offer”) to acquire all of the outstanding shares of common stock of Zynerba Pharmaceuticals, Inc. (“Zynerba Common Stock”).</w:t>
      </w:r>
    </w:p>
    <w:p>
      <w:pPr>
        <w:spacing w:after="0" w:line="17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Under the terms of the Tender Offer, we paid (i) $1.1059 per share of Zynerba Common Stock (the “Common Cash Amount”),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Both the Common Cash Amount and Common CVR Amount are to be paid in cash, subject to any applicable withholding of taxes and without interest. The aggregate consideration we paid to acquire the Zynerba Common Stock upon completion of the Tender Offer was $60 million, exclusive of transaction related fees. We financed the acquisition with cash on hand.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Asset Purchase Agreement</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entered into the APA to acquire HBS-102, a potential first-in-class molecule with a novel mechanism of action. Under the terms of the agreement, we acquired full development and commercialization rights globally, with the exception of Greater China, for $3.5 million. Additionally, there are payments due upon the achievement of certain milestones, including $1.0 million for additional preclinical milestones (see “Recent Milestone Payments”), $19.0 million for development milestones, $44.0 million for regulatory milestones and $110.0 million for sales milestones.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License Agreement</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 Payments</w:t>
      </w:r>
    </w:p>
    <w:p>
      <w:pPr>
        <w:spacing w:after="0" w:line="222"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In March 2023, we achieved a preclinical milestone, which triggered a $0.8 million payment under the provisions of the APA, which was paid in April 2023.</w:t>
      </w:r>
    </w:p>
    <w:p>
      <w:pPr>
        <w:spacing w:after="0" w:line="173"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In March 2022, we made a final $40.0 million milestone payment to Bioprojet upon WAKIX attaining $500.0 million in life-to-date aggregate net sales in the United States.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2" w:lineRule="exact"/>
        <w:rPr>
          <w:sz w:val="20"/>
          <w:szCs w:val="20"/>
          <w:color w:val="auto"/>
        </w:rPr>
      </w:pPr>
    </w:p>
    <w:p>
      <w:pPr>
        <w:ind w:left="60" w:right="319" w:firstLine="648"/>
        <w:spacing w:after="0" w:line="260" w:lineRule="auto"/>
        <w:rPr>
          <w:sz w:val="20"/>
          <w:szCs w:val="20"/>
          <w:color w:val="auto"/>
        </w:rPr>
      </w:pPr>
      <w:r>
        <w:rPr>
          <w:rFonts w:ascii="Arial" w:cs="Arial" w:eastAsia="Arial" w:hAnsi="Arial"/>
          <w:sz w:val="18"/>
          <w:szCs w:val="18"/>
          <w:color w:val="auto"/>
        </w:rPr>
        <w:t>The following table sets forth a summary of our cash flows for the nine months ended September 30, 2023 and 2022:</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4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6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28"/>
        </w:trPr>
        <w:tc>
          <w:tcPr>
            <w:tcW w:w="64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142,722</w:t>
            </w:r>
          </w:p>
        </w:tc>
        <w:tc>
          <w:tcPr>
            <w:tcW w:w="24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117,788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(10,374)</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(52,029)</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2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Net cash provided by operating activities for the nine months ended September 30, 2023 primarily consisted of net income of $ 102.2 million adjusted for non-cash items of $14.5 million related to deferred tax assets, $18.2 million related to intangible amortization and depreciation, $ 22.3 million related to stock-based compensation expense and $9.8 million related to loss on extinguishment of debt. Net working capital excluding cash increased by $3.4 million.</w:t>
      </w:r>
    </w:p>
    <w:p>
      <w:pPr>
        <w:spacing w:after="0" w:line="189"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Net cash provided by operating activities for the nine months ended September 30, 2022 consisted of net income of $133.0 million adjusted for non-cash items of $81.7 million related to deferred tax assets, $17.3 million related to intangible amortization and depreciation and $19.2 million related to stock-based compensation expense. Net working capital excluding cash increased by $27.9 million, which was partially due to the accrual of the $30.0 million licensing fee associated with the 2022 LCA.</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nine months ended September 30, 2023 was $10.4 million, which was primarily attributable to $105.9 million in purchases of debt securities, partially offset by $95.7 million in proceeds from sales and maturities of investments and $0.2 million in purchases of property and equipment.</w:t>
      </w:r>
    </w:p>
    <w:p>
      <w:pPr>
        <w:spacing w:after="0" w:line="184"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Net cash used in investing activities for the nine months ended September 30, 2022 was $94.9 million, which was primarily attributable to a final $40.0 million milestone payment associated with the 2017 LCA and $55.6 million in purchases of debt securities, partially offset by $0.9 million in proceeds from sales and maturities of investments.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Net cash used in financing activities for the nine months ended September 30, 2023 was $52.0 million, which primarily consisted of $202.3 million in payments of principal and exit fees associated with the extinguishment of the Blackstone Credit Agreement, $50.0 million in share repurchases and $1.0 million in principal payments associated with the Blackstone Credit Agreement, partially offset by $197.0 million in proceeds associated with the TLA Credit Agreement, net of issuance costs, and $4.8 million in proceeds from exercised options.</w:t>
      </w:r>
    </w:p>
    <w:p>
      <w:pPr>
        <w:spacing w:after="0" w:line="19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financing activities for the nine months ended September 30, 2022 was $4.2 million, which primarily consisted of $5.3 million in proceeds from exercised options partially offset by $1.5 million in principal payments associated with the Blackstone Credit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9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our costs incurred under services type agreements related to the performance of research and development activities, and the measurement of compensation expense pursuant to stock-based awards. We base our estimates on contractual terms,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2" w:lineRule="exact"/>
        <w:rPr>
          <w:sz w:val="20"/>
          <w:szCs w:val="20"/>
          <w:color w:val="auto"/>
        </w:rPr>
      </w:pPr>
    </w:p>
    <w:p>
      <w:pPr>
        <w:ind w:left="60" w:right="699" w:firstLine="648"/>
        <w:spacing w:after="0" w:line="260"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2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$312.0 million of investments in money market funds, U.S. treasury notes, corporate bonds and municipal obligations as of September 30, 2023, an immediate 10% change in market interest rates would not have a material impact on the fair market value of our investment portfolio or on our financial position or results of operations.</w:t>
      </w:r>
    </w:p>
    <w:p>
      <w:pPr>
        <w:spacing w:after="0" w:line="202"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18"/>
          <w:szCs w:val="18"/>
          <w:color w:val="auto"/>
        </w:rPr>
        <w:t>As of September 30, 2023, we had $200.0 million in borrowings outstanding.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$200.0 million of principal outstanding as of September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0" w:lineRule="auto"/>
        <w:rPr>
          <w:sz w:val="20"/>
          <w:szCs w:val="20"/>
          <w:color w:val="auto"/>
        </w:rPr>
      </w:pPr>
      <w:r>
        <w:rPr>
          <w:rFonts w:ascii="Arial" w:cs="Arial" w:eastAsia="Arial" w:hAnsi="Arial"/>
          <w:sz w:val="18"/>
          <w:szCs w:val="18"/>
          <w:color w:val="auto"/>
        </w:rPr>
        <w:t>30, 2023, an immediate 10% change in the SOFR would not have a material impact on our debt-related obligations, financial position or results of operations.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each of the three and nine months ended September 30, 2023 and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September 30, 2023. Based on that evaluation, our principal executive officer and principal financial officer concluded that, as of September 30, 2023,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2023, that have materially affected, or are reasonably likely to materially affect, our internal control over financial reporting.</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22"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2022,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84" w:lineRule="exact"/>
        <w:rPr>
          <w:sz w:val="20"/>
          <w:szCs w:val="20"/>
          <w:color w:val="auto"/>
        </w:rPr>
      </w:pPr>
    </w:p>
    <w:p>
      <w:pPr>
        <w:ind w:left="60" w:right="699"/>
        <w:spacing w:after="0" w:line="285"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Purchases of Equity Securities</w:t>
      </w:r>
    </w:p>
    <w:p>
      <w:pPr>
        <w:spacing w:after="0" w:line="222" w:lineRule="exact"/>
        <w:rPr>
          <w:sz w:val="20"/>
          <w:szCs w:val="20"/>
          <w:color w:val="auto"/>
        </w:rPr>
      </w:pPr>
    </w:p>
    <w:p>
      <w:pPr>
        <w:ind w:left="60" w:right="59" w:firstLine="648"/>
        <w:spacing w:after="0" w:line="260" w:lineRule="auto"/>
        <w:rPr>
          <w:sz w:val="20"/>
          <w:szCs w:val="20"/>
          <w:color w:val="auto"/>
        </w:rPr>
      </w:pPr>
      <w:r>
        <w:rPr>
          <w:rFonts w:ascii="Arial" w:cs="Arial" w:eastAsia="Arial" w:hAnsi="Arial"/>
          <w:sz w:val="18"/>
          <w:szCs w:val="18"/>
          <w:color w:val="auto"/>
        </w:rPr>
        <w:t>The following table summarizes information about our purchases of shares of our common stock for each of the months during the three months ended September 30, 2023.</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Maxmium Approximate</w:t>
            </w: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Total Number of Shares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Dollar Value</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Weighted Average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Shares of Common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of Shares of</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Total 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Price Paid</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Stock Purchases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Common Stock that May</w:t>
            </w:r>
          </w:p>
        </w:tc>
        <w:tc>
          <w:tcPr>
            <w:tcW w:w="0" w:type="dxa"/>
            <w:vAlign w:val="bottom"/>
          </w:tcPr>
          <w:p>
            <w:pPr>
              <w:spacing w:after="0"/>
              <w:rPr>
                <w:sz w:val="1"/>
                <w:szCs w:val="1"/>
                <w:color w:val="auto"/>
              </w:rPr>
            </w:pPr>
          </w:p>
        </w:tc>
      </w:tr>
      <w:tr>
        <w:trPr>
          <w:trHeight w:val="162"/>
        </w:trPr>
        <w:tc>
          <w:tcPr>
            <w:tcW w:w="2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Shares of Common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per Share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as Part of Pubilicly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Yet to be Purchased</w:t>
            </w:r>
          </w:p>
        </w:tc>
        <w:tc>
          <w:tcPr>
            <w:tcW w:w="0" w:type="dxa"/>
            <w:vAlign w:val="bottom"/>
          </w:tcPr>
          <w:p>
            <w:pPr>
              <w:spacing w:after="0"/>
              <w:rPr>
                <w:sz w:val="1"/>
                <w:szCs w:val="1"/>
                <w:color w:val="auto"/>
              </w:rPr>
            </w:pPr>
          </w:p>
        </w:tc>
      </w:tr>
      <w:tr>
        <w:trPr>
          <w:trHeight w:val="165"/>
        </w:trPr>
        <w:tc>
          <w:tcPr>
            <w:tcW w:w="264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Stock Purchased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Common Stock (1)</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Announced Program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rPr>
              <w:t>under the Program (3)</w:t>
            </w:r>
          </w:p>
        </w:tc>
        <w:tc>
          <w:tcPr>
            <w:tcW w:w="0" w:type="dxa"/>
            <w:vAlign w:val="bottom"/>
          </w:tcPr>
          <w:p>
            <w:pPr>
              <w:spacing w:after="0"/>
              <w:rPr>
                <w:sz w:val="1"/>
                <w:szCs w:val="1"/>
                <w:color w:val="auto"/>
              </w:rPr>
            </w:pPr>
          </w:p>
        </w:tc>
      </w:tr>
      <w:tr>
        <w:trPr>
          <w:trHeight w:val="183"/>
        </w:trPr>
        <w:tc>
          <w:tcPr>
            <w:tcW w:w="25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8"/>
                <w:szCs w:val="18"/>
                <w:color w:val="auto"/>
              </w:rPr>
              <w:t>July 1, 2023 through July 31,</w:t>
            </w:r>
          </w:p>
        </w:tc>
        <w:tc>
          <w:tcPr>
            <w:tcW w:w="1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190"/>
        </w:trPr>
        <w:tc>
          <w:tcPr>
            <w:tcW w:w="2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August 1, 2023 through August</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8"/>
                <w:szCs w:val="18"/>
                <w:color w:val="auto"/>
              </w:rPr>
              <w:t>31, 2023</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764,800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32.81</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764,800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99,910</w:t>
            </w: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September 1, 2023 through</w:t>
            </w: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196"/>
        </w:trPr>
        <w:tc>
          <w:tcPr>
            <w:tcW w:w="264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1,439,792</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34.73</w:t>
            </w:r>
          </w:p>
        </w:tc>
        <w:tc>
          <w:tcPr>
            <w:tcW w:w="14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1,439,792</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1040" w:right="79" w:hanging="315"/>
        <w:spacing w:after="0" w:line="26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price paid per share of common stock excludes commissions and transaction fees.</w:t>
      </w:r>
    </w:p>
    <w:p>
      <w:pPr>
        <w:spacing w:after="0" w:line="172" w:lineRule="exact"/>
        <w:rPr>
          <w:rFonts w:ascii="Arial" w:cs="Arial" w:eastAsia="Arial" w:hAnsi="Arial"/>
          <w:sz w:val="18"/>
          <w:szCs w:val="18"/>
          <w:color w:val="auto"/>
        </w:rPr>
      </w:pPr>
    </w:p>
    <w:p>
      <w:pPr>
        <w:jc w:val="both"/>
        <w:ind w:left="1040" w:right="79" w:hanging="315"/>
        <w:spacing w:after="0" w:line="23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August 1, 2023, our Board of Directors approved a program providing for the repurchase of shares of common stock in an aggregate amount of up to $125.0 million, excluding commissions and transaction fees. The repurchase program may be suspended, terminated or modified at any time for any reason. Such repurchases may be pursuant to Rule 10b-18 or Rule 10b5-1 agreements as determined by our management and in accordance with the requirements of the Securities and Exchange Commission. All repurchased shares of common stock shown in the table above were retired.</w:t>
      </w:r>
    </w:p>
    <w:p>
      <w:pPr>
        <w:spacing w:after="0" w:line="190" w:lineRule="exact"/>
        <w:rPr>
          <w:rFonts w:ascii="Arial" w:cs="Arial" w:eastAsia="Arial" w:hAnsi="Arial"/>
          <w:sz w:val="18"/>
          <w:szCs w:val="18"/>
          <w:color w:val="auto"/>
        </w:rPr>
      </w:pPr>
    </w:p>
    <w:p>
      <w:pPr>
        <w:jc w:val="both"/>
        <w:ind w:left="1040" w:right="79" w:hanging="315"/>
        <w:spacing w:after="0" w:line="241"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dollar amount shown (in thousands), represents, as of the end of each period, the approximate dollar value of shares of common stock that may yet to be purchased under our publicly announced share repurchase program, exclusive of any commissions and transaction fees. The share repurchase program does not obligate us to repurchase any minimum dollar amount or number of shares of common stock.</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6"/>
        </w:trPr>
        <w:tc>
          <w:tcPr>
            <w:tcW w:w="9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80" w:type="dxa"/>
            <w:vAlign w:val="bottom"/>
            <w:gridSpan w:val="26"/>
          </w:tcPr>
          <w:p>
            <w:pPr>
              <w:ind w:left="14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88"/>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auto"/>
            </w:tcBorders>
            <w:gridSpan w:val="31"/>
          </w:tcPr>
          <w:p>
            <w:pPr>
              <w:spacing w:after="0" w:line="142" w:lineRule="exact"/>
              <w:rPr>
                <w:rFonts w:ascii="Arial" w:cs="Arial" w:eastAsia="Arial" w:hAnsi="Arial"/>
                <w:sz w:val="14"/>
                <w:szCs w:val="14"/>
                <w:color w:val="0000EE"/>
              </w:rPr>
            </w:pPr>
            <w:hyperlink r:id="rId51">
              <w:r>
                <w:rPr>
                  <w:rFonts w:ascii="Arial" w:cs="Arial" w:eastAsia="Arial" w:hAnsi="Arial"/>
                  <w:sz w:val="14"/>
                  <w:szCs w:val="14"/>
                  <w:color w:val="0000EE"/>
                </w:rPr>
                <w:t>Agreement and Plan of Merger, dated August 14, 2023, by and among</w:t>
              </w:r>
            </w:hyperlink>
          </w:p>
        </w:tc>
        <w:tc>
          <w:tcPr>
            <w:tcW w:w="12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24"/>
          </w:tcPr>
          <w:p>
            <w:pPr>
              <w:spacing w:after="0" w:line="142" w:lineRule="exact"/>
              <w:rPr>
                <w:rFonts w:ascii="Arial" w:cs="Arial" w:eastAsia="Arial" w:hAnsi="Arial"/>
                <w:sz w:val="14"/>
                <w:szCs w:val="14"/>
                <w:color w:val="0000EE"/>
              </w:rPr>
            </w:pPr>
            <w:hyperlink r:id="rId51">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22"/>
          </w:tcPr>
          <w:p>
            <w:pPr>
              <w:spacing w:after="0" w:line="142" w:lineRule="exact"/>
              <w:rPr>
                <w:rFonts w:ascii="Arial" w:cs="Arial" w:eastAsia="Arial" w:hAnsi="Arial"/>
                <w:sz w:val="14"/>
                <w:szCs w:val="14"/>
                <w:color w:val="0000EE"/>
              </w:rPr>
            </w:pPr>
            <w:hyperlink r:id="rId51">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33"/>
          </w:tcPr>
          <w:p>
            <w:pPr>
              <w:spacing w:after="0" w:line="142" w:lineRule="exact"/>
              <w:rPr>
                <w:rFonts w:ascii="Arial" w:cs="Arial" w:eastAsia="Arial" w:hAnsi="Arial"/>
                <w:sz w:val="14"/>
                <w:szCs w:val="14"/>
                <w:color w:val="0000EE"/>
              </w:rPr>
            </w:pPr>
            <w:hyperlink r:id="rId52">
              <w:r>
                <w:rPr>
                  <w:rFonts w:ascii="Arial" w:cs="Arial" w:eastAsia="Arial" w:hAnsi="Arial"/>
                  <w:sz w:val="14"/>
                  <w:szCs w:val="14"/>
                  <w:color w:val="0000EE"/>
                </w:rPr>
                <w:t>Amended and Restated Certificate of Incorporation of Harmony</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12"/>
          </w:tcPr>
          <w:p>
            <w:pPr>
              <w:spacing w:after="0" w:line="142" w:lineRule="exact"/>
              <w:rPr>
                <w:rFonts w:ascii="Arial" w:cs="Arial" w:eastAsia="Arial" w:hAnsi="Arial"/>
                <w:sz w:val="14"/>
                <w:szCs w:val="14"/>
                <w:color w:val="0000EE"/>
              </w:rPr>
            </w:pPr>
            <w:hyperlink r:id="rId52">
              <w:r>
                <w:rPr>
                  <w:rFonts w:ascii="Arial" w:cs="Arial" w:eastAsia="Arial" w:hAnsi="Arial"/>
                  <w:sz w:val="14"/>
                  <w:szCs w:val="14"/>
                  <w:color w:val="0000EE"/>
                </w:rPr>
                <w:t>Biosciences Holdings, Inc.</w:t>
              </w:r>
            </w:hyperlink>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8"/>
          </w:tcPr>
          <w:p>
            <w:pPr>
              <w:spacing w:after="0" w:line="142" w:lineRule="exact"/>
              <w:rPr>
                <w:rFonts w:ascii="Arial" w:cs="Arial" w:eastAsia="Arial" w:hAnsi="Arial"/>
                <w:sz w:val="14"/>
                <w:szCs w:val="14"/>
                <w:color w:val="0000EE"/>
              </w:rPr>
            </w:pPr>
            <w:hyperlink r:id="rId53">
              <w:r>
                <w:rPr>
                  <w:rFonts w:ascii="Arial" w:cs="Arial" w:eastAsia="Arial" w:hAnsi="Arial"/>
                  <w:sz w:val="14"/>
                  <w:szCs w:val="14"/>
                  <w:color w:val="0000EE"/>
                </w:rPr>
                <w:t>Amended and Restated</w:t>
              </w:r>
            </w:hyperlink>
          </w:p>
        </w:tc>
        <w:tc>
          <w:tcPr>
            <w:tcW w:w="380" w:type="dxa"/>
            <w:vAlign w:val="bottom"/>
            <w:tcBorders>
              <w:bottom w:val="single" w:sz="8" w:color="0000EE"/>
            </w:tcBorders>
            <w:gridSpan w:val="2"/>
          </w:tcPr>
          <w:p>
            <w:pPr>
              <w:spacing w:after="0" w:line="142" w:lineRule="exact"/>
              <w:rPr>
                <w:rFonts w:ascii="Arial" w:cs="Arial" w:eastAsia="Arial" w:hAnsi="Arial"/>
                <w:sz w:val="14"/>
                <w:szCs w:val="14"/>
                <w:color w:val="0000EE"/>
                <w:w w:val="74"/>
              </w:rPr>
            </w:pPr>
            <w:hyperlink r:id="rId53">
              <w:r>
                <w:rPr>
                  <w:rFonts w:ascii="Arial" w:cs="Arial" w:eastAsia="Arial" w:hAnsi="Arial"/>
                  <w:sz w:val="14"/>
                  <w:szCs w:val="14"/>
                  <w:color w:val="0000EE"/>
                  <w:w w:val="74"/>
                </w:rPr>
                <w:t>Bylaws.</w:t>
              </w:r>
            </w:hyperlink>
          </w:p>
        </w:tc>
        <w:tc>
          <w:tcPr>
            <w:tcW w:w="2740" w:type="dxa"/>
            <w:vAlign w:val="bottom"/>
            <w:gridSpan w:val="23"/>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jc w:val="right"/>
              <w:ind w:right="408"/>
              <w:spacing w:after="0" w:line="142"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4800" w:type="dxa"/>
            <w:vAlign w:val="bottom"/>
            <w:gridSpan w:val="33"/>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Restricted Stock Unit Award Agreement dated October 4, 2023 with</w:t>
              </w:r>
            </w:hyperlink>
          </w:p>
        </w:tc>
        <w:tc>
          <w:tcPr>
            <w:tcW w:w="560" w:type="dxa"/>
            <w:vAlign w:val="bottom"/>
          </w:tcPr>
          <w:p>
            <w:pPr>
              <w:jc w:val="center"/>
              <w:ind w:left="88"/>
              <w:spacing w:after="0" w:line="142" w:lineRule="exact"/>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color w:val="auto"/>
              </w:rPr>
              <w:t>October 5, 2023</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4320" w:type="dxa"/>
            <w:vAlign w:val="bottom"/>
            <w:tcBorders>
              <w:top w:val="single" w:sz="8" w:color="0000EE"/>
            </w:tcBorders>
            <w:gridSpan w:val="16"/>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Sandip Kapadia</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October 5, 2023</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0000EE"/>
            </w:tcBorders>
            <w:gridSpan w:val="3"/>
          </w:tcPr>
          <w:p>
            <w:pPr>
              <w:spacing w:after="0" w:line="142" w:lineRule="exact"/>
              <w:rPr>
                <w:rFonts w:ascii="Arial" w:cs="Arial" w:eastAsia="Arial" w:hAnsi="Arial"/>
                <w:sz w:val="14"/>
                <w:szCs w:val="14"/>
                <w:color w:val="0000EE"/>
                <w:w w:val="98"/>
              </w:rPr>
            </w:pPr>
            <w:hyperlink r:id="rId55">
              <w:r>
                <w:rPr>
                  <w:rFonts w:ascii="Arial" w:cs="Arial" w:eastAsia="Arial" w:hAnsi="Arial"/>
                  <w:sz w:val="14"/>
                  <w:szCs w:val="14"/>
                  <w:color w:val="0000EE"/>
                  <w:w w:val="98"/>
                </w:rPr>
                <w:t>Restricted Stock</w:t>
              </w:r>
            </w:hyperlink>
          </w:p>
        </w:tc>
        <w:tc>
          <w:tcPr>
            <w:tcW w:w="3780" w:type="dxa"/>
            <w:vAlign w:val="bottom"/>
            <w:gridSpan w:val="30"/>
          </w:tcPr>
          <w:p>
            <w:pPr>
              <w:ind w:left="80"/>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Unit Award Agreement dated October 4, 2023 with</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880" w:type="dxa"/>
            <w:vAlign w:val="bottom"/>
            <w:tcBorders>
              <w:top w:val="single" w:sz="8" w:color="0000EE"/>
              <w:bottom w:val="single" w:sz="8" w:color="0000EE"/>
            </w:tcBorders>
            <w:gridSpan w:val="2"/>
          </w:tcPr>
          <w:p>
            <w:pPr>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Jeffrey Dierks</w:t>
              </w:r>
            </w:hyperlink>
          </w:p>
        </w:tc>
        <w:tc>
          <w:tcPr>
            <w:tcW w:w="3440" w:type="dxa"/>
            <w:vAlign w:val="bottom"/>
            <w:tcBorders>
              <w:top w:val="single" w:sz="8" w:color="0000EE"/>
            </w:tcBorders>
            <w:gridSpan w:val="1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July 27, 2023</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33"/>
          </w:tcPr>
          <w:p>
            <w:pPr>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Credit Agreement, dated as of July 26, 2023, by an among JPMorgan</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20" w:type="dxa"/>
            <w:vAlign w:val="bottom"/>
            <w:tcBorders>
              <w:top w:val="single" w:sz="8" w:color="0000EE"/>
            </w:tcBorders>
            <w:gridSpan w:val="20"/>
          </w:tcPr>
          <w:p>
            <w:pPr>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Chase Bank, N.A., as administrative agent, and the lenders from time</w:t>
              </w:r>
            </w:hyperlink>
          </w:p>
        </w:tc>
        <w:tc>
          <w:tcPr>
            <w:tcW w:w="40" w:type="dxa"/>
            <w:vAlign w:val="bottom"/>
          </w:tcPr>
          <w:p>
            <w:pPr>
              <w:spacing w:after="0"/>
              <w:rPr>
                <w:sz w:val="12"/>
                <w:szCs w:val="12"/>
                <w:color w:val="auto"/>
              </w:rPr>
            </w:pPr>
          </w:p>
        </w:tc>
        <w:tc>
          <w:tcPr>
            <w:tcW w:w="340" w:type="dxa"/>
            <w:vAlign w:val="bottom"/>
            <w:gridSpan w:val="12"/>
          </w:tcPr>
          <w:p>
            <w:pPr>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to</w:t>
              </w:r>
            </w:hyperlink>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c>
          <w:tcPr>
            <w:tcW w:w="4620" w:type="dxa"/>
            <w:vAlign w:val="bottom"/>
            <w:tcBorders>
              <w:top w:val="single" w:sz="8" w:color="0000EE"/>
            </w:tcBorders>
            <w:gridSpan w:val="29"/>
          </w:tcPr>
          <w:p>
            <w:pPr>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time party thereto</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July 27, 2023</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0000EE"/>
            </w:tcBorders>
            <w:gridSpan w:val="4"/>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Guaranty, dated</w:t>
              </w:r>
            </w:hyperlink>
          </w:p>
        </w:tc>
        <w:tc>
          <w:tcPr>
            <w:tcW w:w="3680" w:type="dxa"/>
            <w:vAlign w:val="bottom"/>
            <w:gridSpan w:val="29"/>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July 26, 2023, by and among each of the subsidiaries of</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60" w:type="dxa"/>
            <w:vAlign w:val="bottom"/>
            <w:tcBorders>
              <w:top w:val="single" w:sz="8" w:color="0000EE"/>
            </w:tcBorders>
            <w:gridSpan w:val="31"/>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Harmony Biosciences Holdings, Inc. and JPMorgan Chase Bank, N.A.,</w:t>
              </w:r>
            </w:hyperlink>
          </w:p>
        </w:tc>
        <w:tc>
          <w:tcPr>
            <w:tcW w:w="1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2"/>
                <w:szCs w:val="12"/>
                <w:color w:val="auto"/>
              </w:rPr>
            </w:pPr>
          </w:p>
        </w:tc>
        <w:tc>
          <w:tcPr>
            <w:tcW w:w="4540" w:type="dxa"/>
            <w:vAlign w:val="bottom"/>
            <w:tcBorders>
              <w:top w:val="single" w:sz="8" w:color="0000EE"/>
            </w:tcBorders>
            <w:gridSpan w:val="25"/>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as administrative agent</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July 27, 2023</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top w:val="single" w:sz="8" w:color="0000EE"/>
            </w:tcBorders>
            <w:gridSpan w:val="6"/>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Pledge and Security</w:t>
              </w:r>
            </w:hyperlink>
          </w:p>
        </w:tc>
        <w:tc>
          <w:tcPr>
            <w:tcW w:w="3320" w:type="dxa"/>
            <w:vAlign w:val="bottom"/>
            <w:gridSpan w:val="27"/>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Agreement, dated July 26, 2023, by and among</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0" w:type="dxa"/>
            <w:vAlign w:val="bottom"/>
            <w:tcBorders>
              <w:top w:val="single" w:sz="8" w:color="0000EE"/>
            </w:tcBorders>
            <w:gridSpan w:val="19"/>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Harmony Biosciences Holdings, Inc. and each of the subsidiaries of</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00" w:type="dxa"/>
            <w:vAlign w:val="bottom"/>
            <w:tcBorders>
              <w:top w:val="single" w:sz="8" w:color="0000EE"/>
            </w:tcBorders>
            <w:gridSpan w:val="15"/>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Harmony Biosciences Holdings, Inc., and JPMorgan Chase Bank,</w:t>
              </w:r>
            </w:hyperlink>
          </w:p>
        </w:tc>
        <w:tc>
          <w:tcPr>
            <w:tcW w:w="500" w:type="dxa"/>
            <w:vAlign w:val="bottom"/>
            <w:gridSpan w:val="18"/>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N.A.,</w:t>
              </w:r>
            </w:hyperlink>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10.6</w:t>
            </w:r>
          </w:p>
        </w:tc>
        <w:tc>
          <w:tcPr>
            <w:tcW w:w="160" w:type="dxa"/>
            <w:vAlign w:val="bottom"/>
          </w:tcPr>
          <w:p>
            <w:pPr>
              <w:spacing w:after="0"/>
              <w:rPr>
                <w:sz w:val="12"/>
                <w:szCs w:val="12"/>
                <w:color w:val="auto"/>
              </w:rPr>
            </w:pPr>
          </w:p>
        </w:tc>
        <w:tc>
          <w:tcPr>
            <w:tcW w:w="4600" w:type="dxa"/>
            <w:vAlign w:val="bottom"/>
            <w:tcBorders>
              <w:top w:val="single" w:sz="8" w:color="0000EE"/>
            </w:tcBorders>
            <w:gridSpan w:val="28"/>
          </w:tcPr>
          <w:p>
            <w:pPr>
              <w:spacing w:after="0" w:line="142" w:lineRule="exact"/>
              <w:rPr>
                <w:rFonts w:ascii="Arial" w:cs="Arial" w:eastAsia="Arial" w:hAnsi="Arial"/>
                <w:sz w:val="14"/>
                <w:szCs w:val="14"/>
                <w:color w:val="0000EE"/>
              </w:rPr>
            </w:pPr>
            <w:hyperlink r:id="rId58">
              <w:r>
                <w:rPr>
                  <w:rFonts w:ascii="Arial" w:cs="Arial" w:eastAsia="Arial" w:hAnsi="Arial"/>
                  <w:sz w:val="14"/>
                  <w:szCs w:val="14"/>
                  <w:color w:val="0000EE"/>
                </w:rPr>
                <w:t>as administrative agent.</w:t>
              </w:r>
            </w:hyperlink>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September 25,</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33"/>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First Incremental Amendment dated September 21, 2023 by and among</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tcBorders>
              <w:top w:val="single" w:sz="8" w:color="0000EE"/>
            </w:tcBorders>
            <w:gridSpan w:val="30"/>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Harmony Biosciences Holdings, Inc., JPMorgan Chase Bank, N.A., as</w:t>
              </w:r>
            </w:hyperlink>
          </w:p>
        </w:tc>
        <w:tc>
          <w:tcPr>
            <w:tcW w:w="1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4460" w:type="dxa"/>
            <w:vAlign w:val="bottom"/>
            <w:tcBorders>
              <w:top w:val="single" w:sz="8" w:color="0000EE"/>
            </w:tcBorders>
            <w:gridSpan w:val="21"/>
          </w:tcPr>
          <w:p>
            <w:pPr>
              <w:spacing w:after="0" w:line="142" w:lineRule="exact"/>
              <w:rPr>
                <w:rFonts w:ascii="Arial" w:cs="Arial" w:eastAsia="Arial" w:hAnsi="Arial"/>
                <w:sz w:val="14"/>
                <w:szCs w:val="14"/>
                <w:color w:val="0000EE"/>
              </w:rPr>
            </w:pPr>
            <w:hyperlink r:id="rId59">
              <w:r>
                <w:rPr>
                  <w:rFonts w:ascii="Arial" w:cs="Arial" w:eastAsia="Arial" w:hAnsi="Arial"/>
                  <w:sz w:val="14"/>
                  <w:szCs w:val="14"/>
                  <w:color w:val="0000EE"/>
                </w:rPr>
                <w:t>administrative agent, and Bank of America, N.A., as incremental lender</w:t>
              </w:r>
            </w:hyperlink>
          </w:p>
        </w:tc>
        <w:tc>
          <w:tcPr>
            <w:tcW w:w="340" w:type="dxa"/>
            <w:vAlign w:val="bottom"/>
            <w:gridSpan w:val="12"/>
          </w:tcPr>
          <w:p>
            <w:pPr>
              <w:jc w:val="right"/>
              <w:ind w:right="240"/>
              <w:spacing w:after="0" w:line="142" w:lineRule="exact"/>
              <w:rPr>
                <w:rFonts w:ascii="Arial" w:cs="Arial" w:eastAsia="Arial" w:hAnsi="Arial"/>
                <w:sz w:val="14"/>
                <w:szCs w:val="14"/>
                <w:color w:val="auto"/>
              </w:rPr>
            </w:pPr>
            <w:hyperlink r:id="rId59">
              <w:r>
                <w:rPr>
                  <w:rFonts w:ascii="Arial" w:cs="Arial" w:eastAsia="Arial" w:hAnsi="Arial"/>
                  <w:sz w:val="14"/>
                  <w:szCs w:val="14"/>
                  <w:color w:val="auto"/>
                </w:rPr>
                <w:t>.</w:t>
              </w:r>
            </w:hyperlink>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bottom w:val="single" w:sz="8" w:color="0000EE"/>
            </w:tcBorders>
            <w:gridSpan w:val="26"/>
          </w:tcPr>
          <w:p>
            <w:pPr>
              <w:spacing w:after="0" w:line="142" w:lineRule="exact"/>
              <w:rPr>
                <w:sz w:val="20"/>
                <w:szCs w:val="20"/>
                <w:color w:val="auto"/>
              </w:rPr>
            </w:pPr>
            <w:r>
              <w:rPr>
                <w:rFonts w:ascii="Arial" w:cs="Arial" w:eastAsia="Arial" w:hAnsi="Arial"/>
                <w:sz w:val="14"/>
                <w:szCs w:val="14"/>
                <w:color w:val="0000EE"/>
              </w:rPr>
              <w:t>Certification of Chief Executive Officer pursuant to Rules 13a-14(a) and</w:t>
            </w:r>
          </w:p>
        </w:tc>
        <w:tc>
          <w:tcPr>
            <w:tcW w:w="20" w:type="dxa"/>
            <w:vAlign w:val="bottom"/>
            <w:tcBorders>
              <w:bottom w:val="single" w:sz="8" w:color="0000EE"/>
            </w:tcBorders>
          </w:tcPr>
          <w:p>
            <w:pPr>
              <w:spacing w:after="0"/>
              <w:rPr>
                <w:sz w:val="12"/>
                <w:szCs w:val="12"/>
                <w:color w:val="auto"/>
              </w:rPr>
            </w:pPr>
          </w:p>
        </w:tc>
        <w:tc>
          <w:tcPr>
            <w:tcW w:w="220" w:type="dxa"/>
            <w:vAlign w:val="bottom"/>
            <w:gridSpan w:val="6"/>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80" w:type="dxa"/>
            <w:vAlign w:val="bottom"/>
            <w:gridSpan w:val="27"/>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220" w:type="dxa"/>
            <w:vAlign w:val="bottom"/>
            <w:gridSpan w:val="6"/>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380" w:type="dxa"/>
            <w:vAlign w:val="bottom"/>
            <w:tcBorders>
              <w:bottom w:val="single" w:sz="8" w:color="0000EE"/>
            </w:tcBorders>
            <w:gridSpan w:val="18"/>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420" w:type="dxa"/>
            <w:vAlign w:val="bottom"/>
            <w:gridSpan w:val="15"/>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33"/>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0000EE"/>
            </w:tcBorders>
            <w:gridSpan w:val="23"/>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300" w:type="dxa"/>
            <w:vAlign w:val="bottom"/>
            <w:gridSpan w:val="10"/>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800" w:type="dxa"/>
            <w:vAlign w:val="bottom"/>
            <w:gridSpan w:val="33"/>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60" w:type="dxa"/>
            <w:vAlign w:val="bottom"/>
            <w:tcBorders>
              <w:top w:val="single" w:sz="8" w:color="0000EE"/>
            </w:tcBorders>
            <w:gridSpan w:val="17"/>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440" w:type="dxa"/>
            <w:vAlign w:val="bottom"/>
            <w:gridSpan w:val="16"/>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33"/>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9"/>
          </w:tcPr>
          <w:p>
            <w:pPr>
              <w:spacing w:after="0"/>
              <w:rPr>
                <w:sz w:val="12"/>
                <w:szCs w:val="12"/>
                <w:color w:val="auto"/>
              </w:rPr>
            </w:pPr>
          </w:p>
        </w:tc>
        <w:tc>
          <w:tcPr>
            <w:tcW w:w="520" w:type="dxa"/>
            <w:vAlign w:val="bottom"/>
            <w:gridSpan w:val="19"/>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11"/>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960" w:type="dxa"/>
            <w:vAlign w:val="bottom"/>
            <w:gridSpan w:val="2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33"/>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68"/>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9"/>
          </w:tcPr>
          <w:p>
            <w:pPr>
              <w:spacing w:after="0"/>
              <w:rPr>
                <w:sz w:val="12"/>
                <w:szCs w:val="12"/>
                <w:color w:val="auto"/>
              </w:rPr>
            </w:pPr>
          </w:p>
        </w:tc>
        <w:tc>
          <w:tcPr>
            <w:tcW w:w="520" w:type="dxa"/>
            <w:vAlign w:val="bottom"/>
            <w:gridSpan w:val="19"/>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gridSpan w:val="33"/>
          </w:tcPr>
          <w:p>
            <w:pPr>
              <w:spacing w:after="0" w:line="151" w:lineRule="exact"/>
              <w:rPr>
                <w:sz w:val="20"/>
                <w:szCs w:val="20"/>
                <w:color w:val="auto"/>
              </w:rPr>
            </w:pPr>
            <w:r>
              <w:rPr>
                <w:rFonts w:ascii="Arial" w:cs="Arial" w:eastAsia="Arial" w:hAnsi="Arial"/>
                <w:sz w:val="14"/>
                <w:szCs w:val="14"/>
                <w:color w:val="auto"/>
              </w:rPr>
              <w:t>The following financial statements from the Company’s Quarterly Report</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33"/>
          </w:tcPr>
          <w:p>
            <w:pPr>
              <w:spacing w:after="0"/>
              <w:rPr>
                <w:sz w:val="20"/>
                <w:szCs w:val="20"/>
                <w:color w:val="auto"/>
              </w:rPr>
            </w:pPr>
            <w:r>
              <w:rPr>
                <w:rFonts w:ascii="Arial" w:cs="Arial" w:eastAsia="Arial" w:hAnsi="Arial"/>
                <w:sz w:val="14"/>
                <w:szCs w:val="14"/>
                <w:color w:val="auto"/>
              </w:rPr>
              <w:t>on Form 10-Q for the fiscal quarter ended September 30, 2023</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33"/>
          </w:tcPr>
          <w:p>
            <w:pPr>
              <w:spacing w:after="0"/>
              <w:rPr>
                <w:sz w:val="20"/>
                <w:szCs w:val="20"/>
                <w:color w:val="auto"/>
              </w:rPr>
            </w:pPr>
            <w:r>
              <w:rPr>
                <w:rFonts w:ascii="Arial" w:cs="Arial" w:eastAsia="Arial" w:hAnsi="Arial"/>
                <w:sz w:val="14"/>
                <w:szCs w:val="14"/>
                <w:color w:val="auto"/>
              </w:rPr>
              <w:t>formatted in Inline XBRL: (i) Balance Sheets, (ii) Statements of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33"/>
          </w:tcPr>
          <w:p>
            <w:pPr>
              <w:spacing w:after="0"/>
              <w:rPr>
                <w:sz w:val="20"/>
                <w:szCs w:val="20"/>
                <w:color w:val="auto"/>
              </w:rPr>
            </w:pPr>
            <w:r>
              <w:rPr>
                <w:rFonts w:ascii="Arial" w:cs="Arial" w:eastAsia="Arial" w:hAnsi="Arial"/>
                <w:sz w:val="14"/>
                <w:szCs w:val="14"/>
                <w:color w:val="auto"/>
              </w:rPr>
              <w:t>Operations, (iii) Statements of Stockholders’ Equity and (vi) Notes to</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33"/>
          </w:tcPr>
          <w:p>
            <w:pPr>
              <w:spacing w:after="0"/>
              <w:rPr>
                <w:sz w:val="20"/>
                <w:szCs w:val="20"/>
                <w:color w:val="auto"/>
              </w:rPr>
            </w:pPr>
            <w:r>
              <w:rPr>
                <w:rFonts w:ascii="Arial" w:cs="Arial" w:eastAsia="Arial" w:hAnsi="Arial"/>
                <w:sz w:val="14"/>
                <w:szCs w:val="14"/>
                <w:color w:val="auto"/>
              </w:rPr>
              <w:t>Financial Statements, tagged as blocks of text and including detailed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33"/>
          </w:tcPr>
          <w:p>
            <w:pPr>
              <w:spacing w:after="0"/>
              <w:rPr>
                <w:sz w:val="20"/>
                <w:szCs w:val="20"/>
                <w:color w:val="auto"/>
              </w:rPr>
            </w:pPr>
            <w:r>
              <w:rPr>
                <w:rFonts w:ascii="Arial" w:cs="Arial" w:eastAsia="Arial" w:hAnsi="Arial"/>
                <w:sz w:val="14"/>
                <w:szCs w:val="14"/>
                <w:color w:val="auto"/>
              </w:rPr>
              <w:t>tags.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jc w:val="right"/>
              <w:ind w:right="46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800" w:type="dxa"/>
            <w:vAlign w:val="bottom"/>
            <w:gridSpan w:val="33"/>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0" w:type="dxa"/>
            <w:vAlign w:val="bottom"/>
            <w:gridSpan w:val="33"/>
          </w:tcPr>
          <w:p>
            <w:pPr>
              <w:spacing w:after="0"/>
              <w:rPr>
                <w:sz w:val="20"/>
                <w:szCs w:val="20"/>
                <w:color w:val="auto"/>
              </w:rPr>
            </w:pPr>
            <w:r>
              <w:rPr>
                <w:rFonts w:ascii="Arial" w:cs="Arial" w:eastAsia="Arial" w:hAnsi="Arial"/>
                <w:sz w:val="14"/>
                <w:szCs w:val="14"/>
                <w:color w:val="auto"/>
              </w:rPr>
              <w:t>contained in Exhibit 101)</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153035</wp:posOffset>
            </wp:positionV>
            <wp:extent cx="141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7"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 w:right="239" w:hanging="330"/>
        <w:spacing w:after="0" w:line="252"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8" w:lineRule="exact"/>
        <w:rPr>
          <w:sz w:val="20"/>
          <w:szCs w:val="20"/>
          <w:color w:val="auto"/>
        </w:rPr>
      </w:pPr>
    </w:p>
    <w:p>
      <w:pPr>
        <w:ind w:left="380" w:right="119" w:hanging="330"/>
        <w:spacing w:after="0" w:line="257"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left="60" w:right="339"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204" w:lineRule="exact"/>
        <w:rPr>
          <w:sz w:val="20"/>
          <w:szCs w:val="20"/>
          <w:color w:val="auto"/>
        </w:rPr>
      </w:pPr>
    </w:p>
    <w:tbl>
      <w:tblPr>
        <w:tblLayout w:type="fixed"/>
        <w:tblInd w:w="4520" w:type="dxa"/>
        <w:tblCellMar>
          <w:top w:w="0" w:type="dxa"/>
          <w:left w:w="0" w:type="dxa"/>
          <w:bottom w:w="0" w:type="dxa"/>
          <w:right w:w="0" w:type="dxa"/>
        </w:tblCellMar>
      </w:tblP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90"/>
        </w:trPr>
        <w:tc>
          <w:tcPr>
            <w:tcW w:w="640" w:type="dxa"/>
            <w:vAlign w:val="bottom"/>
          </w:tcPr>
          <w:p>
            <w:pPr>
              <w:spacing w:after="0" w:line="189"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Jeffrey M. Dayno</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2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October 31, 2023</w:t>
            </w:r>
          </w:p>
        </w:tc>
      </w:tr>
      <w:tr>
        <w:trPr>
          <w:trHeight w:val="38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90"/>
        </w:trPr>
        <w:tc>
          <w:tcPr>
            <w:tcW w:w="640" w:type="dxa"/>
            <w:vAlign w:val="bottom"/>
          </w:tcPr>
          <w:p>
            <w:pPr>
              <w:spacing w:after="0" w:line="189"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Chief Administrative</w:t>
            </w:r>
          </w:p>
        </w:tc>
      </w:tr>
      <w:tr>
        <w:trPr>
          <w:trHeight w:val="202"/>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22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October 31,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Harmony Biosciences Holdings, Inc.;</w:t>
      </w:r>
    </w:p>
    <w:p>
      <w:pPr>
        <w:spacing w:after="0" w:line="225"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240" w:hanging="341"/>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20" w:hanging="359"/>
        <w:spacing w:after="0" w:line="263"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00" w:right="320" w:hanging="341"/>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20" w:right="340" w:hanging="359"/>
        <w:spacing w:after="0" w:line="263"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20" w:right="160" w:hanging="359"/>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tabs>
          <w:tab w:leader="none" w:pos="4940" w:val="left"/>
          <w:tab w:leader="none" w:pos="552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40640</wp:posOffset>
            </wp:positionV>
            <wp:extent cx="2554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Harmony Biosciences Holdings, Inc.;</w:t>
      </w:r>
    </w:p>
    <w:p>
      <w:pPr>
        <w:spacing w:after="0" w:line="225" w:lineRule="exact"/>
        <w:rPr>
          <w:rFonts w:ascii="Arial" w:cs="Arial" w:eastAsia="Arial" w:hAnsi="Arial"/>
          <w:sz w:val="18"/>
          <w:szCs w:val="18"/>
          <w:color w:val="auto"/>
        </w:rPr>
      </w:pPr>
    </w:p>
    <w:p>
      <w:pPr>
        <w:jc w:val="both"/>
        <w:ind w:left="740" w:right="40" w:hanging="341"/>
        <w:spacing w:after="0" w:line="263"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40" w:right="280" w:hanging="341"/>
        <w:spacing w:after="0" w:line="263"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40" w:right="40" w:hanging="341"/>
        <w:spacing w:after="0" w:line="263"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60" w:right="40" w:hanging="359"/>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60" w:right="40" w:hanging="359"/>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60" w:right="40" w:hanging="359"/>
        <w:spacing w:after="0" w:line="263"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60" w:right="40" w:hanging="359"/>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40" w:right="380" w:hanging="341"/>
        <w:spacing w:after="0" w:line="263"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60" w:right="380" w:hanging="359"/>
        <w:spacing w:after="0" w:line="263"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60" w:right="200" w:hanging="359"/>
        <w:spacing w:after="0" w:line="277"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Date: October 31, 2023</w:t>
            </w:r>
          </w:p>
        </w:tc>
        <w:tc>
          <w:tcPr>
            <w:tcW w:w="6680" w:type="dxa"/>
            <w:vAlign w:val="bottom"/>
            <w:gridSpan w:val="2"/>
          </w:tcPr>
          <w:p>
            <w:pPr>
              <w:ind w:left="1600"/>
              <w:spacing w:after="0"/>
              <w:rPr>
                <w:sz w:val="20"/>
                <w:szCs w:val="20"/>
                <w:color w:val="auto"/>
              </w:rPr>
            </w:pPr>
            <w:r>
              <w:rPr>
                <w:rFonts w:ascii="Arial" w:cs="Arial" w:eastAsia="Arial" w:hAnsi="Arial"/>
                <w:sz w:val="18"/>
                <w:szCs w:val="18"/>
                <w:color w:val="auto"/>
              </w:rPr>
              <w:t>By:  /s/ Sandip Kapadia</w:t>
            </w:r>
          </w:p>
        </w:tc>
        <w:tc>
          <w:tcPr>
            <w:tcW w:w="4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Sandip Kapadia</w:t>
            </w:r>
          </w:p>
        </w:tc>
        <w:tc>
          <w:tcPr>
            <w:tcW w:w="40" w:type="dxa"/>
            <w:vAlign w:val="bottom"/>
            <w:tcBorders>
              <w:top w:val="single" w:sz="8" w:color="auto"/>
            </w:tcBorders>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 and Chief Administrative Officer</w:t>
            </w: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21" w:right="959" w:bottom="1440" w:gutter="0" w:footer="0" w:header="0"/>
        </w:sectPr>
      </w:pPr>
    </w:p>
    <w:bookmarkStart w:id="42" w:name="page43"/>
    <w:bookmarkEnd w:id="42"/>
    <w:p>
      <w:pPr>
        <w:ind w:left="8920"/>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September 30, 2023, as filed with the Securities and Exchange Commission on the date hereof (the “Report”), I certify, pursuant to 18 U.S.C. Section 1350, as adopted pursuant to Section 906 of the Sarbanes-Oxley Act of 2002, that to such officer’s knowledge:</w:t>
      </w:r>
    </w:p>
    <w:p>
      <w:pPr>
        <w:spacing w:after="0" w:line="174" w:lineRule="exact"/>
        <w:rPr>
          <w:sz w:val="20"/>
          <w:szCs w:val="20"/>
          <w:color w:val="auto"/>
        </w:rPr>
      </w:pPr>
    </w:p>
    <w:p>
      <w:pPr>
        <w:ind w:left="660" w:right="2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9"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October 31, 2023</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31115</wp:posOffset>
            </wp:positionV>
            <wp:extent cx="25457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6" w:lineRule="exact"/>
        <w:rPr>
          <w:sz w:val="20"/>
          <w:szCs w:val="20"/>
          <w:color w:val="auto"/>
        </w:rPr>
      </w:pPr>
    </w:p>
    <w:p>
      <w:pPr>
        <w:ind w:right="500" w:firstLine="355"/>
        <w:spacing w:after="0" w:line="243"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September 30, 2023 as filed with the Securities and Exchange Commission on the date hereof (the “Report”), I certify, pursuant to 18 U.S.C. Section 1350, as adopted pursuant to Section 906 of the Sarbanes-Oxley Act of 2002, that to such officer’s knowledge:</w:t>
      </w:r>
    </w:p>
    <w:p>
      <w:pPr>
        <w:spacing w:after="0" w:line="174" w:lineRule="exact"/>
        <w:rPr>
          <w:sz w:val="20"/>
          <w:szCs w:val="20"/>
          <w:color w:val="auto"/>
        </w:rPr>
      </w:pPr>
    </w:p>
    <w:p>
      <w:pPr>
        <w:ind w:left="700" w:right="220" w:hanging="341"/>
        <w:spacing w:after="0" w:line="26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9" w:lineRule="exact"/>
        <w:rPr>
          <w:rFonts w:ascii="Arial" w:cs="Arial" w:eastAsia="Arial" w:hAnsi="Arial"/>
          <w:sz w:val="18"/>
          <w:szCs w:val="18"/>
          <w:color w:val="auto"/>
        </w:rPr>
      </w:pPr>
    </w:p>
    <w:p>
      <w:pPr>
        <w:ind w:left="700" w:right="40" w:hanging="341"/>
        <w:spacing w:after="0" w:line="26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40" w:type="dxa"/>
            <w:vAlign w:val="bottom"/>
            <w:vMerge w:val="restart"/>
          </w:tcPr>
          <w:p>
            <w:pPr>
              <w:spacing w:after="0"/>
              <w:rPr>
                <w:sz w:val="20"/>
                <w:szCs w:val="20"/>
                <w:color w:val="auto"/>
              </w:rPr>
            </w:pPr>
            <w:r>
              <w:rPr>
                <w:rFonts w:ascii="Arial" w:cs="Arial" w:eastAsia="Arial" w:hAnsi="Arial"/>
                <w:sz w:val="18"/>
                <w:szCs w:val="18"/>
                <w:color w:val="auto"/>
              </w:rPr>
              <w:t>Date: October 31, 2023</w:t>
            </w:r>
          </w:p>
        </w:tc>
        <w:tc>
          <w:tcPr>
            <w:tcW w:w="1580" w:type="dxa"/>
            <w:vAlign w:val="bottom"/>
          </w:tcPr>
          <w:p>
            <w:pPr>
              <w:ind w:left="12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3"/>
        </w:trPr>
        <w:tc>
          <w:tcPr>
            <w:tcW w:w="3140" w:type="dxa"/>
            <w:vAlign w:val="bottom"/>
            <w:vMerge w:val="continue"/>
          </w:tcPr>
          <w:p>
            <w:pPr>
              <w:spacing w:after="0"/>
              <w:rPr>
                <w:sz w:val="16"/>
                <w:szCs w:val="16"/>
                <w:color w:val="auto"/>
              </w:rPr>
            </w:pPr>
          </w:p>
        </w:tc>
        <w:tc>
          <w:tcPr>
            <w:tcW w:w="1580" w:type="dxa"/>
            <w:vAlign w:val="bottom"/>
          </w:tcPr>
          <w:p>
            <w:pPr>
              <w:ind w:left="12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700" w:type="dxa"/>
            <w:vAlign w:val="bottom"/>
          </w:tcPr>
          <w:p>
            <w:pPr>
              <w:ind w:left="40"/>
              <w:spacing w:after="0" w:line="203" w:lineRule="exact"/>
              <w:rPr>
                <w:sz w:val="20"/>
                <w:szCs w:val="20"/>
                <w:color w:val="auto"/>
              </w:rPr>
            </w:pPr>
            <w:r>
              <w:rPr>
                <w:rFonts w:ascii="Arial" w:cs="Arial" w:eastAsia="Arial" w:hAnsi="Arial"/>
                <w:sz w:val="18"/>
                <w:szCs w:val="18"/>
                <w:color w:val="auto"/>
              </w:rPr>
              <w:t>Chief Financial Officer and Chief Administrative Officer</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920"/>
        <w:spacing w:after="0" w:line="260"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9"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3"/>
    </w:lvl>
  </w:abstractNum>
  <w:abstractNum w:abstractNumId="7">
    <w:nsid w:val="7FDCC233"/>
    <w:multiLevelType w:val="hybridMultilevel"/>
    <w:lvl w:ilvl="0">
      <w:lvlJc w:val="left"/>
      <w:lvlText w:val="%1."/>
      <w:numFmt w:val="decimal"/>
      <w:start w:val="14"/>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51" Type="http://schemas.openxmlformats.org/officeDocument/2006/relationships/hyperlink" Target="https://www.sec.gov/Archives/edgar/data/1802665/000114036123043963/ef20010653_ex2-1.htm" TargetMode="External"/><Relationship Id="rId52" Type="http://schemas.openxmlformats.org/officeDocument/2006/relationships/hyperlink" Target="https://www.sec.gov/Archives/edgar/data/0001802665/000119312520226978/d97999dex31.htm" TargetMode="External"/><Relationship Id="rId53" Type="http://schemas.openxmlformats.org/officeDocument/2006/relationships/hyperlink" Target="https://www.sec.gov/Archives/edgar/data/0001802665/000119312520226978/d97999dex32.htm" TargetMode="External"/><Relationship Id="rId54" Type="http://schemas.openxmlformats.org/officeDocument/2006/relationships/hyperlink" Target="https://www.sec.gov/Archives/edgar/data/1802665/000155837023016259/hrmy-20230930xex10d1.htm" TargetMode="External"/><Relationship Id="rId55" Type="http://schemas.openxmlformats.org/officeDocument/2006/relationships/hyperlink" Target="https://www.sec.gov/Archives/edgar/data/1802665/000155837023016259/hrmy-20230930xex10d2.htm" TargetMode="External"/><Relationship Id="rId56" Type="http://schemas.openxmlformats.org/officeDocument/2006/relationships/hyperlink" Target="https://www.sec.gov/Archives/edgar/data/1802665/000155837023012348/hrmy-20230726xex10d1.htm" TargetMode="External"/><Relationship Id="rId57" Type="http://schemas.openxmlformats.org/officeDocument/2006/relationships/hyperlink" Target="https://www.sec.gov/Archives/edgar/data/1802665/000155837023012348/hrmy-20230726xex10d2.htm" TargetMode="External"/><Relationship Id="rId58" Type="http://schemas.openxmlformats.org/officeDocument/2006/relationships/hyperlink" Target="https://www.sec.gov/Archives/edgar/data/1802665/000155837023012348/hrmy-20230726xex10d3.htm" TargetMode="External"/><Relationship Id="rId59" Type="http://schemas.openxmlformats.org/officeDocument/2006/relationships/hyperlink" Target="https://www.sec.gov/Archives/edgar/data/1802665/000155837023015961/hrmy-2023092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2023-10-31T07:07:54Z</dcterms:created>
  <dcterms:modified xsi:type="dcterms:W3CDTF">2023-10-31T07:07:54Z</dcterms:modified>
</cp:coreProperties>
</file>