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jc w:val="center"/>
        <w:ind w:right="-9"/>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53340</wp:posOffset>
            </wp:positionV>
            <wp:extent cx="13030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35"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66040</wp:posOffset>
            </wp:positionV>
            <wp:extent cx="13030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79" w:lineRule="exact"/>
        <w:rPr>
          <w:sz w:val="24"/>
          <w:szCs w:val="24"/>
          <w:color w:val="auto"/>
        </w:rPr>
      </w:pPr>
    </w:p>
    <w:p>
      <w:pPr>
        <w:ind w:left="10"/>
        <w:spacing w:after="0"/>
        <w:rPr>
          <w:sz w:val="20"/>
          <w:szCs w:val="20"/>
          <w:color w:val="auto"/>
        </w:rPr>
      </w:pPr>
      <w:r>
        <w:rPr>
          <w:rFonts w:ascii="Arial" w:cs="Arial" w:eastAsia="Arial" w:hAnsi="Arial"/>
          <w:sz w:val="11"/>
          <w:szCs w:val="11"/>
          <w:color w:val="auto"/>
        </w:rPr>
        <w:t>(Mark One)</w:t>
      </w:r>
    </w:p>
    <w:p>
      <w:pPr>
        <w:spacing w:after="0" w:line="10" w:lineRule="exact"/>
        <w:rPr>
          <w:sz w:val="24"/>
          <w:szCs w:val="24"/>
          <w:color w:val="auto"/>
        </w:rPr>
      </w:pPr>
    </w:p>
    <w:p>
      <w:pPr>
        <w:ind w:left="3670" w:right="2120" w:hanging="3670"/>
        <w:spacing w:after="0" w:line="289" w:lineRule="auto"/>
        <w:tabs>
          <w:tab w:leader="none" w:pos="64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AND EXCHANGE ACT OF 1934 </w:t>
      </w:r>
      <w:r>
        <w:rPr>
          <w:rFonts w:ascii="Arial" w:cs="Arial" w:eastAsia="Arial" w:hAnsi="Arial"/>
          <w:sz w:val="14"/>
          <w:szCs w:val="14"/>
          <w:color w:val="auto"/>
        </w:rPr>
        <w:t>For the fiscal year ended December 31, 2022</w:t>
      </w:r>
    </w:p>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OR</w:t>
      </w:r>
    </w:p>
    <w:p>
      <w:pPr>
        <w:spacing w:after="0" w:line="69" w:lineRule="exact"/>
        <w:rPr>
          <w:sz w:val="24"/>
          <w:szCs w:val="24"/>
          <w:color w:val="auto"/>
        </w:rPr>
      </w:pPr>
    </w:p>
    <w:p>
      <w:pPr>
        <w:ind w:left="650" w:hanging="650"/>
        <w:spacing w:after="0"/>
        <w:tabs>
          <w:tab w:leader="none" w:pos="65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0230"/>
          </w:cols>
          <w:pgMar w:left="830" w:top="661" w:right="839" w:bottom="1440" w:gutter="0" w:footer="0" w:header="0"/>
        </w:sectPr>
      </w:pPr>
    </w:p>
    <w:p>
      <w:pPr>
        <w:spacing w:after="0" w:line="41" w:lineRule="exact"/>
        <w:rPr>
          <w:sz w:val="24"/>
          <w:szCs w:val="24"/>
          <w:color w:val="auto"/>
        </w:rPr>
      </w:pPr>
    </w:p>
    <w:p>
      <w:pPr>
        <w:ind w:left="3730"/>
        <w:spacing w:after="0"/>
        <w:tabs>
          <w:tab w:leader="none" w:pos="635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rPr>
        <w:t>to</w:t>
      </w:r>
    </w:p>
    <w:p>
      <w:pPr>
        <w:sectPr>
          <w:pgSz w:w="11900" w:h="16838" w:orient="portrait"/>
          <w:cols w:equalWidth="0" w:num="1">
            <w:col w:w="10230"/>
          </w:cols>
          <w:pgMar w:left="830" w:top="661" w:right="839" w:bottom="1440" w:gutter="0" w:footer="0" w:header="0"/>
          <w:type w:val="continuous"/>
        </w:sectPr>
      </w:pPr>
    </w:p>
    <w:p>
      <w:pPr>
        <w:spacing w:after="0" w:line="55"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Commission File Number: 001-39450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66675</wp:posOffset>
            </wp:positionV>
            <wp:extent cx="130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p>
      <w:pPr>
        <w:spacing w:after="0" w:line="176"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57785</wp:posOffset>
            </wp:positionV>
            <wp:extent cx="1303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58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rPr>
              <w:t>Delaware</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tcPr>
          <w:p>
            <w:pPr>
              <w:jc w:val="right"/>
              <w:ind w:right="2108"/>
              <w:spacing w:after="0"/>
              <w:rPr>
                <w:sz w:val="20"/>
                <w:szCs w:val="20"/>
                <w:color w:val="auto"/>
              </w:rPr>
            </w:pPr>
            <w:r>
              <w:rPr>
                <w:rFonts w:ascii="Arial" w:cs="Arial" w:eastAsia="Arial" w:hAnsi="Arial"/>
                <w:sz w:val="14"/>
                <w:szCs w:val="14"/>
                <w:b w:val="1"/>
                <w:bCs w:val="1"/>
                <w:color w:val="auto"/>
              </w:rPr>
              <w:t>82-2279923</w:t>
            </w:r>
          </w:p>
        </w:tc>
      </w:tr>
      <w:tr>
        <w:trPr>
          <w:trHeight w:val="190"/>
        </w:trPr>
        <w:tc>
          <w:tcPr>
            <w:tcW w:w="4580" w:type="dxa"/>
            <w:vAlign w:val="bottom"/>
            <w:gridSpan w:val="3"/>
          </w:tcPr>
          <w:p>
            <w:pPr>
              <w:jc w:val="center"/>
              <w:ind w:left="468"/>
              <w:spacing w:after="0"/>
              <w:rPr>
                <w:sz w:val="20"/>
                <w:szCs w:val="20"/>
                <w:color w:val="auto"/>
              </w:rPr>
            </w:pPr>
            <w:r>
              <w:rPr>
                <w:rFonts w:ascii="Arial" w:cs="Arial" w:eastAsia="Arial" w:hAnsi="Arial"/>
                <w:sz w:val="14"/>
                <w:szCs w:val="14"/>
                <w:color w:val="auto"/>
              </w:rPr>
              <w:t>(State or other jurisdiction of</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tcPr>
          <w:p>
            <w:pPr>
              <w:jc w:val="center"/>
              <w:ind w:right="1748"/>
              <w:spacing w:after="0"/>
              <w:rPr>
                <w:sz w:val="20"/>
                <w:szCs w:val="20"/>
                <w:color w:val="auto"/>
              </w:rPr>
            </w:pPr>
            <w:r>
              <w:rPr>
                <w:rFonts w:ascii="Arial" w:cs="Arial" w:eastAsia="Arial" w:hAnsi="Arial"/>
                <w:sz w:val="14"/>
                <w:szCs w:val="14"/>
                <w:color w:val="auto"/>
              </w:rPr>
              <w:t>(I.R.S. Employer</w:t>
            </w:r>
          </w:p>
        </w:tc>
      </w:tr>
      <w:tr>
        <w:trPr>
          <w:trHeight w:val="203"/>
        </w:trPr>
        <w:tc>
          <w:tcPr>
            <w:tcW w:w="4580" w:type="dxa"/>
            <w:vAlign w:val="bottom"/>
            <w:gridSpan w:val="3"/>
          </w:tcPr>
          <w:p>
            <w:pPr>
              <w:jc w:val="center"/>
              <w:ind w:left="448"/>
              <w:spacing w:after="0"/>
              <w:rPr>
                <w:sz w:val="20"/>
                <w:szCs w:val="20"/>
                <w:color w:val="auto"/>
              </w:rPr>
            </w:pPr>
            <w:r>
              <w:rPr>
                <w:rFonts w:ascii="Arial" w:cs="Arial" w:eastAsia="Arial" w:hAnsi="Arial"/>
                <w:sz w:val="14"/>
                <w:szCs w:val="14"/>
                <w:color w:val="auto"/>
              </w:rPr>
              <w:t>incorporation or organization)</w:t>
            </w: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jc w:val="center"/>
              <w:ind w:right="1768"/>
              <w:spacing w:after="0"/>
              <w:rPr>
                <w:sz w:val="20"/>
                <w:szCs w:val="20"/>
                <w:color w:val="auto"/>
              </w:rPr>
            </w:pPr>
            <w:r>
              <w:rPr>
                <w:rFonts w:ascii="Arial" w:cs="Arial" w:eastAsia="Arial" w:hAnsi="Arial"/>
                <w:sz w:val="14"/>
                <w:szCs w:val="14"/>
                <w:color w:val="auto"/>
              </w:rPr>
              <w:t>Identification No.)</w:t>
            </w:r>
          </w:p>
        </w:tc>
      </w:tr>
      <w:tr>
        <w:trPr>
          <w:trHeight w:val="262"/>
        </w:trPr>
        <w:tc>
          <w:tcPr>
            <w:tcW w:w="45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80" w:type="dxa"/>
            <w:vAlign w:val="bottom"/>
          </w:tcPr>
          <w:p>
            <w:pPr>
              <w:jc w:val="right"/>
              <w:ind w:right="2288"/>
              <w:spacing w:after="0"/>
              <w:rPr>
                <w:sz w:val="20"/>
                <w:szCs w:val="20"/>
                <w:color w:val="auto"/>
              </w:rPr>
            </w:pPr>
            <w:r>
              <w:rPr>
                <w:rFonts w:ascii="Arial" w:cs="Arial" w:eastAsia="Arial" w:hAnsi="Arial"/>
                <w:sz w:val="14"/>
                <w:szCs w:val="14"/>
                <w:b w:val="1"/>
                <w:bCs w:val="1"/>
                <w:color w:val="auto"/>
              </w:rPr>
              <w:t>19462</w:t>
            </w:r>
          </w:p>
        </w:tc>
      </w:tr>
      <w:tr>
        <w:trPr>
          <w:trHeight w:val="210"/>
        </w:trPr>
        <w:tc>
          <w:tcPr>
            <w:tcW w:w="4580" w:type="dxa"/>
            <w:vAlign w:val="bottom"/>
            <w:gridSpan w:val="3"/>
          </w:tcPr>
          <w:p>
            <w:pPr>
              <w:jc w:val="center"/>
              <w:ind w:left="448"/>
              <w:spacing w:after="0"/>
              <w:rPr>
                <w:sz w:val="20"/>
                <w:szCs w:val="20"/>
                <w:color w:val="auto"/>
              </w:rPr>
            </w:pPr>
            <w:r>
              <w:rPr>
                <w:rFonts w:ascii="Arial" w:cs="Arial" w:eastAsia="Arial" w:hAnsi="Arial"/>
                <w:sz w:val="14"/>
                <w:szCs w:val="14"/>
                <w:color w:val="auto"/>
              </w:rPr>
              <w:t>(Address of principal executive offices)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jc w:val="center"/>
              <w:ind w:right="1768"/>
              <w:spacing w:after="0"/>
              <w:rPr>
                <w:sz w:val="20"/>
                <w:szCs w:val="20"/>
                <w:color w:val="auto"/>
              </w:rPr>
            </w:pPr>
            <w:r>
              <w:rPr>
                <w:rFonts w:ascii="Arial" w:cs="Arial" w:eastAsia="Arial" w:hAnsi="Arial"/>
                <w:sz w:val="14"/>
                <w:szCs w:val="14"/>
                <w:color w:val="auto"/>
              </w:rPr>
              <w:t>(Zip Code)</w:t>
            </w:r>
          </w:p>
        </w:tc>
      </w:tr>
      <w:tr>
        <w:trPr>
          <w:trHeight w:val="276"/>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60" w:type="dxa"/>
            <w:vAlign w:val="bottom"/>
          </w:tcPr>
          <w:p>
            <w:pPr>
              <w:jc w:val="center"/>
              <w:ind w:right="1028"/>
              <w:spacing w:after="0"/>
              <w:rPr>
                <w:sz w:val="20"/>
                <w:szCs w:val="20"/>
                <w:color w:val="auto"/>
              </w:rPr>
            </w:pPr>
            <w:r>
              <w:rPr>
                <w:rFonts w:ascii="Arial" w:cs="Arial" w:eastAsia="Arial" w:hAnsi="Arial"/>
                <w:sz w:val="14"/>
                <w:szCs w:val="14"/>
                <w:b w:val="1"/>
                <w:bCs w:val="1"/>
                <w:color w:val="auto"/>
              </w:rPr>
              <w:t>(484) 539-9800</w:t>
            </w: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260" w:type="dxa"/>
            <w:vAlign w:val="bottom"/>
          </w:tcPr>
          <w:p>
            <w:pPr>
              <w:spacing w:after="0"/>
              <w:rPr>
                <w:sz w:val="20"/>
                <w:szCs w:val="20"/>
                <w:color w:val="auto"/>
              </w:rPr>
            </w:pPr>
          </w:p>
        </w:tc>
        <w:tc>
          <w:tcPr>
            <w:tcW w:w="3680" w:type="dxa"/>
            <w:vAlign w:val="bottom"/>
            <w:gridSpan w:val="4"/>
          </w:tcPr>
          <w:p>
            <w:pPr>
              <w:jc w:val="center"/>
              <w:spacing w:after="0"/>
              <w:rPr>
                <w:sz w:val="20"/>
                <w:szCs w:val="20"/>
                <w:color w:val="auto"/>
              </w:rPr>
            </w:pPr>
            <w:r>
              <w:rPr>
                <w:rFonts w:ascii="Arial" w:cs="Arial" w:eastAsia="Arial" w:hAnsi="Arial"/>
                <w:sz w:val="14"/>
                <w:szCs w:val="14"/>
                <w:color w:val="auto"/>
              </w:rPr>
              <w:t>(Registrant’s telephone number, including area code)</w:t>
            </w:r>
          </w:p>
        </w:tc>
        <w:tc>
          <w:tcPr>
            <w:tcW w:w="3280" w:type="dxa"/>
            <w:vAlign w:val="bottom"/>
          </w:tcPr>
          <w:p>
            <w:pPr>
              <w:spacing w:after="0"/>
              <w:rPr>
                <w:sz w:val="20"/>
                <w:szCs w:val="20"/>
                <w:color w:val="auto"/>
              </w:rPr>
            </w:pPr>
          </w:p>
        </w:tc>
      </w:tr>
      <w:tr>
        <w:trPr>
          <w:trHeight w:val="243"/>
        </w:trPr>
        <w:tc>
          <w:tcPr>
            <w:tcW w:w="3260" w:type="dxa"/>
            <w:vAlign w:val="bottom"/>
          </w:tcPr>
          <w:p>
            <w:pPr>
              <w:spacing w:after="0"/>
              <w:rPr>
                <w:sz w:val="21"/>
                <w:szCs w:val="21"/>
                <w:color w:val="auto"/>
              </w:rPr>
            </w:pPr>
          </w:p>
        </w:tc>
        <w:tc>
          <w:tcPr>
            <w:tcW w:w="3680" w:type="dxa"/>
            <w:vAlign w:val="bottom"/>
            <w:gridSpan w:val="4"/>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3280" w:type="dxa"/>
            <w:vAlign w:val="bottom"/>
          </w:tcPr>
          <w:p>
            <w:pPr>
              <w:spacing w:after="0"/>
              <w:rPr>
                <w:sz w:val="21"/>
                <w:szCs w:val="21"/>
                <w:color w:val="auto"/>
              </w:rPr>
            </w:pPr>
          </w:p>
        </w:tc>
      </w:tr>
      <w:tr>
        <w:trPr>
          <w:trHeight w:val="276"/>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Trading</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8"/>
        </w:trPr>
        <w:tc>
          <w:tcPr>
            <w:tcW w:w="458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Title of each class</w:t>
            </w:r>
          </w:p>
        </w:tc>
        <w:tc>
          <w:tcPr>
            <w:tcW w:w="236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rPr>
              <w:t>Symbol(s)</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2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w:t>
            </w: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Borders>
              <w:top w:val="single" w:sz="8" w:color="auto"/>
            </w:tcBorders>
          </w:tcPr>
          <w:p>
            <w:pPr>
              <w:spacing w:after="0"/>
              <w:rPr>
                <w:sz w:val="12"/>
                <w:szCs w:val="12"/>
                <w:color w:val="auto"/>
              </w:rPr>
            </w:pPr>
          </w:p>
        </w:tc>
      </w:tr>
      <w:tr>
        <w:trPr>
          <w:trHeight w:val="190"/>
        </w:trPr>
        <w:tc>
          <w:tcPr>
            <w:tcW w:w="4580" w:type="dxa"/>
            <w:vAlign w:val="bottom"/>
            <w:gridSpan w:val="3"/>
          </w:tcPr>
          <w:p>
            <w:pPr>
              <w:jc w:val="center"/>
              <w:ind w:right="1340"/>
              <w:spacing w:after="0"/>
              <w:rPr>
                <w:sz w:val="20"/>
                <w:szCs w:val="20"/>
                <w:color w:val="auto"/>
              </w:rPr>
            </w:pPr>
            <w:r>
              <w:rPr>
                <w:rFonts w:ascii="Arial" w:cs="Arial" w:eastAsia="Arial" w:hAnsi="Arial"/>
                <w:sz w:val="14"/>
                <w:szCs w:val="14"/>
                <w:color w:val="auto"/>
              </w:rPr>
              <w:t>share</w:t>
            </w:r>
          </w:p>
        </w:tc>
        <w:tc>
          <w:tcPr>
            <w:tcW w:w="2360" w:type="dxa"/>
            <w:vAlign w:val="bottom"/>
            <w:gridSpan w:val="2"/>
          </w:tcPr>
          <w:p>
            <w:pPr>
              <w:jc w:val="center"/>
              <w:ind w:right="1340"/>
              <w:spacing w:after="0"/>
              <w:rPr>
                <w:sz w:val="20"/>
                <w:szCs w:val="20"/>
                <w:color w:val="auto"/>
              </w:rPr>
            </w:pPr>
            <w:r>
              <w:rPr>
                <w:rFonts w:ascii="Arial" w:cs="Arial" w:eastAsia="Arial" w:hAnsi="Arial"/>
                <w:sz w:val="14"/>
                <w:szCs w:val="14"/>
                <w:color w:val="auto"/>
              </w:rPr>
              <w:t>HRMY</w:t>
            </w:r>
          </w:p>
        </w:tc>
        <w:tc>
          <w:tcPr>
            <w:tcW w:w="32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2" w:lineRule="exact"/>
        <w:rPr>
          <w:sz w:val="24"/>
          <w:szCs w:val="24"/>
          <w:color w:val="auto"/>
        </w:rPr>
      </w:pPr>
    </w:p>
    <w:p>
      <w:pPr>
        <w:ind w:left="7830"/>
        <w:spacing w:after="0"/>
        <w:rPr>
          <w:sz w:val="20"/>
          <w:szCs w:val="20"/>
          <w:color w:val="auto"/>
        </w:rPr>
      </w:pPr>
      <w:r>
        <w:rPr>
          <w:rFonts w:ascii="Arial" w:cs="Arial" w:eastAsia="Arial" w:hAnsi="Arial"/>
          <w:sz w:val="14"/>
          <w:szCs w:val="14"/>
          <w:color w:val="auto"/>
        </w:rPr>
        <w:t>(Nasdaq Global Market)</w:t>
      </w:r>
    </w:p>
    <w:p>
      <w:pPr>
        <w:spacing w:after="0" w:line="195"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46" w:lineRule="exact"/>
        <w:rPr>
          <w:sz w:val="24"/>
          <w:szCs w:val="24"/>
          <w:color w:val="auto"/>
        </w:rPr>
      </w:pPr>
    </w:p>
    <w:p>
      <w:pPr>
        <w:ind w:left="10" w:right="2920"/>
        <w:spacing w:after="0" w:line="21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5" w:lineRule="exact"/>
        <w:rPr>
          <w:sz w:val="24"/>
          <w:szCs w:val="24"/>
          <w:color w:val="auto"/>
        </w:rPr>
      </w:pPr>
    </w:p>
    <w:p>
      <w:pPr>
        <w:ind w:left="10" w:right="40"/>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left="10" w:right="20"/>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ind w:left="1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9"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90" w:type="dxa"/>
        <w:tblCellMar>
          <w:top w:w="0" w:type="dxa"/>
          <w:left w:w="0" w:type="dxa"/>
          <w:bottom w:w="0" w:type="dxa"/>
          <w:right w:w="0" w:type="dxa"/>
        </w:tblCellMar>
      </w:tblPr>
      <w:tr>
        <w:trPr>
          <w:trHeight w:val="157"/>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86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3200" w:type="dxa"/>
            <w:vAlign w:val="bottom"/>
          </w:tcPr>
          <w:p>
            <w:pPr>
              <w:ind w:left="116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186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3200" w:type="dxa"/>
            <w:vAlign w:val="bottom"/>
          </w:tcPr>
          <w:p>
            <w:pPr>
              <w:ind w:left="116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0" w:type="dxa"/>
            <w:vAlign w:val="bottom"/>
          </w:tcPr>
          <w:p>
            <w:pPr>
              <w:ind w:left="116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95" w:lineRule="exact"/>
        <w:rPr>
          <w:sz w:val="24"/>
          <w:szCs w:val="24"/>
          <w:color w:val="auto"/>
        </w:rPr>
      </w:pPr>
    </w:p>
    <w:p>
      <w:pPr>
        <w:ind w:left="10" w:right="2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5" w:lineRule="exact"/>
        <w:rPr>
          <w:sz w:val="24"/>
          <w:szCs w:val="24"/>
          <w:color w:val="auto"/>
        </w:rPr>
      </w:pPr>
    </w:p>
    <w:p>
      <w:pPr>
        <w:ind w:left="10" w:right="220"/>
        <w:spacing w:after="0" w:line="16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ind w:left="1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76" w:lineRule="exact"/>
        <w:rPr>
          <w:sz w:val="24"/>
          <w:szCs w:val="24"/>
          <w:color w:val="auto"/>
        </w:rPr>
      </w:pPr>
    </w:p>
    <w:p>
      <w:pPr>
        <w:ind w:left="10" w:right="240"/>
        <w:spacing w:after="0" w:line="283" w:lineRule="auto"/>
        <w:rPr>
          <w:sz w:val="20"/>
          <w:szCs w:val="20"/>
          <w:color w:val="auto"/>
        </w:rPr>
      </w:pPr>
      <w:r>
        <w:rPr>
          <w:rFonts w:ascii="Arial" w:cs="Arial" w:eastAsia="Arial" w:hAnsi="Arial"/>
          <w:sz w:val="12"/>
          <w:szCs w:val="12"/>
          <w:color w:val="auto"/>
        </w:rPr>
        <w:t>The aggregate market value of the voting and non-voting stock held by non-affiliates of the Registrant, as of June 30, 2022, the last business day of the registrant’s most recently completed second fiscal quarter, was $1,359.8 million. As of February 17, 2023, the registrant had 59,620,731 shares of common stock, $0.00001 par value per share, outstanding.</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DOCUMENTS INCORPORATED BY REFERENCE</w:t>
      </w:r>
    </w:p>
    <w:p>
      <w:pPr>
        <w:spacing w:after="0" w:line="69" w:lineRule="exact"/>
        <w:rPr>
          <w:sz w:val="24"/>
          <w:szCs w:val="24"/>
          <w:color w:val="auto"/>
        </w:rPr>
      </w:pPr>
    </w:p>
    <w:p>
      <w:pPr>
        <w:ind w:left="10" w:right="120" w:firstLine="648"/>
        <w:spacing w:after="0" w:line="274" w:lineRule="auto"/>
        <w:rPr>
          <w:sz w:val="20"/>
          <w:szCs w:val="20"/>
          <w:color w:val="auto"/>
        </w:rPr>
      </w:pPr>
      <w:r>
        <w:rPr>
          <w:rFonts w:ascii="Arial" w:cs="Arial" w:eastAsia="Arial" w:hAnsi="Arial"/>
          <w:sz w:val="14"/>
          <w:szCs w:val="14"/>
          <w:color w:val="auto"/>
        </w:rPr>
        <w:t>Portions of the registrant’s definitive proxy statement relating to its 2023 Annual Meeting of Stockholders to be filed with the Securities and Exchange Commission within 120 days after the end of the fiscal year ended December 31, 2022 are incorporated herein by reference in Part III where indicated</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450215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gridSpan w:val="36"/>
            <w:vMerge w:val="restart"/>
          </w:tcPr>
          <w:p>
            <w:pPr>
              <w:spacing w:after="0"/>
              <w:rPr>
                <w:sz w:val="20"/>
                <w:szCs w:val="20"/>
                <w:color w:val="auto"/>
              </w:rPr>
            </w:pPr>
            <w:r>
              <w:rPr>
                <w:rFonts w:ascii="Arial" w:cs="Arial" w:eastAsia="Arial" w:hAnsi="Arial"/>
                <w:sz w:val="18"/>
                <w:szCs w:val="18"/>
                <w:color w:val="0000EE"/>
              </w:rPr>
              <w:t>Part I</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9220" w:type="dxa"/>
            <w:vAlign w:val="bottom"/>
            <w:gridSpan w:val="36"/>
            <w:vMerge w:val="continue"/>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CAUTIONARY NOTE REGARDING FORWARD-LOOKING STATEMENTS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ITEM 1. BUSINESS.</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ITEM 1A. RISK FACTORS.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1B. UNRESOLVED</w:t>
            </w:r>
          </w:p>
        </w:tc>
        <w:tc>
          <w:tcPr>
            <w:tcW w:w="6080" w:type="dxa"/>
            <w:vAlign w:val="bottom"/>
            <w:gridSpan w:val="24"/>
          </w:tcPr>
          <w:p>
            <w:pPr>
              <w:jc w:val="center"/>
              <w:ind w:right="4460"/>
              <w:spacing w:after="0" w:line="182" w:lineRule="exact"/>
              <w:rPr>
                <w:sz w:val="20"/>
                <w:szCs w:val="20"/>
                <w:color w:val="auto"/>
              </w:rPr>
            </w:pPr>
            <w:r>
              <w:rPr>
                <w:rFonts w:ascii="Arial" w:cs="Arial" w:eastAsia="Arial" w:hAnsi="Arial"/>
                <w:sz w:val="18"/>
                <w:szCs w:val="18"/>
                <w:color w:val="0000EE"/>
                <w:w w:val="94"/>
              </w:rPr>
              <w:t>STAFF COMMENTS.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ITEM 2. PROPERTIES.</w:t>
            </w: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ITEM 3. LEGAL PROCEEDINGS.</w:t>
            </w:r>
          </w:p>
        </w:tc>
        <w:tc>
          <w:tcPr>
            <w:tcW w:w="5540" w:type="dxa"/>
            <w:vAlign w:val="bottom"/>
            <w:gridSpan w:val="21"/>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II</w:t>
            </w:r>
          </w:p>
        </w:tc>
        <w:tc>
          <w:tcPr>
            <w:tcW w:w="1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gridSpan w:val="2"/>
          </w:tcPr>
          <w:p>
            <w:pPr>
              <w:spacing w:after="0"/>
              <w:rPr>
                <w:sz w:val="15"/>
                <w:szCs w:val="15"/>
                <w:color w:val="auto"/>
              </w:rPr>
            </w:pPr>
          </w:p>
        </w:tc>
        <w:tc>
          <w:tcPr>
            <w:tcW w:w="460" w:type="dxa"/>
            <w:vAlign w:val="bottom"/>
            <w:tcBorders>
              <w:top w:val="single" w:sz="8" w:color="0000EE"/>
            </w:tcBorders>
            <w:gridSpan w:val="3"/>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gridSpan w:val="2"/>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ITEM 5. MARKET FOR REGISTRANT’S COMMON EQUITY, RELATED STOCKHOLDER MATTERS</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AND ISSUER PURCHASES OF EQUITY SECURITIES.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6: [RESERVED]</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ITEM 7. MANAGEMENT’S DISCUSSION AND ANALYSIS OF FINANCIAL CONDITION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2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RESULTS OF OPERATIONS.</w:t>
            </w:r>
          </w:p>
        </w:tc>
        <w:tc>
          <w:tcPr>
            <w:tcW w:w="3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ITEM 7A. QUANTITATIVE AND QUALITATIVE DISCLOSURES ABOUT MARKET RISK.</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4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0000EE"/>
              </w:rPr>
              <w:t>ITEM 8. FINANCIAL STATEMENTS AND SUPPLEMENTARY DATA.</w:t>
            </w:r>
          </w:p>
        </w:tc>
        <w:tc>
          <w:tcPr>
            <w:tcW w:w="22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6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w w:val="94"/>
              </w:rPr>
              <w:t>ITEM 9. CHANGES IN AND DISAGREEMENTS WITH ACCOUNTANTS</w:t>
            </w:r>
          </w:p>
        </w:tc>
        <w:tc>
          <w:tcPr>
            <w:tcW w:w="2780" w:type="dxa"/>
            <w:vAlign w:val="bottom"/>
            <w:gridSpan w:val="10"/>
          </w:tcPr>
          <w:p>
            <w:pPr>
              <w:ind w:left="340"/>
              <w:spacing w:after="0" w:line="182" w:lineRule="exact"/>
              <w:rPr>
                <w:sz w:val="20"/>
                <w:szCs w:val="20"/>
                <w:color w:val="auto"/>
              </w:rPr>
            </w:pPr>
            <w:r>
              <w:rPr>
                <w:rFonts w:ascii="Arial" w:cs="Arial" w:eastAsia="Arial" w:hAnsi="Arial"/>
                <w:sz w:val="18"/>
                <w:szCs w:val="18"/>
                <w:color w:val="0000EE"/>
              </w:rPr>
              <w:t>ON ACCOUNTING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6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FINANCIAL DISCLOSURE.</w:t>
            </w: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ITEM 9A. CONTROLS AND</w:t>
            </w:r>
          </w:p>
        </w:tc>
        <w:tc>
          <w:tcPr>
            <w:tcW w:w="6020" w:type="dxa"/>
            <w:vAlign w:val="bottom"/>
            <w:gridSpan w:val="23"/>
          </w:tcPr>
          <w:p>
            <w:pPr>
              <w:jc w:val="center"/>
              <w:ind w:right="4580"/>
              <w:spacing w:after="0" w:line="182" w:lineRule="exact"/>
              <w:rPr>
                <w:sz w:val="20"/>
                <w:szCs w:val="20"/>
                <w:color w:val="auto"/>
              </w:rPr>
            </w:pPr>
            <w:r>
              <w:rPr>
                <w:rFonts w:ascii="Arial" w:cs="Arial" w:eastAsia="Arial" w:hAnsi="Arial"/>
                <w:sz w:val="18"/>
                <w:szCs w:val="18"/>
                <w:color w:val="0000EE"/>
                <w:w w:val="99"/>
              </w:rPr>
              <w:t>PROCEDURES.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8"/>
              </w:rPr>
              <w:t>ITEM 9B. OTHER INFORMATION.</w:t>
            </w:r>
          </w:p>
        </w:tc>
        <w:tc>
          <w:tcPr>
            <w:tcW w:w="820" w:type="dxa"/>
            <w:vAlign w:val="bottom"/>
            <w:tcBorders>
              <w:top w:val="single" w:sz="8" w:color="0000EE"/>
            </w:tcBorders>
            <w:gridSpan w:val="4"/>
          </w:tcPr>
          <w:p>
            <w:pPr>
              <w:spacing w:after="0"/>
              <w:rPr>
                <w:sz w:val="15"/>
                <w:szCs w:val="15"/>
                <w:color w:val="auto"/>
              </w:rPr>
            </w:pPr>
          </w:p>
        </w:tc>
        <w:tc>
          <w:tcPr>
            <w:tcW w:w="13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3"/>
          </w:tcPr>
          <w:p>
            <w:pPr>
              <w:spacing w:after="0"/>
              <w:rPr>
                <w:sz w:val="15"/>
                <w:szCs w:val="15"/>
                <w:color w:val="auto"/>
              </w:rPr>
            </w:pPr>
          </w:p>
        </w:tc>
        <w:tc>
          <w:tcPr>
            <w:tcW w:w="360" w:type="dxa"/>
            <w:vAlign w:val="bottom"/>
            <w:gridSpan w:val="2"/>
          </w:tcPr>
          <w:p>
            <w:pPr>
              <w:spacing w:after="0"/>
              <w:rPr>
                <w:sz w:val="15"/>
                <w:szCs w:val="15"/>
                <w:color w:val="auto"/>
              </w:rPr>
            </w:pPr>
          </w:p>
        </w:tc>
        <w:tc>
          <w:tcPr>
            <w:tcW w:w="88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w w:val="99"/>
              </w:rPr>
              <w:t>ITEM 9C. DISCLOSURES REGARDING FOREIGN JURISDICTIONS THAT PREVENT INSPECTIONS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III</w:t>
            </w:r>
          </w:p>
        </w:tc>
        <w:tc>
          <w:tcPr>
            <w:tcW w:w="1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gridSpan w:val="8"/>
          </w:tcPr>
          <w:p>
            <w:pPr>
              <w:spacing w:after="0"/>
              <w:rPr>
                <w:sz w:val="15"/>
                <w:szCs w:val="15"/>
                <w:color w:val="auto"/>
              </w:rPr>
            </w:pPr>
          </w:p>
        </w:tc>
        <w:tc>
          <w:tcPr>
            <w:tcW w:w="440" w:type="dxa"/>
            <w:vAlign w:val="bottom"/>
            <w:tcBorders>
              <w:top w:val="single" w:sz="8" w:color="0000EE"/>
            </w:tcBorders>
            <w:gridSpan w:val="2"/>
          </w:tcPr>
          <w:p>
            <w:pPr>
              <w:spacing w:after="0"/>
              <w:rPr>
                <w:sz w:val="15"/>
                <w:szCs w:val="15"/>
                <w:color w:val="auto"/>
              </w:rPr>
            </w:pPr>
          </w:p>
        </w:tc>
        <w:tc>
          <w:tcPr>
            <w:tcW w:w="160" w:type="dxa"/>
            <w:vAlign w:val="bottom"/>
            <w:tcBorders>
              <w:top w:val="single" w:sz="8" w:color="0000EE"/>
            </w:tcBorders>
            <w:gridSpan w:val="2"/>
          </w:tcPr>
          <w:p>
            <w:pPr>
              <w:spacing w:after="0"/>
              <w:rPr>
                <w:sz w:val="15"/>
                <w:szCs w:val="15"/>
                <w:color w:val="auto"/>
              </w:rPr>
            </w:pPr>
          </w:p>
        </w:tc>
        <w:tc>
          <w:tcPr>
            <w:tcW w:w="1600" w:type="dxa"/>
            <w:vAlign w:val="bottom"/>
            <w:tcBorders>
              <w:top w:val="single" w:sz="8" w:color="0000EE"/>
            </w:tcBorders>
            <w:gridSpan w:val="4"/>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940" w:type="dxa"/>
            <w:vAlign w:val="bottom"/>
            <w:tcBorders>
              <w:top w:val="single" w:sz="8" w:color="0000EE"/>
            </w:tcBorders>
            <w:gridSpan w:val="3"/>
          </w:tcPr>
          <w:p>
            <w:pPr>
              <w:spacing w:after="0"/>
              <w:rPr>
                <w:sz w:val="15"/>
                <w:szCs w:val="15"/>
                <w:color w:val="auto"/>
              </w:rPr>
            </w:pPr>
          </w:p>
        </w:tc>
        <w:tc>
          <w:tcPr>
            <w:tcW w:w="360" w:type="dxa"/>
            <w:vAlign w:val="bottom"/>
            <w:tcBorders>
              <w:top w:val="single" w:sz="8" w:color="0000EE"/>
            </w:tcBorders>
            <w:gridSpan w:val="2"/>
          </w:tcPr>
          <w:p>
            <w:pPr>
              <w:spacing w:after="0"/>
              <w:rPr>
                <w:sz w:val="15"/>
                <w:szCs w:val="15"/>
                <w:color w:val="auto"/>
              </w:rPr>
            </w:pPr>
          </w:p>
        </w:tc>
        <w:tc>
          <w:tcPr>
            <w:tcW w:w="880" w:type="dxa"/>
            <w:vAlign w:val="bottom"/>
            <w:tcBorders>
              <w:top w:val="single" w:sz="8" w:color="0000EE"/>
            </w:tcBorders>
            <w:gridSpan w:val="4"/>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ITEM 10. DIRECTORS, EXECUTIVE OFFICERS AND CORPORATE GOVERNANCE.</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ITEM 11. EXECUTIVE COMPENSATION.</w:t>
            </w:r>
          </w:p>
        </w:tc>
        <w:tc>
          <w:tcPr>
            <w:tcW w:w="360" w:type="dxa"/>
            <w:vAlign w:val="bottom"/>
            <w:gridSpan w:val="2"/>
          </w:tcPr>
          <w:p>
            <w:pPr>
              <w:spacing w:after="0"/>
              <w:rPr>
                <w:sz w:val="15"/>
                <w:szCs w:val="15"/>
                <w:color w:val="auto"/>
              </w:rPr>
            </w:pPr>
          </w:p>
        </w:tc>
        <w:tc>
          <w:tcPr>
            <w:tcW w:w="88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4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12. SECURITY OWNERSHIP OF</w:t>
            </w:r>
          </w:p>
        </w:tc>
        <w:tc>
          <w:tcPr>
            <w:tcW w:w="4900" w:type="dxa"/>
            <w:vAlign w:val="bottom"/>
            <w:gridSpan w:val="16"/>
          </w:tcPr>
          <w:p>
            <w:pPr>
              <w:spacing w:after="0" w:line="182" w:lineRule="exact"/>
              <w:rPr>
                <w:sz w:val="20"/>
                <w:szCs w:val="20"/>
                <w:color w:val="auto"/>
              </w:rPr>
            </w:pPr>
            <w:r>
              <w:rPr>
                <w:rFonts w:ascii="Arial" w:cs="Arial" w:eastAsia="Arial" w:hAnsi="Arial"/>
                <w:sz w:val="18"/>
                <w:szCs w:val="18"/>
                <w:color w:val="0000EE"/>
                <w:w w:val="98"/>
              </w:rPr>
              <w:t>CERTAIN BENEFICIAL OWNERS AND MANAGEMENT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14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color w:val="0000EE"/>
              </w:rPr>
              <w:t>RELATED STOCKHOLDER MATTERS.</w:t>
            </w:r>
          </w:p>
        </w:tc>
        <w:tc>
          <w:tcPr>
            <w:tcW w:w="100" w:type="dxa"/>
            <w:vAlign w:val="bottom"/>
            <w:gridSpan w:val="2"/>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ITEM 13. CERTAIN RELATIONSHIPS AND RELATED TRANSACTIONS, AND DIRECTOR</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6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INDEPENDENCE.</w:t>
            </w:r>
          </w:p>
        </w:tc>
        <w:tc>
          <w:tcPr>
            <w:tcW w:w="980" w:type="dxa"/>
            <w:vAlign w:val="bottom"/>
            <w:gridSpan w:val="6"/>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11"/>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ITEM 14. PRINCIPAL ACCOUNTING FEES AND SERVICES.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IV</w:t>
            </w:r>
          </w:p>
        </w:tc>
        <w:tc>
          <w:tcPr>
            <w:tcW w:w="1140" w:type="dxa"/>
            <w:vAlign w:val="bottom"/>
            <w:tcBorders>
              <w:top w:val="single" w:sz="8" w:color="0000EE"/>
            </w:tcBorders>
          </w:tcPr>
          <w:p>
            <w:pPr>
              <w:spacing w:after="0"/>
              <w:rPr>
                <w:sz w:val="15"/>
                <w:szCs w:val="15"/>
                <w:color w:val="auto"/>
              </w:rPr>
            </w:pPr>
          </w:p>
        </w:tc>
        <w:tc>
          <w:tcPr>
            <w:tcW w:w="1580" w:type="dxa"/>
            <w:vAlign w:val="bottom"/>
            <w:tcBorders>
              <w:top w:val="single" w:sz="8" w:color="0000EE"/>
            </w:tcBorders>
            <w:gridSpan w:val="9"/>
          </w:tcPr>
          <w:p>
            <w:pPr>
              <w:spacing w:after="0"/>
              <w:rPr>
                <w:sz w:val="15"/>
                <w:szCs w:val="15"/>
                <w:color w:val="auto"/>
              </w:rPr>
            </w:pPr>
          </w:p>
        </w:tc>
        <w:tc>
          <w:tcPr>
            <w:tcW w:w="220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gridSpan w:val="11"/>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1"/>
          </w:tcPr>
          <w:p>
            <w:pPr>
              <w:spacing w:after="0" w:line="182" w:lineRule="exact"/>
              <w:rPr>
                <w:sz w:val="20"/>
                <w:szCs w:val="20"/>
                <w:color w:val="auto"/>
              </w:rPr>
            </w:pPr>
            <w:r>
              <w:rPr>
                <w:rFonts w:ascii="Arial" w:cs="Arial" w:eastAsia="Arial" w:hAnsi="Arial"/>
                <w:sz w:val="18"/>
                <w:szCs w:val="18"/>
                <w:color w:val="0000EE"/>
              </w:rPr>
              <w:t>ITEM 15. EXHIBITS, FINANCIAL STATEMENT SCHEDULES.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ITEM 16. FORM 10-K SUMMARY.</w:t>
            </w:r>
          </w:p>
        </w:tc>
        <w:tc>
          <w:tcPr>
            <w:tcW w:w="3280" w:type="dxa"/>
            <w:vAlign w:val="bottom"/>
            <w:gridSpan w:val="11"/>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SIGNATURES</w:t>
            </w:r>
          </w:p>
        </w:tc>
        <w:tc>
          <w:tcPr>
            <w:tcW w:w="5500" w:type="dxa"/>
            <w:vAlign w:val="bottom"/>
            <w:gridSpan w:val="20"/>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783"/>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and financial position, our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86" w:lineRule="exact"/>
        <w:rPr>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the scope of our license agreements with Bioprojet Société Civile de Recherche (“Bioprojet”);</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needs for additional financing needs;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the sections in this Annual Report on Form 10-K titled “—Item 1A. Risk Factors.” and “Part II—Item 7. Management’s Discussion and Analysis of Financial Condition and Results of Operations.”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herein under “—Item 1A. Risk Factors.” and “—Cautionary Note Regarding Forward-Looking Statements.” These and other factors could cause results to differ materially from those expressed and forecasts in the estimates made by the independent parties and by us.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Annual Report on Form 10-K are the property of their respective owners.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7"/>
          <w:szCs w:val="17"/>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25"/>
          <w:szCs w:val="25"/>
          <w:color w:val="auto"/>
          <w:vertAlign w:val="subscript"/>
        </w:rPr>
        <w:t>3</w:t>
      </w:r>
      <w:r>
        <w:rPr>
          <w:rFonts w:ascii="Arial" w:cs="Arial" w:eastAsia="Arial" w:hAnsi="Arial"/>
          <w:sz w:val="17"/>
          <w:szCs w:val="17"/>
          <w:color w:val="auto"/>
        </w:rPr>
        <w:t xml:space="preserve"> receptors. In August 2019, WAKIX</w:t>
      </w:r>
    </w:p>
    <w:p>
      <w:pPr>
        <w:spacing w:after="0" w:line="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8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We are taking a mechanism-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based approach to managing the life cycle of pitolisant and have identified idiopathic hypersomnia (“IH”), another central disorder of hypersomnolence like narcolepsy, as our next potential new indication for pitolisant. In April 2022, we initiated a Phase 3 registrational trial, the INTUNE Study, to evaluate the efficacy and safety of pitolisant in adult patients with IH and have seen continued strong momentum in patient enrollment, with approximately 85% of the targeted clinical trial sites activated. We are focusing our development efforts on other rare neurological disorders in which EDS is a prominent symptom, including Prader-Willi Syndrome (“PWS”) and myotonic dystrophy, otherwise known as dystrophia myotonica (“DM”). We recently received the initial topline data from our Phase 2 proof-of-concept clinical trial to evaluate pitolisant for the treatment of EDS and other key symptoms in patients with PWS, which showed a positive signal on improvement in the primary outcome related to EDS. We received the full data set at the end of 2022, which our team has been analyzing in preparation for an end-of-phase 2 meeting with the FDA to discuss the data. We intend to advance our development program in patients with PWS into a Phase 3 trial. In June 2021, we initiated a Phase 2 proof-of-concept clinical trial to evaluate pitolisant for the treatment of EDS, fatigue and cognitive dysfunction in adult patients with DM1 and anticipate topline results from this trial in the fourth quarter of 2023.</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On January 26, 2023, Bioprojet received a positive opinion from the EMA’s Committee for Medicinal Products for Human Use (“CHMP”) with an approval for a pediatric narcolepsy indication expected by the EMA within 60 days of the positive CHMP opinion. We are working with Bioprojet on a path forward towards the submission to the FDA of a supplemental NDA for pediatric narcolepsy and, in addition, we remain committed to obtaining pediatric exclusivity for WAKIX.</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on July 31, 2022, we entered into a License and Commercialization Agreement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for HBS-102 globally, but we have provided an indication-limited grant-back license to ConSynance for the development and commercialization of the Compound in Greater China. We recently initiated a preclinical proof-of-concept study to assess the effect of HBS-102 on hyperphagia, weight gain and other metabolic parameters in a mouse model of PWS.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were founded in July 2017 as Harmony Biosciences II, LLC, a Delaware limited liability company. We converted to a Delaware corporation named Harmony Biosciences II, Inc. in September 2017 and, in February 2020, we changed our name to Harmony Biosciences Holdings, Inc. Our operations are conducted by our wholly owned subsidiary, Harmony Biosciences, LLC, which was formed in May 2017. Our operations to date have consisted of building and staffing our organization, acquiring the rights to pitolisant, raising capital, opening an investigational new drug application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States. In addition, we have opened INDs for the development of pitolisant in PWS, DM and IH and have initiated clinical trials in pursuit of potential new indications in those rare disease patient populations.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Narcolepsy Market Overview</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Narcolepsy is a rare, chronic and debilitating neurological disorder of sleep-wake state instability that is estimated to affect approximately 165,000 Americans, with fewer than 50% diagnosed. Narcolepsy is characterized by EDS, which is present in all patients with narcolepsy and is the primary reason why patients seek treatment. EDS is the inability to stay awake or alert throughout the day, including an irrepressible need for sleep, with lapses into drowsiness or sleep, which has a significant impact on a patient’s ability to function. Additional symptoms of narcolepsy may include cataplexy (which is characterized by sudden and transient episodes of muscle weakness accompanied by full conscious awareness), hallucinations, sleep paralysis and disrupted nighttime sleep. In most patients, narcolepsy is caused by the loss of orexin/hypocretin, a neuropeptide in the brain that, along with histamine, works to support sleep-wake state stability. This disorder affects men and women equally, with typical symptom onset in adolescence or young adulthood; however, it can take up to a decade after onset of symptoms to be properly diagnosed. The U.S. narcolepsy market had an approximate net sales value of $2.3 billion in 2022. The market is expected to continue to grow based on several factors, including, but not limited to, the introduction of new innovative therapies that offer novel mechanisms of action resulting in improved safety/tolerability profiles while delivering clinically meaningful efficacy, additional investment in education, increased rates of diagnosis, and population growth.</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Prior to the FDA’s approval of WAKIX in 2019, there were six approved medications to treat patients with narcolepsy, all of which are scheduled as controlled substances, and no new therapies had been approved for narcolepsy patients in the United States since 2007. These medications included Xyrem (sodium oxybate), Provigil (modafinil), Nuvigil (armodafinil), Ritalin (methylphenidate), Adderall (amphetamine salts) and Sunosi (solriamfetol). Following the approval of WAKIX, in July 2020 the FDA approved a new lower sodium formulation of Xyrem called Xywav. These approved drugs are prescribed in accordance with their individual labels for indications covering narcolepsy, cataplexy and/or EDS related to narcolepsy, and have demonstrated the ability to improve the lives of the patients suffering from these symptoms. In addition, Xywav was approved in August 2021 for the treatment of IH in adults. Other prescription drugs are used off-label for the treatment of either EDS or cataplexy in patients with narcolepsy, including stimulants for EDS and antidepressants for cataplexy. Despite the benefits provided by the available medications, according to the American Academy of Sleep Medicine (“AASM”), traditional stimulants, wake-promoting agents and sodium oxybate, at best, provide only moderate improvement in narcolepsy symptoms and side effects may limit their use. Some of the current therapies have significant side effects (such as increased heart rate and blood pressure) and boxed warnings due to the risk of respiratory depression, abuse and dependence. These therapies also have the potential for rebound and withdrawal symptoms. The Voice of the Patient report from the FDA’s patient-focused drug development initiative, published in 2014, concluded that, based on the overall benefit-risk assessment of current medications, there is a continued need for additional effective and tolerable treatment options for patients with narcolepsy. In a retrospective electronic chart review conducted by Rush University Medical Center from June 2011 to December 2018, over 75% (73 out of 97 respondents) of patients with narcolepsy reported at least one residual symptom while on their current treatment. In a third-party survey that we commissioned prior to the commercialization of WAKIX, of the 200 patients with narcolepsy who were surveyed, 86% (173 out of 200 respondents) of patients reported narcolepsy is a life changing disorder and 93% (157 out of 169 respondents) expressed frustration with current treatment options, while 31 patients were not on treatment and, as such, did not provide a response to this question. The main drivers of patients’ dissatisfaction were side effects and tolerability, loss of efficacy over time and concerns about abuse and dependence with current therapies.</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market research sponsored by us prior to the commercial release of WAKIX, both patients and HCPs expressed frustration and dissatisfaction with then-existing therapies, reflecting current unmet medical needs. These unmet needs included, in order of importance, the availability of: (i) non-scheduled treatment options, (ii) more tolerable treatment regimens, (iii) more effective treatment options, (iv) novel MOAs beyond currently available therapies and (v) once-daily treatment options. Based on our market research, we believe the most significant unmet need identified was the availability of non-scheduled treatment options. Other than WAKIX, all drugs approved by the FDA for the treatment of narcolepsy, including stimulants, are scheduled as controlled substances by the DEA. Controlled substances have the potential for abuse, misuse, and diversion. In addition, these products also have the potential for the development of tolerance and withdrawal symptoms. Despite their inherent drawbacks, due to the limited number of treatment options, stimulants have historically been a primary treatment for people with narcolepsy. In addition to having the potential for abuse, all of the treatments approved for narcolepsy, except WAKIX, require a Risk Evaluation and Mitigation Strategy (“REMS”) program,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which is required by the FDA for certain medications with serious safety concerns to help ensure the benefits of the medication outweigh its risks.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12"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WAKIX (pitolisant) represents a novel approach to narcolepsy treatment. We believe that WAKIX offers a meaningfully differentiated product profile over current treatment options for the following reasons:</w:t>
      </w:r>
    </w:p>
    <w:p>
      <w:pPr>
        <w:spacing w:after="0" w:line="154" w:lineRule="exact"/>
        <w:rPr>
          <w:sz w:val="20"/>
          <w:szCs w:val="20"/>
          <w:color w:val="auto"/>
        </w:rPr>
      </w:pPr>
    </w:p>
    <w:p>
      <w:pPr>
        <w:jc w:val="both"/>
        <w:ind w:left="1000" w:hanging="317"/>
        <w:spacing w:after="0" w:line="242"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First-in-class molecule with a novel MOA</w:t>
      </w:r>
      <w:r>
        <w:rPr>
          <w:rFonts w:ascii="Arial" w:cs="Arial" w:eastAsia="Arial" w:hAnsi="Arial"/>
          <w:sz w:val="18"/>
          <w:szCs w:val="18"/>
          <w:color w:val="auto"/>
        </w:rPr>
        <w:t>. WAKIX is the only selective H</w:t>
      </w:r>
      <w:r>
        <w:rPr>
          <w:rFonts w:ascii="Arial" w:cs="Arial" w:eastAsia="Arial" w:hAnsi="Arial"/>
          <w:sz w:val="11"/>
          <w:szCs w:val="11"/>
          <w:color w:val="auto"/>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receptor antagonist/inverse agonist</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FDA. It is approved for the treatment of EDS or cataplexy in adult patients with narcolepsy and is the only narcolepsy treatment that works primarily through histamine, a major wake-promoting neurotransmitter. Pitolisant is thought to work by regulating histamine, such that it activates wake-promoting neurons and inhibits sleep promoting neurons, which helps to stabilize states of sleep and wakefulness. We believe that these novel characteristics differentiate it from other narcolepsy treatments.</w:t>
      </w:r>
    </w:p>
    <w:p>
      <w:pPr>
        <w:spacing w:after="0" w:line="177"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First-and-only non-scheduled treatment for narcolepsy</w:t>
      </w:r>
      <w:r>
        <w:rPr>
          <w:rFonts w:ascii="Arial" w:cs="Arial" w:eastAsia="Arial" w:hAnsi="Arial"/>
          <w:sz w:val="18"/>
          <w:szCs w:val="18"/>
          <w:color w:val="auto"/>
        </w:rPr>
        <w:t>. WAKIX is the first-and-only FDA-approved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for narcolepsy that is not scheduled as a controlled substance by the DEA. We believe one of the most significant unmet needs is the availability of non-scheduled treatment options. In a clinical trial, pitolisant demonstrated statistically significantly lower abuse potential compared to phentermine (a Schedule IV stimulant), consistent with its lack of abuse potential.</w:t>
      </w:r>
    </w:p>
    <w:p>
      <w:pPr>
        <w:spacing w:after="0" w:line="179" w:lineRule="exact"/>
        <w:rPr>
          <w:rFonts w:ascii="Times New Roman" w:cs="Times New Roman" w:eastAsia="Times New Roman" w:hAnsi="Times New Roman"/>
          <w:sz w:val="18"/>
          <w:szCs w:val="18"/>
          <w:color w:val="auto"/>
        </w:rPr>
      </w:pPr>
    </w:p>
    <w:p>
      <w:pPr>
        <w:jc w:val="both"/>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WAKIX is not a stimulant</w:t>
      </w:r>
      <w:r>
        <w:rPr>
          <w:rFonts w:ascii="Arial" w:cs="Arial" w:eastAsia="Arial" w:hAnsi="Arial"/>
          <w:sz w:val="18"/>
          <w:szCs w:val="18"/>
          <w:color w:val="auto"/>
        </w:rPr>
        <w:t>. Stimulants are one of the most commonly prescribed treatments for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Unlike stimulants, in clinical trials, WAKIX showed no evidence for the development of drug tolerance or withdrawal symptoms. Therefore, there is no need for patients to temporarily stop the medication to reset efficacy. In addition, unlike stimulants, WAKIX does not increase dopamine levels in the brain’s reward center, which contributes to its lack of abuse potential. According to the National Sleep Foundation, stimulants have the potential for abuse, so their use must be considered carefully by patients and HCPs. WAKIX gives patients and HCPs a different therapeutic option.</w:t>
      </w:r>
    </w:p>
    <w:p>
      <w:pPr>
        <w:spacing w:after="0" w:line="183" w:lineRule="exact"/>
        <w:rPr>
          <w:rFonts w:ascii="Times New Roman" w:cs="Times New Roman" w:eastAsia="Times New Roman" w:hAnsi="Times New Roman"/>
          <w:sz w:val="18"/>
          <w:szCs w:val="18"/>
          <w:color w:val="auto"/>
        </w:rPr>
      </w:pPr>
    </w:p>
    <w:p>
      <w:pPr>
        <w:jc w:val="both"/>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WAKIX can be used as monotherapy or administered concomitantly with other narcolepsy treatments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is a difficult disorder to manage and the majority of narcolepsy patients often require multiple medications to treat their symptoms. WAKIX was studied in combination with each of modafinil and sodium oxybate (two common treatments for narcolepsy) and demonstrated no effect on the pharmacokinetic (“PK”) profile of either treatment, and neither treatment had a clinically relevant effect on the PK profile of WAKIX. We believe the ability of WAKIX to be taken as monotherapy or concomitantly with other narcolepsy medications affords HCPs the flexibility to better manage their patients with narcolepsy.</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WAKIX is a once-daily oral tablet administered in the morning upon wakening</w:t>
      </w:r>
      <w:r>
        <w:rPr>
          <w:rFonts w:ascii="Arial" w:cs="Arial" w:eastAsia="Arial" w:hAnsi="Arial"/>
          <w:sz w:val="18"/>
          <w:szCs w:val="18"/>
          <w:color w:val="auto"/>
        </w:rPr>
        <w:t>. Patients have identified a</w:t>
      </w:r>
      <w:r>
        <w:rPr>
          <w:rFonts w:ascii="Arial" w:cs="Arial" w:eastAsia="Arial" w:hAnsi="Arial"/>
          <w:sz w:val="18"/>
          <w:szCs w:val="18"/>
          <w:b w:val="1"/>
          <w:bCs w:val="1"/>
          <w:color w:val="auto"/>
        </w:rPr>
        <w:t xml:space="preserve"> </w:t>
      </w:r>
      <w:r>
        <w:rPr>
          <w:rFonts w:ascii="Arial" w:cs="Arial" w:eastAsia="Arial" w:hAnsi="Arial"/>
          <w:sz w:val="18"/>
          <w:szCs w:val="18"/>
          <w:color w:val="auto"/>
        </w:rPr>
        <w:t>need for treatment options that are easier to take and are dosed less frequently. We believe that once-daily dosing with WAKIX addresses this need and may help improve patient compliance with treatment.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goal is to become a leading pharmaceutical company dedicated to developing and commercializing novel treatment options for patients living with rare neurological diseases and/or neurological diseases where we can leverage our existing infrastructure and expertise. The key elements of our strategy are outlined in our three pillars of growth:</w:t>
      </w:r>
    </w:p>
    <w:p>
      <w:pPr>
        <w:spacing w:after="0" w:line="169" w:lineRule="exact"/>
        <w:rPr>
          <w:sz w:val="20"/>
          <w:szCs w:val="20"/>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Pillar I: Optimize the Commercial Performance of WAKIX in Adult Patients with Narcolepsy</w:t>
      </w:r>
    </w:p>
    <w:p>
      <w:pPr>
        <w:spacing w:after="0" w:line="224" w:lineRule="exact"/>
        <w:rPr>
          <w:sz w:val="20"/>
          <w:szCs w:val="20"/>
          <w:color w:val="auto"/>
        </w:rPr>
      </w:pPr>
    </w:p>
    <w:p>
      <w:pPr>
        <w:jc w:val="both"/>
        <w:ind w:left="1300" w:hanging="320"/>
        <w:spacing w:after="0" w:line="24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Commercialize WAKIX in the United States</w:t>
      </w:r>
      <w:r>
        <w:rPr>
          <w:rFonts w:ascii="Arial" w:cs="Arial" w:eastAsia="Arial" w:hAnsi="Arial"/>
          <w:sz w:val="18"/>
          <w:szCs w:val="18"/>
          <w:color w:val="auto"/>
        </w:rPr>
        <w:t>. We have assembled a team of approximately 200</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professionals who possess comprehensive life sciences experience. We have also established a robust company infrastructure to execute on our core business and growth strategies. This team includes over 80 dedicated and experienced sales professionals who call on the approximately 9,500 HCPs who treat more than 90% of narcolepsy patients in the United States. In November 2019, we launched commercial sales of WAKIX in the United States.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Pillar II: Expand the Clinical Utility of Pitolisant</w:t>
      </w:r>
    </w:p>
    <w:p>
      <w:pPr>
        <w:spacing w:after="0" w:line="209" w:lineRule="exact"/>
        <w:rPr>
          <w:rFonts w:ascii="Times New Roman" w:cs="Times New Roman" w:eastAsia="Times New Roman" w:hAnsi="Times New Roman"/>
          <w:sz w:val="18"/>
          <w:szCs w:val="18"/>
          <w:color w:val="auto"/>
        </w:rPr>
      </w:pPr>
    </w:p>
    <w:p>
      <w:pPr>
        <w:ind w:left="1340" w:hanging="324"/>
        <w:spacing w:after="0" w:line="23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Pursue New Indications Beyond Narcolepsy.</w:t>
      </w:r>
      <w:r>
        <w:rPr>
          <w:rFonts w:ascii="Courier New" w:cs="Courier New" w:eastAsia="Courier New" w:hAnsi="Courier New"/>
          <w:sz w:val="18"/>
          <w:szCs w:val="18"/>
          <w:color w:val="auto"/>
        </w:rPr>
        <w:t xml:space="preserve"> </w:t>
      </w:r>
      <w:r>
        <w:rPr>
          <w:rFonts w:ascii="Arial" w:cs="Arial" w:eastAsia="Arial" w:hAnsi="Arial"/>
          <w:sz w:val="18"/>
          <w:szCs w:val="18"/>
          <w:color w:val="auto"/>
        </w:rPr>
        <w:t>We believe that pitolisant’s novel MOA offers a portfolio in</w:t>
      </w:r>
      <w:r>
        <w:rPr>
          <w:rFonts w:ascii="Courier New" w:cs="Courier New" w:eastAsia="Courier New" w:hAnsi="Courier New"/>
          <w:sz w:val="18"/>
          <w:szCs w:val="18"/>
          <w:color w:val="auto"/>
        </w:rPr>
        <w:t xml:space="preserve"> </w:t>
      </w:r>
      <w:r>
        <w:rPr>
          <w:rFonts w:ascii="Arial" w:cs="Arial" w:eastAsia="Arial" w:hAnsi="Arial"/>
          <w:sz w:val="18"/>
          <w:szCs w:val="18"/>
          <w:color w:val="auto"/>
        </w:rPr>
        <w:t>a product opportunity and has therapeutic potential in several other patient populations living with rare neurological diseases. We opened an IND for pitolisant for the treatment of IH in November 2021 and initiated a Phase 3 registrational trial, the INTUNE Study, in adult patients with IH in April 2022. We are seeing continued strong momentum in the Phase 3 INTUNE Study with approximately 85% of clinical trial sites activated. We opened an IND for pitolisant for the treatment of PWS in November 2019 and completed a Phase 1 PK clinical trial in pediatric patients with PWS in December 2019. We then initiated a long-term, open-label safety trial in those patients who participated in the Phase 1 PK trial. In December 2020, we initiated a Phase 2 proof-of-concept clinical trial to evaluate pitolisant for the treatment of EDS and other key symptoms in patients with PWS, including behavioral symptoms and cognitive impairment. We received topline results from this clinical proof-of-concept trial in November 2022, which showed a positive signal on improvement in the primary outcome related to EDS. We received the full data set from the trial at the end of 2022, which the team is analyzing in preparation for an end-of-phase 2 meeting with the FDA to discuss the trial results. We intend to advance our development program in patients with PWS into a Phase 3 trial. In June 2021, we initiated a Phase 2 clinical trial to evaluate pitolisant for the treatment of EDS, fatigue and cognitive dysfunction in adult patients with DM1 and we anticipate topline results in the fourth quarter of 2023.</w:t>
      </w:r>
    </w:p>
    <w:p>
      <w:pPr>
        <w:spacing w:after="0" w:line="182" w:lineRule="exact"/>
        <w:rPr>
          <w:sz w:val="20"/>
          <w:szCs w:val="20"/>
          <w:color w:val="auto"/>
        </w:rPr>
      </w:pPr>
    </w:p>
    <w:p>
      <w:pPr>
        <w:jc w:val="both"/>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Expand WAKIX Label in Narcolepsy</w:t>
      </w:r>
      <w:r>
        <w:rPr>
          <w:rFonts w:ascii="Arial" w:cs="Arial" w:eastAsia="Arial" w:hAnsi="Arial"/>
          <w:sz w:val="18"/>
          <w:szCs w:val="18"/>
          <w:color w:val="auto"/>
        </w:rPr>
        <w:t>. Building upon the EDS and cataplexy indications in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narcolepsy, we are working with our partner Bioprojet in consideration of gaining a pediatric indication for both EDS and cataplexy. Bioprojet has completed a Phase 3 trial in pediatric patients with narcolepsy and submitted the data to the EMA seeking approval for a pediatric narcolepsy indication. On January 26, 2023, Bioprojet received a positive opinion from the EMA’s CHMP with an approval for a pediatric narcolepsy indication expected by the EMA within 60 days of the positive CHMP opinion. We are working with Bioprojet on a path forward towards a submission to the FDA of a supplemental NDA for pediatric narcolepsy.</w:t>
      </w:r>
    </w:p>
    <w:p>
      <w:pPr>
        <w:spacing w:after="0" w:line="180" w:lineRule="exact"/>
        <w:rPr>
          <w:rFonts w:ascii="Arial" w:cs="Arial" w:eastAsia="Arial" w:hAnsi="Arial"/>
          <w:sz w:val="18"/>
          <w:szCs w:val="18"/>
          <w:color w:val="auto"/>
        </w:rPr>
      </w:pPr>
    </w:p>
    <w:p>
      <w:pPr>
        <w:jc w:val="both"/>
        <w:ind w:left="1300" w:hanging="320"/>
        <w:spacing w:after="0" w:line="24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Pursue Pediatric Exclusivity</w:t>
      </w:r>
      <w:r>
        <w:rPr>
          <w:rFonts w:ascii="Arial" w:cs="Arial" w:eastAsia="Arial" w:hAnsi="Arial"/>
          <w:sz w:val="18"/>
          <w:szCs w:val="18"/>
          <w:color w:val="auto"/>
        </w:rPr>
        <w:t>. We continue to pursue pediatric exclusivity, and we recently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feedback from the FDA regarding our request for a pediatric written request (“PWR”) and we plan to prepare a proposed pediatric study request (“PPSR”) for submission to the FDA in order to align with the agency, in pursuit of pediatric exclusivity for WAKIX.</w:t>
      </w:r>
    </w:p>
    <w:p>
      <w:pPr>
        <w:spacing w:after="0" w:line="173"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Pillar III: Acquire New Assets to Expand our Product Portfolio</w:t>
      </w:r>
    </w:p>
    <w:p>
      <w:pPr>
        <w:spacing w:after="0" w:line="224" w:lineRule="exact"/>
        <w:rPr>
          <w:rFonts w:ascii="Times New Roman" w:cs="Times New Roman" w:eastAsia="Times New Roman" w:hAnsi="Times New Roman"/>
          <w:sz w:val="18"/>
          <w:szCs w:val="18"/>
          <w:color w:val="auto"/>
        </w:rPr>
      </w:pPr>
    </w:p>
    <w:p>
      <w:pPr>
        <w:jc w:val="both"/>
        <w:ind w:left="1300" w:hanging="320"/>
        <w:spacing w:after="0" w:line="24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Expansion of our Product Portfolio</w:t>
      </w:r>
      <w:r>
        <w:rPr>
          <w:rFonts w:ascii="Arial" w:cs="Arial" w:eastAsia="Arial" w:hAnsi="Arial"/>
          <w:sz w:val="18"/>
          <w:szCs w:val="18"/>
          <w:color w:val="auto"/>
        </w:rPr>
        <w:t>. As we continue our commercial growth and advancement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development programs with pitolisant, a key component of our strategy is to expand our pipeline beyond pitolisant by partnering, co-developing or acquiring assets focused on rare neurological diseases and/or other neurological diseases serving patients with unmet medical needs that are complementary to our existing research and development expertise and/or commercial footprint.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Commercialization Strategy</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launched WAKIX into the narcolepsy market in November 2019 and we continue to engage with HCPs, patients and payors through the focused commercialization strategy outlined below to optimize adoption of WAKIX in the marketplace:</w:t>
      </w:r>
    </w:p>
    <w:p>
      <w:pPr>
        <w:spacing w:after="0" w:line="169" w:lineRule="exact"/>
        <w:rPr>
          <w:sz w:val="20"/>
          <w:szCs w:val="20"/>
          <w:color w:val="auto"/>
        </w:rPr>
      </w:pPr>
    </w:p>
    <w:p>
      <w:pPr>
        <w:jc w:val="both"/>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HCP Awareness and Adoption</w:t>
      </w:r>
      <w:r>
        <w:rPr>
          <w:rFonts w:ascii="Arial" w:cs="Arial" w:eastAsia="Arial" w:hAnsi="Arial"/>
          <w:sz w:val="18"/>
          <w:szCs w:val="18"/>
          <w:color w:val="auto"/>
        </w:rPr>
        <w:t>: To facilitate HCP awareness and adoption of WAKIX, we have deployed our</w:t>
      </w:r>
      <w:r>
        <w:rPr>
          <w:rFonts w:ascii="Arial" w:cs="Arial" w:eastAsia="Arial" w:hAnsi="Arial"/>
          <w:sz w:val="18"/>
          <w:szCs w:val="18"/>
          <w:b w:val="1"/>
          <w:bCs w:val="1"/>
          <w:color w:val="auto"/>
        </w:rPr>
        <w:t xml:space="preserve"> </w:t>
      </w:r>
      <w:r>
        <w:rPr>
          <w:rFonts w:ascii="Arial" w:cs="Arial" w:eastAsia="Arial" w:hAnsi="Arial"/>
          <w:sz w:val="18"/>
          <w:szCs w:val="18"/>
          <w:color w:val="auto"/>
        </w:rPr>
        <w:t>dedicated, in-house, over 80-person sales team to educate a defined prescriber base of approximately 9,500 HCPs comprised of neurologists, pulmonologists, sleep specialists, psychiatrists and high-prescribing primary care physicians who specialize in or focus on sleep disorders. We believe these HCPs diagnose and treat more than 90% of the narcolepsy patients in the United States. We began our commercial HCP outreach in August 2019 following FDA approval of WAKIX for the treatment of EDS in adult patients with narcolepsy and our efforts continue following the approval of the cataplexy indication in October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hanging="317"/>
        <w:spacing w:after="0" w:line="243"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Patient Awareness</w:t>
      </w:r>
      <w:r>
        <w:rPr>
          <w:rFonts w:ascii="Arial" w:cs="Arial" w:eastAsia="Arial" w:hAnsi="Arial"/>
          <w:sz w:val="18"/>
          <w:szCs w:val="18"/>
          <w:color w:val="auto"/>
        </w:rPr>
        <w:t>: It is estimated that narcolepsy affects approximately 165,000 Americans with fewer than</w:t>
      </w:r>
      <w:r>
        <w:rPr>
          <w:rFonts w:ascii="Arial" w:cs="Arial" w:eastAsia="Arial" w:hAnsi="Arial"/>
          <w:sz w:val="18"/>
          <w:szCs w:val="18"/>
          <w:b w:val="1"/>
          <w:bCs w:val="1"/>
          <w:color w:val="auto"/>
        </w:rPr>
        <w:t xml:space="preserve"> </w:t>
      </w:r>
      <w:r>
        <w:rPr>
          <w:rFonts w:ascii="Arial" w:cs="Arial" w:eastAsia="Arial" w:hAnsi="Arial"/>
          <w:sz w:val="18"/>
          <w:szCs w:val="18"/>
          <w:color w:val="auto"/>
        </w:rPr>
        <w:t>50% diagnosed. Of those living with narcolepsy in the United States, it is estimated that fewer than 45,000 are on narcolepsy medications, which we believe indicates a significant unmet medical need. To drive patient awareness of WAKIX and its differentiated product profile, we have been communicating with the narcolepsy patient community and providing them with educational materials and information on WAKIX.</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42"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Payor Coverage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Recognizing the importance of payor coverage, our field market access team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with national and regional payors over the past two plus years to educate them on the clinical data and value proposition of WAKIX. Through December 31, 2022,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believe the differentiating attributes of WAKIX that have facilitated and will continue to facilitate awareness, adoption, and coverage include: (i) it is a first-in-class molecule with a novel MOA, (ii) it is the first-and-only non-scheduled treatment approved for EDS or cataplexy in adult patients with narcolepsy, (iii) it is not a stimulant, (iv) it has broad clinical utility because it can be used as monotherapy or administered concomitantly with other narcolepsy treatments, and (v) it is a once-daily oral tablet administered in the morning upon wakening. In September 2021, the AASM updated its clinical practice guidelines on central disorders of hypersomnolence, which serve as evidence-based treatment guidelines for such disorders, giving WAKIX a strong recommendation for the treatment of both excessive daytime sleepiness and cataplexy in adult patients with narcolepsy.</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As of December 31, 2022, we continue to see growth in unique HCPs prescribing WAKIX since it became available in November 2019. The average number of patients on WAKIX in the fourth quarter of 2022 was approximately 4,900. Additionally, as of December 31, 2022,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Pipeline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412115</wp:posOffset>
            </wp:positionV>
            <wp:extent cx="6172200" cy="3763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33383B"/>
        </w:rPr>
        <w:t>Includes New Drug Applications and supplemental New Drug Applications.</w:t>
      </w:r>
    </w:p>
    <w:p>
      <w:pPr>
        <w:spacing w:after="0" w:line="14" w:lineRule="exact"/>
        <w:rPr>
          <w:rFonts w:ascii="Times New Roman" w:cs="Times New Roman" w:eastAsia="Times New Roman" w:hAnsi="Times New Roman"/>
          <w:sz w:val="14"/>
          <w:szCs w:val="14"/>
          <w:color w:val="auto"/>
        </w:rPr>
      </w:pPr>
    </w:p>
    <w:p>
      <w:pPr>
        <w:ind w:left="680" w:hanging="321"/>
        <w:spacing w:after="0"/>
        <w:tabs>
          <w:tab w:leader="none" w:pos="680" w:val="left"/>
        </w:tabs>
        <w:numPr>
          <w:ilvl w:val="0"/>
          <w:numId w:val="11"/>
        </w:numPr>
        <w:rPr>
          <w:rFonts w:ascii="Arial" w:cs="Arial" w:eastAsia="Arial" w:hAnsi="Arial"/>
          <w:sz w:val="14"/>
          <w:szCs w:val="14"/>
          <w:color w:val="auto"/>
        </w:rPr>
      </w:pPr>
      <w:r>
        <w:rPr>
          <w:rFonts w:ascii="Arial" w:cs="Arial" w:eastAsia="Arial" w:hAnsi="Arial"/>
          <w:sz w:val="14"/>
          <w:szCs w:val="14"/>
          <w:color w:val="33383B"/>
        </w:rPr>
        <w:t>Trial conducted by Bioprojet and Bioprojet submitted regulatory package to EMA. Received positive CHMP opinion on January 26, 2023.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 Pitolisant in New Patient Populations in Pursuit of Additional Indications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believe that pitolisant’s ability to regulate histamine and histaminergic signaling gives it the potential to provide therapeutic benefit in other disorders that are mediated through the H</w:t>
      </w:r>
      <w:r>
        <w:rPr>
          <w:rFonts w:ascii="Arial" w:cs="Arial" w:eastAsia="Arial" w:hAnsi="Arial"/>
          <w:sz w:val="11"/>
          <w:szCs w:val="11"/>
          <w:color w:val="auto"/>
        </w:rPr>
        <w:t>3</w:t>
      </w:r>
      <w:r>
        <w:rPr>
          <w:rFonts w:ascii="Arial" w:cs="Arial" w:eastAsia="Arial" w:hAnsi="Arial"/>
          <w:sz w:val="18"/>
          <w:szCs w:val="18"/>
          <w:color w:val="auto"/>
        </w:rPr>
        <w:t xml:space="preserve"> receptor and histamine signaling and offers a </w:t>
      </w:r>
      <w:r>
        <w:rPr>
          <w:rFonts w:ascii="Arial" w:cs="Arial" w:eastAsia="Arial" w:hAnsi="Arial"/>
          <w:sz w:val="18"/>
          <w:szCs w:val="18"/>
          <w:i w:val="1"/>
          <w:iCs w:val="1"/>
          <w:color w:val="auto"/>
        </w:rPr>
        <w:t>portfolio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a product </w:t>
      </w:r>
      <w:r>
        <w:rPr>
          <w:rFonts w:ascii="Arial" w:cs="Arial" w:eastAsia="Arial" w:hAnsi="Arial"/>
          <w:sz w:val="18"/>
          <w:szCs w:val="18"/>
          <w:color w:val="auto"/>
        </w:rPr>
        <w:t>opportunity with pitolisant. Histamine plays an important role in normal physiologic functioning beyond</w:t>
      </w:r>
      <w:r>
        <w:rPr>
          <w:rFonts w:ascii="Arial" w:cs="Arial" w:eastAsia="Arial" w:hAnsi="Arial"/>
          <w:sz w:val="18"/>
          <w:szCs w:val="18"/>
          <w:i w:val="1"/>
          <w:iCs w:val="1"/>
          <w:color w:val="auto"/>
        </w:rPr>
        <w:t xml:space="preserve"> </w:t>
      </w:r>
      <w:r>
        <w:rPr>
          <w:rFonts w:ascii="Arial" w:cs="Arial" w:eastAsia="Arial" w:hAnsi="Arial"/>
          <w:sz w:val="18"/>
          <w:szCs w:val="18"/>
          <w:color w:val="auto"/>
        </w:rPr>
        <w:t>wakefulness in the areas of attention, vigilance, behavior and cognition. The presence of H</w:t>
      </w:r>
      <w:r>
        <w:rPr>
          <w:rFonts w:ascii="Arial" w:cs="Arial" w:eastAsia="Arial" w:hAnsi="Arial"/>
          <w:sz w:val="11"/>
          <w:szCs w:val="11"/>
          <w:color w:val="auto"/>
        </w:rPr>
        <w:t>3</w:t>
      </w:r>
      <w:r>
        <w:rPr>
          <w:rFonts w:ascii="Arial" w:cs="Arial" w:eastAsia="Arial" w:hAnsi="Arial"/>
          <w:sz w:val="18"/>
          <w:szCs w:val="18"/>
          <w:color w:val="auto"/>
        </w:rPr>
        <w:t xml:space="preserve"> receptors in the hypothalamus, brainstem and cerebral cortex account for different functions, which could provide an opportunity for pitolisant to treat symptoms other than EDS in different disorders. In addition, H</w:t>
      </w:r>
      <w:r>
        <w:rPr>
          <w:rFonts w:ascii="Arial" w:cs="Arial" w:eastAsia="Arial" w:hAnsi="Arial"/>
          <w:sz w:val="11"/>
          <w:szCs w:val="11"/>
          <w:color w:val="auto"/>
        </w:rPr>
        <w:t>3</w:t>
      </w:r>
      <w:r>
        <w:rPr>
          <w:rFonts w:ascii="Arial" w:cs="Arial" w:eastAsia="Arial" w:hAnsi="Arial"/>
          <w:sz w:val="18"/>
          <w:szCs w:val="18"/>
          <w:color w:val="auto"/>
        </w:rPr>
        <w:t xml:space="preserve"> receptors are located mainly in the CNS as opposed to other parts of the body outside the CNS, which contributes to its overall tolerability profile. This fact, along with pitolisant being highly selective for the H</w:t>
      </w:r>
      <w:r>
        <w:rPr>
          <w:rFonts w:ascii="Arial" w:cs="Arial" w:eastAsia="Arial" w:hAnsi="Arial"/>
          <w:sz w:val="11"/>
          <w:szCs w:val="11"/>
          <w:color w:val="auto"/>
        </w:rPr>
        <w:t>3</w:t>
      </w:r>
      <w:r>
        <w:rPr>
          <w:rFonts w:ascii="Arial" w:cs="Arial" w:eastAsia="Arial" w:hAnsi="Arial"/>
          <w:sz w:val="18"/>
          <w:szCs w:val="18"/>
          <w:color w:val="auto"/>
        </w:rPr>
        <w:t xml:space="preserve"> receptor (as opposed to H</w:t>
      </w:r>
      <w:r>
        <w:rPr>
          <w:rFonts w:ascii="Arial" w:cs="Arial" w:eastAsia="Arial" w:hAnsi="Arial"/>
          <w:sz w:val="11"/>
          <w:szCs w:val="11"/>
          <w:color w:val="auto"/>
        </w:rPr>
        <w:t>1</w:t>
      </w:r>
      <w:r>
        <w:rPr>
          <w:rFonts w:ascii="Arial" w:cs="Arial" w:eastAsia="Arial" w:hAnsi="Arial"/>
          <w:sz w:val="18"/>
          <w:szCs w:val="18"/>
          <w:color w:val="auto"/>
        </w:rPr>
        <w:t xml:space="preserve"> receptors, H</w:t>
      </w:r>
      <w:r>
        <w:rPr>
          <w:rFonts w:ascii="Arial" w:cs="Arial" w:eastAsia="Arial" w:hAnsi="Arial"/>
          <w:sz w:val="11"/>
          <w:szCs w:val="11"/>
          <w:color w:val="auto"/>
        </w:rPr>
        <w:t>2</w:t>
      </w:r>
      <w:r>
        <w:rPr>
          <w:rFonts w:ascii="Arial" w:cs="Arial" w:eastAsia="Arial" w:hAnsi="Arial"/>
          <w:sz w:val="18"/>
          <w:szCs w:val="18"/>
          <w:color w:val="auto"/>
        </w:rPr>
        <w:t xml:space="preserve"> receptors and H</w:t>
      </w:r>
      <w:r>
        <w:rPr>
          <w:rFonts w:ascii="Arial" w:cs="Arial" w:eastAsia="Arial" w:hAnsi="Arial"/>
          <w:sz w:val="11"/>
          <w:szCs w:val="11"/>
          <w:color w:val="auto"/>
        </w:rPr>
        <w:t>4</w:t>
      </w:r>
      <w:r>
        <w:rPr>
          <w:rFonts w:ascii="Arial" w:cs="Arial" w:eastAsia="Arial" w:hAnsi="Arial"/>
          <w:sz w:val="18"/>
          <w:szCs w:val="18"/>
          <w:color w:val="auto"/>
        </w:rPr>
        <w:t xml:space="preserve"> receptors), is the reason we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believe in pitolisant’s unique MOA and its potential to improve symptoms in patients living with rare neurological diseases, in which impaired histamine signaling is part of the underlying pathophysiology.</w:t>
      </w:r>
    </w:p>
    <w:p>
      <w:pPr>
        <w:spacing w:after="0" w:line="167" w:lineRule="exact"/>
        <w:rPr>
          <w:sz w:val="20"/>
          <w:szCs w:val="20"/>
          <w:color w:val="auto"/>
        </w:rPr>
      </w:pPr>
    </w:p>
    <w:p>
      <w:pPr>
        <w:ind w:left="660" w:right="5220" w:hanging="328"/>
        <w:spacing w:after="0" w:line="252" w:lineRule="auto"/>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Role of histamine in normal physiologic functioning beyond wake promotion (e.g. attention, vigilance, behavior, cognition)</w:t>
      </w:r>
    </w:p>
    <w:p>
      <w:pPr>
        <w:spacing w:after="0" w:line="278" w:lineRule="exact"/>
        <w:rPr>
          <w:rFonts w:ascii="Times New Roman" w:cs="Times New Roman" w:eastAsia="Times New Roman" w:hAnsi="Times New Roman"/>
          <w:sz w:val="18"/>
          <w:szCs w:val="18"/>
          <w:color w:val="auto"/>
        </w:rPr>
      </w:pPr>
    </w:p>
    <w:p>
      <w:pPr>
        <w:ind w:left="660" w:right="5200" w:hanging="328"/>
        <w:spacing w:after="0" w:line="246" w:lineRule="auto"/>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Location of H</w:t>
      </w:r>
      <w:r>
        <w:rPr>
          <w:rFonts w:ascii="Arial" w:cs="Arial" w:eastAsia="Arial" w:hAnsi="Arial"/>
          <w:sz w:val="11"/>
          <w:szCs w:val="11"/>
          <w:color w:val="auto"/>
        </w:rPr>
        <w:t>3</w:t>
      </w:r>
      <w:r>
        <w:rPr>
          <w:rFonts w:ascii="Arial" w:cs="Arial" w:eastAsia="Arial" w:hAnsi="Arial"/>
          <w:sz w:val="18"/>
          <w:szCs w:val="18"/>
          <w:color w:val="auto"/>
        </w:rPr>
        <w:t xml:space="preserve"> receptors in hypothalamus, brainstem, and cerebral cortex account for different functions (and potential symptoms in different disorders)</w:t>
      </w:r>
    </w:p>
    <w:p>
      <w:pPr>
        <w:spacing w:after="0" w:line="2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Limited H</w:t>
      </w:r>
      <w:r>
        <w:rPr>
          <w:rFonts w:ascii="Arial" w:cs="Arial" w:eastAsia="Arial" w:hAnsi="Arial"/>
          <w:sz w:val="11"/>
          <w:szCs w:val="11"/>
          <w:color w:val="auto"/>
        </w:rPr>
        <w:t>3</w:t>
      </w:r>
      <w:r>
        <w:rPr>
          <w:rFonts w:ascii="Arial" w:cs="Arial" w:eastAsia="Arial" w:hAnsi="Arial"/>
          <w:sz w:val="18"/>
          <w:szCs w:val="18"/>
          <w:color w:val="auto"/>
        </w:rPr>
        <w:t xml:space="preserve"> receptor populations outside the CNS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-1430655</wp:posOffset>
            </wp:positionV>
            <wp:extent cx="3180080" cy="2202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8008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continued to seek new indications in rare neurological disease patient populations that have EDS as a prominent symptom, along with other symptoms mediated by CNS histamine signaling. We opened an IND for pitolisant for the treatment of IH in November 2021 and initiated a Phase 3 registrational trial, the INTUNE Study, in April 2022. We are seeing continued strong momentum in the Phase 3 INTUNE Study with approximately 85% of clinical trial sites activated. We opened an IND for pitolisant for the treatment of PWS in November 2019 and completed a Phase 1 PK clinical trial in pediatric patients with PWS in December of 2019. We then initiated a long-term, open-label safety trial in those patients who participated in the Phase 1 PK trial. In December 2020, we initiated a Phase 2 proof-of-concept clinical trial to evaluate pitolisant for the treatment of EDS and other key symptoms in patients with PWS, including behavioral symptoms and cognitive impairment. Topline results from this clinical proof-of-concept trial were reported in November 2022 and showed a positive signal on improvement in the primary outcome related to EDS. We received the full data set from the trial at the end of 2022, which the team is analyzing in preparation for an end-of-phase 2 meeting with the FDA to discuss the trial results. We intend to advance our development program in patients with PWS into a Phase 3 trial. In June 2021, we initiated a Phase 2 clinical trial to evaluate pitolisant for the treatment of EDS, fatigue and cognitive dysfunction in adult patients with DM1 and we anticipate topline results in the fourth quarter of 2023.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Idiopathic Hypersomnia</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IH, like narcolepsy, is another central disorder of hypersomnolence resulting in sleep-wake state instability. It is a rare and chronic neurological disease that is characterized by EDS despite sufficient or even long sleep time. Sleep in patients with IH is not felt to be refreshing, no matter how much sleep they get. People living with IH experience significant EDS along with the symptoms of sleep inertia (prolonged difficulty waking up from sleep) and ‘brain fog’ (impaired cognition, attention, and alertness). Symptoms of IH often begin in the late teens or early twenties but patients often experience a long diagnostic journey and do not receive an accurate diagnosis until reaching their thirties. Based on insurance claims data, the number of patients diagnosed with IH in the US ranges from 30,000 to 40,000.</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Phase 3 double-blind, placebo controlled randomized withdrawal study will evaluate the safety and efficacy of pitolisant compared with placebo in adult patients with IH (ages ≥18 years) The study will consist of an 8-week Open-Label Phase, which includes a 6-week Dose Optimization Period followed by a 2-week Stable Dose Period. Patients determined to be responders at the end of the Stable Dose Period will enter the Double-Blind Randomized Withdrawal Phase of the study for 4 weeks of blinded treatment with pitolisant (at the same dose administered in the Stable Dose Period) or matching placebo. Approximately 200 patients are planned for enrollment in the Open-Label Phase. The primary efficacy endpoint in the study is the change in ESS score from the end of the Stable Dose Period (Week 8) to the end of the 4-week Double-Blind Randomized Withdrawal Phase (Week 12) for pitolisant compared with placebo. Secondary efficacy endpoints will evaluate the effect of pitolisant on other symptoms of IH, including overall burden of disease, sleep-related impairment,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sleep inertia, and cognitive function. Patients who complete the trial will be eligible to participate in an open-label extension phase to assess the long-term safety and effectiveness of pitolisant in adult patients with IH.</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Prader-Willi Syndrome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PWS is a rare genetic disorder caused by a loss of function of specific genes on chromosome 15 resulting in hypothalamic dysfunction and decreased levels of orexin/hypocretin in some patients with PWS. The hypothalamus controls both sleep-wake states and hunger-satiety; therefore, two of the main symptoms in patients with PWS are EDS and hyperphagia. Other features include low muscle tone, short stature, behavioral problems and cognitive impairment. It is estimated that approximately 15,000 to 20,000 people in the United States suffer from PWS, and over half of those suffering from PWS also have reported or experienced EDS. We opened an IND for pitolisant for the treatment of PWS in November 2019 and completed a Phase 1 PK clinical trial in pediatric patients with PWS in December of 2019. We then initiated a long-term, open-label safety trial in those patients who participated in the Phase 1 PK trial. In December 2020, we initiated a Phase 2 proof-of-concept clinical trial to evaluate pitolisant for the treatment of EDS and other key symptoms in patients with PWS, including behavioral symptoms and cognitive impairment. Topline results from this clinical proof-of-concept trial were reported in November 2022 and showed a positive signal on improvement in the primary outcome related to EDS.</w:t>
      </w:r>
    </w:p>
    <w:p>
      <w:pPr>
        <w:spacing w:after="0" w:line="3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PWS poses a heavy burden for both patients and caregivers and there are few therapeutic options available and no FDA-approved treatments for EDS in patients with PWS. Clinical development programs in PWS have focused on hyperphagia, with no other programs focusing on EDS or cognitive function. EDS is thought to have a negative effect on behavior and cognitive function and could exacerbate these symptoms in patients with PWS. In addition, impaired histamine signaling in the brain can contribute to behavioral symptoms and impaired cognition. We believe there is a compelling opportunity for the mechanism of action of pitolisant to impact the EDS component of this disorder as well as other symptoms, such as behavioral issues and cognitive impairment.</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collaborated with the Foundation for Prader-Willi Research (the “FPWR”) to advance our clinical program and underscore our commitment to this patient population. We are members of the FPWR Clinical Trials Consortium and are working with members of its Scientific Advisory Board to gain their insights for our development program. Progress to date includes (i) opening an IND for PWS in October 2019, (ii) completion of a Phase 1 PK trial in patients with PWS in December 2019, with patients actively rolling over into an open-label, long-term safety trial, and (iii) completion of a Phase 2 proof-of-concept clinical trial with topline data reported in November 2022.</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Phase 2 proof-of-concept clinical trial was a randomized, double-blind, placebo-controlled study designed to assess the safety and efficacy of pitolisant in patients with PWS. This proof-of-concept study was not powered to demonstrate statistical significance and was designed for signal detection. The study included patients ages 6 to 65 years and patients were randomized 1:1:1 to low dose pitolisant, high dose pitolisant, or placebo treatment groups. Pitolisant dosing was based on three age cohorts (children 6 to &lt; 12; adolescents 12 to &lt; 18; and adults 18 to 65) and another objective of the study was to evaluate for a dose-response to pitolisant in patients with PWS. The primary endpoint of this study was the evaluation of EDS as measured by change from baseline to end of treatment (EOT) on the Epworth Sleepiness Scale for Children and Adolescents (ESS-CHAD) Parent/Caregiver Version.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Topline study results include:</w:t>
      </w:r>
    </w:p>
    <w:p>
      <w:pPr>
        <w:spacing w:after="0" w:line="212" w:lineRule="exact"/>
        <w:rPr>
          <w:sz w:val="20"/>
          <w:szCs w:val="20"/>
          <w:color w:val="auto"/>
        </w:rPr>
      </w:pPr>
    </w:p>
    <w:p>
      <w:pPr>
        <w:ind w:left="1000" w:right="70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65 patients were enrolled in the trial, 91% of which completed treatment and all but one patient opted to continue into the open-label extension.</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Mean baseline ESS-CHAD (Parent/Caregiver Version) ranged from 14.7 to 15.7.</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Mean change from baseline to EOT on the ESS-CHAD Parent/Caregiver Version scores ranged from -3.7 to</w:t>
      </w:r>
    </w:p>
    <w:p>
      <w:pPr>
        <w:spacing w:after="0" w:line="12" w:lineRule="exact"/>
        <w:rPr>
          <w:rFonts w:ascii="Times New Roman" w:cs="Times New Roman" w:eastAsia="Times New Roman" w:hAnsi="Times New Roman"/>
          <w:sz w:val="18"/>
          <w:szCs w:val="18"/>
          <w:color w:val="auto"/>
        </w:rPr>
      </w:pPr>
    </w:p>
    <w:p>
      <w:pPr>
        <w:ind w:left="1000" w:right="160"/>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-5.5 across all age groups and treatment groups, representing a clinically meaningful change (which is defined as a ≥ 2-point improvement on this scale).</w:t>
      </w:r>
    </w:p>
    <w:p>
      <w:pPr>
        <w:spacing w:after="0" w:line="171" w:lineRule="exact"/>
        <w:rPr>
          <w:rFonts w:ascii="Times New Roman" w:cs="Times New Roman" w:eastAsia="Times New Roman" w:hAnsi="Times New Roman"/>
          <w:sz w:val="18"/>
          <w:szCs w:val="18"/>
          <w:color w:val="auto"/>
        </w:rPr>
      </w:pPr>
    </w:p>
    <w:p>
      <w:pPr>
        <w:ind w:left="1000" w:right="14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 two of the three age groups (children and adults), there was a clinically meaningful difference (minimum of 2 points) between pitolisant and placebo, driven by the high dose pitolisant treatment group.</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line="252"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 the adolescent age group, there was a high placebo response of a magnitude three times that seen in the other two age groups, which resulted in no clinically meaningful difference between pitolisant and placebo in this age group.</w:t>
      </w:r>
    </w:p>
    <w:p>
      <w:pPr>
        <w:spacing w:after="0" w:line="170" w:lineRule="exact"/>
        <w:rPr>
          <w:rFonts w:ascii="Times New Roman" w:cs="Times New Roman" w:eastAsia="Times New Roman" w:hAnsi="Times New Roman"/>
          <w:sz w:val="18"/>
          <w:szCs w:val="18"/>
          <w:color w:val="auto"/>
        </w:rPr>
      </w:pPr>
    </w:p>
    <w:p>
      <w:pPr>
        <w:jc w:val="both"/>
        <w:ind w:left="1000" w:right="80" w:hanging="317"/>
        <w:spacing w:after="0" w:line="252"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 responder analysis (defined as an improvement on the ESS-CHAD Parent/Caregiver Version of ≥ 3-points or a score at EOT of ≤10 for this analysis) showed response rates of 70% in the high dose pitolisant group, 55.6% in the low dose pitolisant group, and 52.6% in the placebo group.</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Overall safety/tolerability profile was consistent with the known safety/tolerability profile of pitolisant.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were reported in 57% of patients on pitolisant and 65% of patients on placebo.</w:t>
      </w:r>
    </w:p>
    <w:p>
      <w:pPr>
        <w:spacing w:after="0" w:line="224" w:lineRule="exact"/>
        <w:rPr>
          <w:rFonts w:ascii="Times New Roman" w:cs="Times New Roman" w:eastAsia="Times New Roman" w:hAnsi="Times New Roman"/>
          <w:sz w:val="18"/>
          <w:szCs w:val="18"/>
          <w:color w:val="auto"/>
        </w:rPr>
      </w:pPr>
    </w:p>
    <w:p>
      <w:pPr>
        <w:ind w:left="1000" w:right="68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Treatment-related adverse events were reported in 26% of patients on pitolisant and 30% of patients on placebo.</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There was one serious adverse event in a patient in the placebo treatment group.</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These results represent the initial topline data. We received the full data set from the trial at the end of 2022, which the team is analyzing in preparation for an end-of-phase 2 meeting with the FDA to discuss the trial results. We intend to advance our development program in patients with PWS into a Phase 3 trial and to present the full results of the Phase 2 proof-of-concept trial at a future medical meeting and submit the results for publication in a scientific journal.</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Myotonic Dystrophy</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DM is a rare, multi-system genetic disease that affects the neuromuscular system as well as several other systems. The primary symptom in patients with DM is myotonia, which is an impairment in the ability of muscles to relax; progressive muscle weakness is another prominent symptom of the disorder. It is inherited in an autosomal dominant pattern and there are two main types: DM1 and DM2. The underlying cause of DM1 is a mutation in the DMPK gene on chromosome 19. DM1 is the most common form of adult-onset muscular dystrophy and affects as many as 160,000 patients in the United States. EDS and fatigue are hallmark clinical characteristics in the majority of patients with DM1 and are referred to as the most frequent non-muscular symptoms in patients with DM1. EDS and fatigue occur in approximately 80% to 90% of patients with DM1. Cognitive impairment is also a prominent symptom in patients with DM1 and all of these symptoms are thought to be mediated through H</w:t>
      </w:r>
      <w:r>
        <w:rPr>
          <w:rFonts w:ascii="Arial" w:cs="Arial" w:eastAsia="Arial" w:hAnsi="Arial"/>
          <w:sz w:val="12"/>
          <w:szCs w:val="12"/>
          <w:color w:val="auto"/>
        </w:rPr>
        <w:t>3</w:t>
      </w:r>
      <w:r>
        <w:rPr>
          <w:rFonts w:ascii="Arial" w:cs="Arial" w:eastAsia="Arial" w:hAnsi="Arial"/>
          <w:sz w:val="18"/>
          <w:szCs w:val="18"/>
          <w:color w:val="auto"/>
        </w:rPr>
        <w:t xml:space="preserve"> receptors and histaminergic pathways located throughout the CNS. DM2 is not as common as DM1 with an estimated prevalence of between 3,000 and 29,000 patients in the United States. The underlying cause of DM2 is a mutation in the CBNP gene on chromosome 3. Patients with DM1 and DM2 share similar phenotypes but disease onset is later in patients with DM2 and symptoms tend to be milder. There are currently no FDA-approved treatments for patients with DM, which represents a significant unmet medical need.</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therapeutic application of pitolisant may provide benefits across the key symptoms of EDS and fatigue which are often among the chief complaints of patients with DM. In a survey of 451 DM1 patients, daytime sleepiness and fatigue were second only to muscle weakness in symptom prevalence and impact. Our clinical program is designed to demonstrate effect on measures of EDS and fatigue, as well as assess performance related to cognitive function, such as attention, vigilance and working memory. Progress to date includes working with key opinion leaders to develop the scientific rationale for the investigation of pitolisant in patients with DM, development of a Phase 2 clinical protocol, submission of an IND at the end of 2020, the opening of an IND in January 2021, and initiation of a Phase 2 proof-of-concept clinical trial in adult patients with DM1 in June of 2021, from which we anticipate topline results in the fourth quarter of 2023.</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Phase 2 proof-of-concept clinical trial is a randomized, double-blind, placebo-controlled trial to assess the safety and efficacy of pitolisant in adult patients with DM1 ages 18 to 65. It is not powered to demonstrate statistical significance and is designed for signal detection. An estimated 75 to 80 patients will be enrolled at approximately 20 to 22 sites across the United States and Canada. Patients will be randomized to low-dose pitolisant, high-dose pitolisant, or placebo in a 1:1:1 treatment ratio and titrated over three weeks up to their randomized dose, followed by eight weeks of stable dosing. The primary trial objective is to assess for improvement in EDS as measured by the ESS. Secondary endpoints include assessments of fatigue as well as specific measures of cognitive function using validated computer-based assessments. Clinician and patient global impression of disease severity using the CGI-S and PGI-S, respectively, will be measured as well as disease-specific patient assessments of overall disease burden. Plasma samples will be collected 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generate pharmacokinetic data and a PK/PD analysis will be performed. Patients who complete the trial will be eligible to participate in an open-label extension phase to assess the long-term safety and effectiveness of pitolisant in adult patients with DM1, which will run throughout the duration of the DM development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Label Expansion of WAKIX in Narcolepsy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Pediatric Narcolepsy</w:t>
      </w:r>
    </w:p>
    <w:p>
      <w:pPr>
        <w:spacing w:after="0" w:line="212"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Approximately 5% of diagnosed narcolepsy patients (approximately 3,600 patients) are under the age of 18 years. Symptoms often have a more profound effect in children, resulting in reduced function and greater psychological impact. Until the fourth quarter of 2018, no treatments were approved for pediatric patients with narcolepsy, at which time Xyrem received an expanded indication for the treatment of cataplexy or EDS in patients seven years of age or older with narcolepsy. Xywav (low sodium formulation of Xyrem) received the same indication in July 2020.</w:t>
      </w:r>
    </w:p>
    <w:p>
      <w:pPr>
        <w:spacing w:after="0" w:line="16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are working with our partner Bioprojet in consideration of gaining a pediatric indication for both EDS and cataplexy. On January 26, 2023, Bioprojet received a positive opinion from the EMA’s CHMP with an approval for a pediatric narcolepsy indication expected by the EMA within 60 days of the positive CHMP opinion. We are working with Bioprojet on a path forward towards the submission to the FDA of a supplemental NDA for pediatric narcolepsy.</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Pediatric Exclusivity</w:t>
      </w:r>
    </w:p>
    <w:p>
      <w:pPr>
        <w:spacing w:after="0" w:line="21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We continue to pursue pediatric exclusivity, and we recently received feedback from the FDA regarding our request for a PWR. We plan to prepare a PPSR for submission to the FDA in order to align with the agency, in pursuit of pediatric exclusivity for WAKIX.</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 our pipeline through acquisition of additional assets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Pitolisant Assets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On July 31, 2022, we entered into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(see “Strategic Agreements” below). The 2022 LCA will expand our opportunity in narcolepsy, and potentially other indications mutually agreed upon by the parties.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HBS-102</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2021, we acquired HBS-102 along with intellectual property and other assets related to the development, manufacture, and commercialization of the Compound from ConSynance Therapeutics, Inc. We acquired full development and commercialization rights globally, but we have provided a grant-back license to ConSynance for the development and commercialization of the Compound in Greater China. HBS-102 is a Melanin-concentrating hormone (“MCH”) receptor 1 (MCHR1) antagonist and a potential first-in-class molecule with a novel mechanism of action. MCH neurons are located in the hypothalamus and are involved in the regulation of feeding behavior, energy metabolism and control of REM sleep, among other centrally mediated functions. We are currently conducting a preclinical proof-of-concept study to assess the impact of HBS-102 on hyperphagia, weight gain, and other metabolic parameters in a knockout mouse model of PWS.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industry is highly competitive and subject to rapid and significant change as research provides a deeper understanding of rare neurological disorders, including narcolepsy, and as new therapies are developed. We face potential competition from multiple sources, including large pharmaceutical, biotechnology and specialty pharmaceutical companies. The key competitive factors affecting the success of WAKIX, and any other product candidates that we develop, if approved, are likely to be efficacy, safety, convenience, price, the level of generic competition and the availability of reimbursement from government and other third-party payors.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WAKIX competes with currently FDA-approved products for the treatment of EDS or cataplexy in adult patients with narcolepsy, all of which are controlled substances. Jazz Pharmaceuticals’ Xyrem (sodium oxybate) is an FDA-approved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product for the treatment of cataplexy or EDS in patients 7 years of age and older with narcolepsy. Xyrem is a Schedule III controlled substance available only through a restricted access REMS program. Xywav, a lower sodium formulation of Xyrem, was approved in July 2020, (became commercially available in November 2020), and is also a Schedule III controlled substance subject to the same restricted access REMS program as Xyrem. Provigil and Nuvigil, which are Schedule IV WPAs, and stimulants such as methylphenidate and amphetamine (both Schedule II controlled substances), are approved for the treatment of EDS in narcolepsy. Anti-depressants and certain other agents are sometimes used off-label for the treatment of cataplexy in narcolepsy. Axsome’s Sunosi (solriamfetol) was approved by the FDA in March 2019 and launched in July 2019. Sunosi (solriamfetol) is a Schedule IV controlled substance and is indicated to improve wakefulness in adult patients with EDS associated with narcolepsy or obstructive sleep apnea. It is not indicated for cataplexy in patients with narcolepsy. Additionally, Avadel Pharmaceuticals is working on a once nightly formulation version of sodium oxybate, with approval expected in 2023 or beyond. As of January 2023, Xyrem is now available as generic sodium oxybate marketed by Hikma Pharmaceuticals through their agreement with Jazz Pharmaceuticals, and other potential future competitive products are currently in development, including Axsome Therapeutics’ AXS-12 (reboxetine) product candidate, Suven Life Sciences’ SUVN-G3031 H3 inverse agonist product candidate, NLS Pharmaceutics mazindol ER product candidate and orexin 2 receptor agonist product candidates from Takeda, Jazz Pharmaceuticals/Sumitomo Pharma and Alkermes among others.</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believe WAKIX offers a meaningfully differentiated product profile that is competitive with each of the products listed above, some of which are only approved for EDS while others (Xyrem and Xywav) are approved for the treatment of both EDS or cataplexy in patients with narcolepsy. It should be noted that WAKIX has not been compared with these products in head-to-head clinical trials, but its non-scheduled status represents a distinct competitive advantage relative to those same products. Additionally, WAKIX is priced lower than Xyrem and Xywav, which we believe is a competitive advantage for WAKIX and may contribute to third-party payor preferences for WAKIX relative to Xyrem and Xywav. Conversely, WAKIX is priced higher than other competitors such as Provigil (modafinil), Nuvigil, Sunosi (armodafinil) and certain generic competitors, such as methylphenidate and amphetamine, which may contribute to third-party payor preferences for those lower-priced treatment options relative to WAKIX.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Distribution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sell WAKIX to our customers, a limited number of specialty distributors, that, in turn, distribute WAKIX to patients. We do not currently own or operate facilities for product manufacturing, storage and distribution, or testing, we have contracted directly with third parties for each of these functions.</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Manufacturing is subject to extensive regulation that imposes various procedural and documentation requirements that govern record keeping, manufacturing processes and controls, personnel, quality control and quality assurance, and more. Our systems and our contractors are required to be in compliance with these regulations, and compliance is assessed regularly through monitoring of performance and a formal audit program.</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Our current supply chain for WAKIX involves several manufacturers that specialize in specific operations of the manufacturing process, specifically, intermediate and starting material manufacturing, drug substance manufacturing, and drug product manufacturing, labeling and secondary packaging, and distribution services:</w:t>
      </w:r>
    </w:p>
    <w:p>
      <w:pPr>
        <w:spacing w:after="0" w:line="169" w:lineRule="exact"/>
        <w:rPr>
          <w:sz w:val="20"/>
          <w:szCs w:val="20"/>
          <w:color w:val="auto"/>
        </w:rPr>
      </w:pPr>
    </w:p>
    <w:p>
      <w:pPr>
        <w:ind w:left="1000" w:right="128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Interor S.A. manufactures our BF4 and BF6 intermediate and starting material used in the active pharmaceutical ingredient (“API”).</w:t>
      </w:r>
    </w:p>
    <w:p>
      <w:pPr>
        <w:spacing w:after="0" w:line="154" w:lineRule="exact"/>
        <w:rPr>
          <w:rFonts w:ascii="Times New Roman" w:cs="Times New Roman" w:eastAsia="Times New Roman" w:hAnsi="Times New Roman"/>
          <w:sz w:val="18"/>
          <w:szCs w:val="18"/>
          <w:color w:val="auto"/>
        </w:rPr>
      </w:pPr>
    </w:p>
    <w:p>
      <w:pPr>
        <w:ind w:left="1000" w:right="18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Corden Pharma Chenôve SAS, a full-service contract development and manufacturing organization (“CDMO”) manufactures our API.</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Patheon UK Limited, a CDMO owned by Thermo Fisher Scientific Inc., manufactures our finished product tablets and fills them into unlabeled bottles.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Pharma Packaging Solutions, LLC dba Tjoapack, LLC, handles our labeling and secondary packaging.</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Integrated Commercialization Solutions, LLC (ICS), a division of AmerisourceBergen Corporation, is our third-party logistics provider.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20" w:hanging="317"/>
        <w:spacing w:after="0" w:line="270" w:lineRule="auto"/>
        <w:tabs>
          <w:tab w:leader="none" w:pos="10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Inmar Rx Solutions, Inc., an advanced technology and data analytics company, specializes in reverse distribution of our product and manages our pharmaceutical returns and product recall, if needed.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Suppliers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For the year ended December 31, 2022, three customers accounted for 100% of gross product revenues; Caremark LLC accounted for 42% of gross product revenues; PANTHERx Specialty Pharmacy LLC accounted for 29% of gross product revenues; and Accredo Health Group, Inc. accounted for 29% of gross product revenues. We also depend on a single source supplier for our product, product candidates and active pharmaceutical ingredient.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Commercialization Agreements with Bioprojet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July 2017, we and Bioprojet entered into the Bioprojet License Agreement (the “2017 LCA”). Bioprojet granted to us an exclusive license to commercialize, in the United States and its territories, commonwealths, and protectorates, including Puerto Rico, a product containing pitolisant currently known as WAKIX for narcolepsy, obstructive sleep apnea, idiopathic hypersomnia, Parkinson’s disease, and any other indication agreed upon by the parties which currently include PWS and DM (“the field”), as well as rights to related patent rights, know-how, trademarks, trade dress, regulatory filings and approvals (the “Bioprojet Assets”). Bioprojet also granted us a co-exclusive (with Bioprojet) license to Bioprojet Assets to clinically develop and register the pitolisant product in the field in the United States. Bioprojet retains the right to manufacture the product in the United States, and to develop outside the United States and commercialize other products that contain pitolisant as an active ingredient anywhere in the world. Bioprojet also granted us an exclusive license to use certain trademarks and trade names in connection with the commercialization of the product under the Bioprojet License Agreement. Under the 2017 LCA, we cannot, directly or indirectly, develop, market, sell, promote or file an NDA with respect to any product that would compete with pitolisant in the field.</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paid Bioprojet an initial license fee of $150.0 million, a milestone payment of $ 50.0 million upon FDA acceptance of the NDA in February 2019, and a milestone payment of $75.0 million plus an additional $2.0 million fee for approval of the NDA in November 2019. In October 2020, we paid $2.0 million Bioprojet to extend the Cataplexy Milestone Payment due date to within 90 days. In January 2021, we made the $100.0 million Cataplexy Milestone Payment in full to Bioprojet. The final milestone payment of $ 40.0 million was paid to Bioprojet in March 2022 upon the attainment of aggregate net sales of WAKIX in the United States of $500.0 million subsequent to the date of NDA approval by the FDA. Pursuant to the 2017 LCA, we agreed to pay royalties on the net sales of the product at tiered royalty rates of 13% to 24% based on annual total net sales during the period commencing on first commercial sale of the product and ending on the latest of 10 years from first commercial sale of the product, expiration of all regulatory exclusivity, or expiration of the last Bioprojet patent covering the product. Such royalty payments are subject to reductions based on royalties paid to any third party in order for us to commercialize the product. We also agreed to pay royalties on net sales of the product at a rate of 3% in consideration for a trademark license based on net sales for 20 years after first commercial sale of the product. We further agreed to pay minimum royalties during the third through tenth year of the Bioprojet License Agreement if the product is approved for narcolepsy to the extent such minimum royalties exceed the royalties payable as described above, which minimum amounts were calculated based on sales materially below our sales forecast.</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2017 LCA will continue until the expiration of the obligation to pay royalties with respect to the product. We and Bioprojet may each terminate the 2017 LCA for a material breach by the other party that remains uncured for 90 days. Bioprojet may terminate the 2017 LCA in its entirety if we or our sublicensees challenge the licensed patents. In addition, we and Bioprojet have the right to terminate the 2017 LCA upon the other party’s insolvency.</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We paid an initial, non-refundable $ 30.0 million licensing fee in October 2022 and additional payments of up to $155.0 million are potentially due under the 2022 LCA upon the achievement of certain development and sales-based milestones. In addition, certain payments will become due upon the achievement of development milestones for new indications and formulations as agreed upon by both parties. The 2022 LCA also requires a fixed trademark royalty and a tiered royalty based on net sales upon commercialization, payable to Bioprojet on a quarterly basis for 10 years from the first commercial sale of each new product, the expiration of all regulatory exclusivity, or the expiration of the last Bioprojet patent covering the products. Upon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closing of the 2022 LCA on September 28, 2022, the $30.0 million licensing fee was recorded in research and development expenses within the consolidated statement of operations and comprehensive income (loss) for the year ended December 31, 2022.</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2022 LCA will continue until the expiration of the obligation to pay royalties with respect to each new product. Either party may terminate the 2022 LCA for a material breach by the other party that remains uncured for 90 days. Bioprojet may terminate the 2022 LCA in its entirety if we or our sublicensees challenge the licensed patents. In addition, we and Bioprojet have the right to terminate the 2022 LCA upon the other party’s insolvency.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Intellectual property, including patents, trade secrets, trademarks and copyrights, is important to our business. Our commercial success depends in part on our ability to obtain and maintain proprietary intellectual property protection for our WAKIX product and potential future pitolisant-based products,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U.S. and foreign patents and applications relating to our technology, inventions, and improvements that are important to the development and implementation of our business.</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WAKIX patent portfolio is comprised of three U.S. patents exclusively licensed to us from Bioprojet under the 2017 LCA. One U.S. patent, No. 8,207,197, which has claims directed to a polymorph, i.e., a specific crystalline form, of pitolisant and, methods for preparing that polymorph of pitolisant, is expected to expire in March 2030 based on a granted request for patent term extension, but without taking into consideration any possible pediatric exclusivity. A second U.S. patent, No. 8,486,947, has claims directed to methods of treating excessive daytime sleepiness by administering pitolisant, which is expected to expire in September 2029 without taking into consideration any possible patent term extension.</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HBS-102 patent portfolio comprises three patent families. The first patent family includes U.S. patent No. 8,637,501, which has claims to certain melanin-concentrating hormone (MCH-1) receptor antagonists as compositions of matter, as well as methods of making the antagonists, and methods of use for treating obesity, anxiety, and depression, and processes for preparing the compounds, which is expected to expire in April 2031 without taking into consideration any possible patent term extension. A second patent family comprises three issued U.S. patents (Nos. 8,716,308; 9,296,743; and 9,650,378), and issued patents in Australia, Brazil, Canada, China, Germany, Spain, France, the United Kingdom, Israel, Italy, Japan, Korea, Mexico, and New Zealand. The patents have claims directed to certain human MCH-1 receptor-selective antagonists as compositions of matter, and are expected to expire in June 2031 (the ‘308 patent) and January 2029 (the ‘743 and ‘378 patents, as well as the international patents). The third patent family comprises a pending PCT application (WO2021/142395) and has claims directed to therapeutic combinations or formulations of drugs comprising triple monoamine reuptake inhibitors, MCH receptor 1 (MCHR1) antagonists, and diazoxide, and methods of treating or preventing hyperphagia, moderate to severe binge eating disorder, bulimia nervosa, and management of obesity.</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term of individual patents in our portfolio depends upon the legal term of patents in the countries in which they are obtained. In the United States, the patent term is 20 years from the earliest date of filing a non-provisional patent application. The term of a U.S. patent may be eligible for patent term adjustment, which permits patent term restoration as compensation for delays incurred at the U.S. Patent and Trademark Office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Changes in either the patent laws or their interpretation in the United States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enforcing patent claims that cover our technology, inventions and improvements. We cannot guarantee that patents will be granted with respect to any patent applications we may file in the future, nor can we be sure that any patents that may be granted to us in the future will be commercially useful in protecting our products, the methods of use or</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manufacture of those products. Moreover, issued patents do not guarantee the right to practice our technology in relation to the commercialization of our products. Issued patents only allow us to block potential competitors from practicing the claimed inventions of the issued patents.</w:t>
      </w:r>
    </w:p>
    <w:p>
      <w:pPr>
        <w:spacing w:after="0" w:line="1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and/or our licensor also rely on protections under trade secret laws, and seek to protect and maintain the confidentiality of proprietary information to protect aspects of our business that are not amenable to, or that we do not consider appropriate for, patent protection. Our trade secrets include, for example, certain program specific synthesis, formulations, patient selection strategies and certain aspects of our research.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Drug Development Process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United States, the FDA regulates drugs under the Federal Food, Drug, and Cosmetic Act (the “FDCA”) and its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660" w:firstLine="648"/>
        <w:spacing w:after="0" w:line="271" w:lineRule="auto"/>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54" w:lineRule="exact"/>
        <w:rPr>
          <w:sz w:val="20"/>
          <w:szCs w:val="20"/>
          <w:color w:val="auto"/>
        </w:rPr>
      </w:pPr>
    </w:p>
    <w:p>
      <w:pPr>
        <w:ind w:left="1000" w:right="20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(“GLP”) regulations;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4" w:lineRule="exact"/>
        <w:rPr>
          <w:rFonts w:ascii="Times New Roman" w:cs="Times New Roman" w:eastAsia="Times New Roman" w:hAnsi="Times New Roman"/>
          <w:sz w:val="18"/>
          <w:szCs w:val="18"/>
          <w:color w:val="auto"/>
        </w:rPr>
      </w:pPr>
    </w:p>
    <w:p>
      <w:pPr>
        <w:ind w:left="1000" w:right="54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(“IRB”) at each clinical site before each trial may be initiated;</w:t>
      </w:r>
    </w:p>
    <w:p>
      <w:pPr>
        <w:spacing w:after="0" w:line="154" w:lineRule="exact"/>
        <w:rPr>
          <w:rFonts w:ascii="Times New Roman" w:cs="Times New Roman" w:eastAsia="Times New Roman" w:hAnsi="Times New Roman"/>
          <w:sz w:val="18"/>
          <w:szCs w:val="18"/>
          <w:color w:val="auto"/>
        </w:rPr>
      </w:pPr>
    </w:p>
    <w:p>
      <w:pPr>
        <w:jc w:val="both"/>
        <w:ind w:left="1000" w:right="46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(“GCP”) requirements to establish the safety and efficacy of the proposed drug product for each indication;</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including consideration of the views of any FDA advisory committee, prior to commercial marketing or sale of the drug in the United States; and</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any post-approval requirements, including the potential requirement to implement a REMS program or to conduct a post-approval study.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Preclinical Studies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As a result, submission of an IND may not result in the FDA allowing clinical trials to commence.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Clinical Trials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NIH for public dissemination on their www.clinicaltrials.gov website.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12" w:lineRule="exact"/>
        <w:rPr>
          <w:sz w:val="20"/>
          <w:szCs w:val="20"/>
          <w:color w:val="auto"/>
        </w:rPr>
      </w:pPr>
    </w:p>
    <w:p>
      <w:pPr>
        <w:jc w:val="both"/>
        <w:ind w:left="1000" w:right="20" w:hanging="317"/>
        <w:spacing w:after="0" w:line="252"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 There are also requirements governing the reporting of ongoing clinical trials and completed trial results to public registries.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Approval</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Specifically,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and quality.</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FDA also may require submission of a REMS to ensure that the benefits of the drug outweigh its risks. The REMS could include medication guides, physician communication plans, assessment plans, and/or elements to assure safe use, such as restricted distribution methods, patient registries, or other risk minimization tools.</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recommendation as to whether the application should be approved and under what conditions. The FDA is not bound by the recommendations of an advisory committee, but it considers such recommendations carefully when making decisions.</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FDA Expedited Development and Review Programs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FDA has various programs, including fast track designation, accelerated approval priority review, and breakthrough therapy designation,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The FDA may review sections of the NDA for a fast track product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Under the new PDUFA agreement, these six and ten 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may also be considered appropriate to receive a priority review.</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Moreover, under the provisions of the Food and Drug Administration Safety and Innovation Act (“FDASIA”) passed in July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 The designation includes all of the benefits of a fast track designation. The breakthrough therapy designation is a distinct status from both accelerated approval and priority review, which can also be granted to the same drug if relevant criteria are met.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and breakthrough therapy designation do not change the standards for approval, but may expedite the development or approval process.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Post-Approval Requirements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9" w:lineRule="exact"/>
        <w:rPr>
          <w:sz w:val="20"/>
          <w:szCs w:val="20"/>
          <w:color w:val="auto"/>
        </w:rPr>
      </w:pPr>
    </w:p>
    <w:p>
      <w:pPr>
        <w:ind w:left="1000" w:right="20" w:hanging="317"/>
        <w:spacing w:after="0" w:line="270" w:lineRule="auto"/>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safety alerts, Dear Healthcare Provider letters, press releases or other communications containing warning or other safety information about the product;</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post-approval clinical trials;</w:t>
      </w:r>
    </w:p>
    <w:p>
      <w:pPr>
        <w:spacing w:after="0" w:line="224" w:lineRule="exact"/>
        <w:rPr>
          <w:rFonts w:ascii="Times New Roman" w:cs="Times New Roman" w:eastAsia="Times New Roman" w:hAnsi="Times New Roman"/>
          <w:sz w:val="18"/>
          <w:szCs w:val="18"/>
          <w:color w:val="auto"/>
        </w:rPr>
      </w:pPr>
    </w:p>
    <w:p>
      <w:pPr>
        <w:ind w:left="1000" w:right="40" w:hanging="317"/>
        <w:spacing w:after="0" w:line="270" w:lineRule="auto"/>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Exclusivity</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Market exclusivity provisions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clinical trials in children in response to a written request from the FDA. The issuance of a written request does not require the sponsor to undertake the described clinical trials.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Orphan Drug Designation and Exclusivity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(i) affects fewer than 200,000 individuals in the United States, or (ii)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an NDA. After the FDA grants an orphan drug designation, the generic identity of the therapeutic agent and its potential orphan use are disclosed publicly by the FDA. Orphan designation does not convey any advantage in, or shorten the duration of, the regulatory review and approval process.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Among other benefits of an orphan drug designation are tax credits for certain research and a waiver of the user fee for the NDA.</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received an orphan designation for pitolisant for the treatment of EDS in adult patients with narcolepsy and, upon approval of WAKIX, we received orphan exclusivity until 2026. We also received an orphan designation for pitolisant for the treatment of cataplexy in adult patients with narcolepsy and we received orphan exclusivity until 2027.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Controlled Substances Act of 1970 (“CSA”) establishes registration, security, recordkeeping, reporting, storage, distribution and other requirements administered by the DEA. The DEA is concerned with the control of handlers of controlled substances, and with the equipment and raw materials used in their manufacture and packaging, in order to prevent loss and diversion into illicit channels of commerce.</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FDA did not recommend that the DEA schedule WAKIX as a controlled substance, and WAKIX is therefore not scheduled as a controlled substance by the DEA.</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authorization and notification requirements apply to imports and exports.</w:t>
      </w:r>
    </w:p>
    <w:p>
      <w:pPr>
        <w:spacing w:after="0" w:line="1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addition, a DEA quota system controls and limits the availability and production of controlled substances in Schedule I or II. Distributions of any Schedule I or II controlled substance must also be accompanied by special order forms, with copies provided to the DEA. The DEA may adjust aggregate production quotas and individual production and procurement quotas from time to time during the year, although the DEA has substantial discretion in whether or not to make such adjustments. To meet its responsibilities, the DEA conducts periodic inspections of registered establishments that handle controlled substances. Individual states also regulate controlled substances.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to FDA regulation of pharmaceutical products, pharmaceutical companies are subject to federal healthcare laws and regulations as well as regulation by the states and foreign jurisdictions in which they conduct their business that restrict business practices in the pharmaceutical industry. These laws may impact, among other things, our current and future business operations, including our clinical research activities, and proposed sales, marketing and education programs and constrain the business or financial arrangements and relationships with healthcare providers and other parties through which we market, sell and distribute our products for which we obtain marketing approval. These laws include U.S. federal and state anti-kickback and false claims laws, civil monetary penalties laws, consumer protection and transparency laws as well as similar foreign laws in the jurisdictions outside the U.S., including, without limitation, those laws described below.</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federal civil and criminal false claims laws, including the civil False Claims Act,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civil False Claims Act and the civil monetary penalties statute. The False Claims Act also permits a private individual acting as a “whistleblower” to bring actions on behalf of the federal government alleging violations of the False Claims Act and to share in any monetary recovery.</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 Federal government price reporting laws require manufacturers to calculate and report complex pricing metrics to government programs.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federal Health Insurance Portability and Accountability Act of 1996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w:t>
      </w:r>
    </w:p>
    <w:p>
      <w:pPr>
        <w:sectPr>
          <w:pgSz w:w="11900" w:h="16838" w:orient="portrait"/>
          <w:cols w:equalWidth="0" w:num="1">
            <w:col w:w="9920"/>
          </w:cols>
          <w:pgMar w:left="980" w:top="661" w:right="99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specific exceptions, to report annually to the Centers for Medicare &amp; Medicaid Services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these reporting obligations will extend to include payments and transfers of value made during the previous year to physician assistants, nurse practitioners, clinical nurse specialists, certified registered nurse anesthetists and anesthesiologist assistants, and certified nurse midwives.</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 To the extent that any of our products are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Department of Health and Human Services (“HHS”), affected individuals and if the breach is large enough, the media. Entities that are found to be in violation of HIPAA as the result of a breach of unsecured protected health information (“PHI”), a complaint about privacy practices or an audit by the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may be more stringent, broader in scope or offer greater individual rights with respect to PHI than HIPAA, many of which may differ from each other, thus, complicating compliance efforts. Failure to comply with these laws, where applicable, can result in the imposition of significant civil and/or criminal penalties and private litigation. For example, California recently enacted legislation, the California Consumer Privacy Act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breach. Although the law includes limited exceptions, including for “protected health information” maintained by a covered entity or business associate, it may regulate or impact our processing of personal information depending on the context.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Europe, the General Data Protection Regulation (“GDPR”), went into effect in May 2018 and imposes stringent data protection requirements for controllers and processors of personal data of persons within the European Economic Area (“EEA”). The GDPR applies to any company established in the EEA as well as to those outside the EEA if they collect and use personal data in connection with the offering of goods or services to individuals in the EEA or the monitoring of their behavior. The GDPR, together with national legislation, regulations and guidelines of the EEA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GDPR (“UK GDPR”) which, together with the amended UK Data Protection Act 2018, retains the GDPR in UK national law. The UK GDPR mirrors the fines under the GDPR, e.g. fines up to the greater of €20 million (£ 17.5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 European data protection authorities may interpret the GDPR, UK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Furthermore, there can be no assurance that a product will be considered medically reasonable and necessary for a specific indication, that a product will be considered cost-effective by third-party payors, that an adequate level of reimbursement will be established even if coverage is available or that the third-party payors’ reimbursement policies will not adversely affect the ability to sell a product profitably.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and significantly affected the pharmaceutical industry. The ACA contains a number of provisions, including those governing enrollment in federal healthcare programs, reimbursement adjustments and fraud and abuse changes. Additionally, the ACA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pursuant to the Bipartisan Budget Act of 2018,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18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Since its enactment, there have been judicial, executive and Congressional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Other legislative changes have also been proposed and adopted since the ACA was enacted, including aggregate reductions of Medicare payments to providers of 2% per fiscal year, which was temporarily suspended from May 1, 2020 through December 31, 2022 under the Coronavirus Aid, Relief and Economic Security Act (“CARES Act”), and further reduced payments to several types of Medicare providers.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 an attempt to control drug costs.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“Inflation Reduction Act of 2022”, signed into law on August 16, 2022, included several provisions to reduce drug spending by the federal government and reduce out-of-pocket costs for patients on Medicare. This legislation requires that the federal government negotiate prices for some drugs covered under Medicare Part B and Part D with the highest total spending, beginning in 2026. It also requires manufacturers to pay rebates back to the federal government if the price of their medications for Medicare beneficiaries rises faster than inflation. The legislation also placed a cap on out-of-pocket costs for Medicare Part D enrollees and shifted the cost of supplying these medications to manufacturers and plans. Eligibility for the Medicare Part D Low-Income Subsidy Program was also expanded under the legislation, and it further delayed the implementation of the Trump Administration’s drug rebate rule to 2027.</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corporate headquarters are located at 630 W. Germantown Pike Plymouth Meeting, Pennsylvania. In December 2020, we leased additional office space at this same location, which increased our footprint to approximately 28,638 square feet of office space. As of December 31, 2022, 68 of our employees are located at our corporate headquarters. Pursuant to our Right of Use Agreement with Paragon, we also utilize office space at 330 N. Wabash Ave, Suite 3500, Chicago, Illinois 60611, where approximately eight of our employees are located.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As of December 31, 2022, we have 200 full-time employees, 107 of whom are dedicated to commercial functions, which includes sales, marketing, market access, commercial operations, and insights, and 44 of whom are dedicated to research and development. None of our employees are represented by labor unions or covered by collective bargaining agreements. We consider our relationship with our employees to be good.</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Social responsibility has always been integral to our core values. We are committed to doing business with integrity and ethics. We focus on providing our employees safe and healthy working conditions, and actively participate in the communities where we are located. In addition, we support philanthropic organizations, patient-focused associations, local and national charitable organizations, and areas of need across the country by providing monetary donations or supplying food, medical supplies and other resources. We collaborate with patient advocacy organizations to understand the needs of patients living with rare, neurological disorders including narcolepsy, and are committed to addressing those needs.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environmental, social and governance (”ESG”) and social impact strategy is directed by our Board and overseen by management and a cross-functional executive team comprised of Legal, Compliance, Human Resources, Corporate Affairs and Investor Relations. Our Board of Directors, through our Nominations and Governance Committee, has oversight over our strategic process. We conducted a materiality assessment, including engaging internal stakeholders and reviewing external standards, to inform the creation of an ESG framework, and set our goals and targets to address industry trends, laws and regulations, and stakeholder expectations. We will regularly evaluate our performance in meeting those goals. We may also engage with external organizations and experts to benchmark performance and identify best practices.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principal executive offices are located at 630 W. Germantown Pike, Plymouth Meeting, PA 19462, and our telephone number is (484) 539-9800. Our internet website is www.harmonybiosciences.com. We routinely make important information available on our website, including copies of our Annual Reports on Form 10-K, Quarterly Reports on Form 10-Q, Current Reports on Form 8-K and amendments to those reports filed or furnished pursuant to Section 13(a) or 15(d) of the Exchange Act, as soon as reasonably practicable after such reports are electronically filed with, or furnished to, the SEC.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Annual Report on Form 10-K, and any website references are not intended to be made through active hyperlinks.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included or incorporated by reference in this Annual Report on Form 10-K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on Form 10-K also contains forward-looking statements that involve risks and uncertainties. See “Part I—Cautionary Note Regarding Forward-Looking Statements.” Our actual results could differ materially and adversely from those anticipated in these forward-looking statements as a result of certain factors, including those set forth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numerous risks and uncertainties. You should carefully consider these risks and uncertainties when investing in our securities. The principal risks and uncertainties affecting our business include the following:</w:t>
      </w:r>
    </w:p>
    <w:p>
      <w:pPr>
        <w:spacing w:after="0" w:line="169" w:lineRule="exact"/>
        <w:rPr>
          <w:sz w:val="20"/>
          <w:szCs w:val="20"/>
          <w:color w:val="auto"/>
        </w:rPr>
      </w:pPr>
    </w:p>
    <w:p>
      <w:pPr>
        <w:ind w:left="1000" w:right="120" w:hanging="317"/>
        <w:spacing w:after="0" w:line="252"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our ability to successfully commercialize WAKIX, which is currently our only approved product. If we are unable to successfully commercialize WAKIX, our ability to generate revenue and our financial condition will be adversely affected.</w:t>
      </w:r>
    </w:p>
    <w:p>
      <w:pPr>
        <w:spacing w:after="0" w:line="170" w:lineRule="exact"/>
        <w:rPr>
          <w:rFonts w:ascii="Times New Roman" w:cs="Times New Roman" w:eastAsia="Times New Roman" w:hAnsi="Times New Roman"/>
          <w:sz w:val="18"/>
          <w:szCs w:val="18"/>
          <w:color w:val="auto"/>
        </w:rPr>
      </w:pPr>
    </w:p>
    <w:p>
      <w:pPr>
        <w:ind w:left="1000" w:right="80" w:hanging="317"/>
        <w:spacing w:after="0" w:line="270"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commercial adoption of WAKIX and any other product candidates we develop will depend on the degree of their market acceptance.</w:t>
      </w:r>
    </w:p>
    <w:p>
      <w:pPr>
        <w:spacing w:after="0" w:line="154" w:lineRule="exact"/>
        <w:rPr>
          <w:rFonts w:ascii="Times New Roman" w:cs="Times New Roman" w:eastAsia="Times New Roman" w:hAnsi="Times New Roman"/>
          <w:sz w:val="18"/>
          <w:szCs w:val="18"/>
          <w:color w:val="auto"/>
        </w:rPr>
      </w:pPr>
    </w:p>
    <w:p>
      <w:pPr>
        <w:ind w:left="1000" w:right="420" w:hanging="317"/>
        <w:spacing w:after="0" w:line="252"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our license agreement with Bioprojet to provide rights to the core intellectual property relating to pitolisant, and any termination or loss of significant rights under the agreement would adversely affect our development and/or commercialization of pitolisant.</w:t>
      </w:r>
    </w:p>
    <w:p>
      <w:pPr>
        <w:spacing w:after="0" w:line="170" w:lineRule="exact"/>
        <w:rPr>
          <w:rFonts w:ascii="Times New Roman" w:cs="Times New Roman" w:eastAsia="Times New Roman" w:hAnsi="Times New Roman"/>
          <w:sz w:val="18"/>
          <w:szCs w:val="18"/>
          <w:color w:val="auto"/>
        </w:rPr>
      </w:pPr>
    </w:p>
    <w:p>
      <w:pPr>
        <w:ind w:left="1000" w:right="60" w:hanging="317"/>
        <w:spacing w:after="0" w:line="252"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Public health pandemics, including the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and history of commercializing drugs, which may make it difficult for you to evaluate the success of our business to date and assess our future viability.</w:t>
      </w:r>
    </w:p>
    <w:p>
      <w:pPr>
        <w:spacing w:after="0" w:line="154" w:lineRule="exact"/>
        <w:rPr>
          <w:rFonts w:ascii="Times New Roman" w:cs="Times New Roman" w:eastAsia="Times New Roman" w:hAnsi="Times New Roman"/>
          <w:sz w:val="18"/>
          <w:szCs w:val="18"/>
          <w:color w:val="auto"/>
        </w:rPr>
      </w:pPr>
    </w:p>
    <w:p>
      <w:pPr>
        <w:ind w:left="1000" w:right="400" w:hanging="317"/>
        <w:spacing w:after="0" w:line="246"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76" w:lineRule="exact"/>
        <w:rPr>
          <w:rFonts w:ascii="Times New Roman" w:cs="Times New Roman" w:eastAsia="Times New Roman" w:hAnsi="Times New Roman"/>
          <w:sz w:val="18"/>
          <w:szCs w:val="18"/>
          <w:color w:val="auto"/>
        </w:rPr>
      </w:pPr>
    </w:p>
    <w:p>
      <w:pPr>
        <w:ind w:left="1000" w:right="580" w:hanging="317"/>
        <w:spacing w:after="0" w:line="270"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and we may be required to make significant payments in the future to Bioprojet under our licensing and collaboration agreements for pitolisant.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460" w:hanging="317"/>
        <w:spacing w:after="0" w:line="252"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70" w:lineRule="exact"/>
        <w:rPr>
          <w:rFonts w:ascii="Times New Roman" w:cs="Times New Roman" w:eastAsia="Times New Roman" w:hAnsi="Times New Roman"/>
          <w:sz w:val="18"/>
          <w:szCs w:val="18"/>
          <w:color w:val="auto"/>
        </w:rPr>
      </w:pPr>
    </w:p>
    <w:p>
      <w:pPr>
        <w:ind w:left="1000" w:right="60" w:hanging="317"/>
        <w:spacing w:after="0" w:line="252"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 of the FDA is costly, lengthy and inherently unpredictable, and if we are ultimately unable to obtain regulatory approval for pitolisant in other potential indications for which we may seek to develop pitolisant, our business will be substantially harmed.</w:t>
      </w:r>
    </w:p>
    <w:p>
      <w:pPr>
        <w:spacing w:after="0" w:line="170" w:lineRule="exact"/>
        <w:rPr>
          <w:rFonts w:ascii="Times New Roman" w:cs="Times New Roman" w:eastAsia="Times New Roman" w:hAnsi="Times New Roman"/>
          <w:sz w:val="18"/>
          <w:szCs w:val="18"/>
          <w:color w:val="auto"/>
        </w:rPr>
      </w:pPr>
    </w:p>
    <w:p>
      <w:pPr>
        <w:ind w:left="1000" w:right="140" w:hanging="317"/>
        <w:spacing w:after="0" w:line="270"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obtain and sustain an adequate level of coverage and reimbursement for WAKIX and other product candidates by third-party payors, sales would be adversely affected.</w:t>
      </w:r>
    </w:p>
    <w:p>
      <w:pPr>
        <w:spacing w:after="0" w:line="154" w:lineRule="exact"/>
        <w:rPr>
          <w:rFonts w:ascii="Times New Roman" w:cs="Times New Roman" w:eastAsia="Times New Roman" w:hAnsi="Times New Roman"/>
          <w:sz w:val="18"/>
          <w:szCs w:val="18"/>
          <w:color w:val="auto"/>
        </w:rPr>
      </w:pPr>
    </w:p>
    <w:p>
      <w:pPr>
        <w:ind w:left="1000" w:right="80" w:hanging="317"/>
        <w:spacing w:after="0" w:line="242"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WAKIX has been approved by the FDA for the treatment of EDS or cataplexy in adult patients with narcolepsy. Regulatory approval is limited by the FDA to the specific indications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77" w:lineRule="exact"/>
        <w:rPr>
          <w:rFonts w:ascii="Times New Roman" w:cs="Times New Roman" w:eastAsia="Times New Roman" w:hAnsi="Times New Roman"/>
          <w:sz w:val="18"/>
          <w:szCs w:val="18"/>
          <w:color w:val="auto"/>
        </w:rPr>
      </w:pPr>
    </w:p>
    <w:p>
      <w:pPr>
        <w:ind w:left="1000" w:right="120" w:hanging="317"/>
        <w:spacing w:after="0" w:line="300" w:lineRule="auto"/>
        <w:tabs>
          <w:tab w:leader="none" w:pos="100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31" w:lineRule="exact"/>
        <w:rPr>
          <w:rFonts w:ascii="Times New Roman" w:cs="Times New Roman" w:eastAsia="Times New Roman" w:hAnsi="Times New Roman"/>
          <w:sz w:val="17"/>
          <w:szCs w:val="17"/>
          <w:color w:val="auto"/>
        </w:rPr>
      </w:pPr>
    </w:p>
    <w:p>
      <w:pPr>
        <w:ind w:left="1000" w:right="560" w:hanging="317"/>
        <w:spacing w:after="0" w:line="252"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70" w:lineRule="exact"/>
        <w:rPr>
          <w:rFonts w:ascii="Times New Roman" w:cs="Times New Roman" w:eastAsia="Times New Roman" w:hAnsi="Times New Roman"/>
          <w:sz w:val="18"/>
          <w:szCs w:val="18"/>
          <w:color w:val="auto"/>
        </w:rPr>
      </w:pPr>
    </w:p>
    <w:p>
      <w:pPr>
        <w:ind w:left="1000" w:right="160" w:hanging="317"/>
        <w:spacing w:after="0" w:line="270"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directors, officers and principal stockholders beneficially own a significant percentage of our stock and will be able to exert significant control over matters subject to stockholder approval.</w:t>
      </w:r>
    </w:p>
    <w:p>
      <w:pPr>
        <w:spacing w:after="0" w:line="154" w:lineRule="exact"/>
        <w:rPr>
          <w:rFonts w:ascii="Times New Roman" w:cs="Times New Roman" w:eastAsia="Times New Roman" w:hAnsi="Times New Roman"/>
          <w:sz w:val="18"/>
          <w:szCs w:val="18"/>
          <w:color w:val="auto"/>
        </w:rPr>
      </w:pPr>
    </w:p>
    <w:p>
      <w:pPr>
        <w:ind w:left="1000" w:right="240" w:hanging="317"/>
        <w:spacing w:after="0" w:line="270"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Future sales of our common stock in the public market, including sales by our directors, officers, or significant shareholders, could cause our share price to fall.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We are substantially dependent on our ability to successfully commercialize WAKIX, which is currently our only approved product. If we are unable to successfully commercialize WAKIX, our ability to generate revenue and our financial condition will be adversely affected.</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Since our inception, we have invested substantially all of our capital resources on the development, registration and commercialization of WAKIX, which was approved for the treatment of EDS in adult patients with narcolepsy in August 2019 and for the treatment of cataplexy in adult patients with narcolepsy in October 2020. We cannot be certain that WAKIX will be successfully commercialized.</w:t>
      </w:r>
    </w:p>
    <w:p>
      <w:pPr>
        <w:spacing w:after="0" w:line="174"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Our ability to generate revenue from product sales depends heavily on our success in many areas, including but not limited to:</w:t>
      </w:r>
    </w:p>
    <w:p>
      <w:pPr>
        <w:spacing w:after="0" w:line="154" w:lineRule="exact"/>
        <w:rPr>
          <w:sz w:val="20"/>
          <w:szCs w:val="20"/>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commercializing WAKIX, either independently or with marketing service providers;</w:t>
      </w:r>
    </w:p>
    <w:p>
      <w:pPr>
        <w:spacing w:after="0" w:line="224" w:lineRule="exact"/>
        <w:rPr>
          <w:rFonts w:ascii="Times New Roman" w:cs="Times New Roman" w:eastAsia="Times New Roman" w:hAnsi="Times New Roman"/>
          <w:sz w:val="18"/>
          <w:szCs w:val="18"/>
          <w:color w:val="auto"/>
        </w:rPr>
      </w:pPr>
    </w:p>
    <w:p>
      <w:pPr>
        <w:ind w:left="1000" w:right="52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sales and marketing strategy and operations, and obtaining market acceptance of WAKIX, including garnering market share from existing and future treatment alternatives;</w:t>
      </w:r>
    </w:p>
    <w:p>
      <w:pPr>
        <w:spacing w:after="0" w:line="154" w:lineRule="exact"/>
        <w:rPr>
          <w:rFonts w:ascii="Times New Roman" w:cs="Times New Roman" w:eastAsia="Times New Roman" w:hAnsi="Times New Roman"/>
          <w:sz w:val="18"/>
          <w:szCs w:val="18"/>
          <w:color w:val="auto"/>
        </w:rPr>
      </w:pPr>
    </w:p>
    <w:p>
      <w:pPr>
        <w:ind w:left="1000" w:right="380" w:hanging="317"/>
        <w:spacing w:after="0" w:line="300" w:lineRule="auto"/>
        <w:tabs>
          <w:tab w:leader="none" w:pos="100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maintaining compliance with all regulatory requirements applicable to WAKIX and our commercial activities, including the post-marketing requirements and post-marketing commitments required by the FDA;</w:t>
      </w:r>
    </w:p>
    <w:p>
      <w:pPr>
        <w:spacing w:after="0" w:line="131" w:lineRule="exact"/>
        <w:rPr>
          <w:rFonts w:ascii="Times New Roman" w:cs="Times New Roman" w:eastAsia="Times New Roman" w:hAnsi="Times New Roman"/>
          <w:sz w:val="17"/>
          <w:szCs w:val="17"/>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from third-party payors for each of our product candidates;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120" w:hanging="317"/>
        <w:spacing w:after="0" w:line="246" w:lineRule="auto"/>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acceptability of the safety profile of WAKIX and the occurrence of any unexpected side effects, adverse reactions or misuse, including potential business impact such as the need to withdraw the product (either voluntarily or as mandated by the FDA), loss of support by the advocacy communities or loss of positive corporate reputation resulting in related unfavorable media coverage in these areas;</w:t>
      </w:r>
    </w:p>
    <w:p>
      <w:pPr>
        <w:spacing w:after="0" w:line="176" w:lineRule="exact"/>
        <w:rPr>
          <w:rFonts w:ascii="Times New Roman" w:cs="Times New Roman" w:eastAsia="Times New Roman" w:hAnsi="Times New Roman"/>
          <w:sz w:val="18"/>
          <w:szCs w:val="18"/>
          <w:color w:val="auto"/>
        </w:rPr>
      </w:pPr>
    </w:p>
    <w:p>
      <w:pPr>
        <w:ind w:left="1000" w:right="820" w:hanging="317"/>
        <w:spacing w:after="0" w:line="270" w:lineRule="auto"/>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managing third-party service providers involved in the manufacturing and development of pitolisant;</w:t>
      </w:r>
    </w:p>
    <w:p>
      <w:pPr>
        <w:spacing w:after="0" w:line="154" w:lineRule="exact"/>
        <w:rPr>
          <w:rFonts w:ascii="Times New Roman" w:cs="Times New Roman" w:eastAsia="Times New Roman" w:hAnsi="Times New Roman"/>
          <w:sz w:val="18"/>
          <w:szCs w:val="18"/>
          <w:color w:val="auto"/>
        </w:rPr>
      </w:pPr>
    </w:p>
    <w:p>
      <w:pPr>
        <w:ind w:left="1000" w:right="280" w:hanging="317"/>
        <w:spacing w:after="0" w:line="270" w:lineRule="auto"/>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completing the development of pitolisant in other indications by demonstrating safety, tolerability and efficacy profiles that are satisfactory to the FDA;</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approvals to market pitolisant for other indications;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complying with the terms of the license agreement with Bioprojet;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4" w:lineRule="exact"/>
        <w:rPr>
          <w:rFonts w:ascii="Times New Roman" w:cs="Times New Roman" w:eastAsia="Times New Roman" w:hAnsi="Times New Roman"/>
          <w:sz w:val="18"/>
          <w:szCs w:val="18"/>
          <w:color w:val="auto"/>
        </w:rPr>
      </w:pPr>
    </w:p>
    <w:p>
      <w:pPr>
        <w:ind w:left="1000" w:right="620" w:hanging="317"/>
        <w:spacing w:after="0" w:line="270" w:lineRule="auto"/>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protecting and expanding the portfolio of intellectual property rights, including patents, trade secrets and knowhow;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our efforts to market WAKIX for the treatment of EDS in adult patients with narcolepsy and cataplexy in adult patients with narcolepsy, our revenue will be dependent, in part, on the size of the markets in the United States, or in other territories where we may seek and obtain regulatory approval, the number of competitors in such markets, the acceptance of the price of the product in those markets and the ability to obtain reimbursement at any price. If the number of our addressable patients is not as large as we estimate or the reasonably accepted population for treatment is narrowed by competition, physician choice or treatment guidelines, we may not generate significant revenue from sales of such products. If we are not able to generate substantial revenue from the sale of approved products, we may never become profitable.</w:t>
      </w:r>
    </w:p>
    <w:p>
      <w:pPr>
        <w:spacing w:after="0" w:line="187"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The continued commercial adoption of WAKIX and any other product candidates we develop will depend on the degree of their market acceptance.</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Even with the requisite approvals from the FDA and other regulatory authorities, the continued commercial adoption of WAKIX for the treatment of EDS in adult patients with narcolepsy and cataplexy in adult patients with narcolepsy, and any other indications and product candidates we may develop, will depend on the degree of their acceptance by physicians, patients, third-party payors and others in the medical community. If WAKIX or any other product candidates we develop do not achieve an adequate level of market acceptance, we may not generate significant product revenues or any profits from operations. The degree of market acceptance of WAKIX or any other product candidates we develop, if approved for commercial sale, will depend on a number of factors, some of which are beyond our control, including:</w:t>
      </w:r>
    </w:p>
    <w:p>
      <w:pPr>
        <w:spacing w:after="0" w:line="185"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and efficacy of the product as demonstrated in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quality-of-life and cost-effectiveness of the product, compared to those of other available treatments;</w:t>
      </w:r>
    </w:p>
    <w:p>
      <w:pPr>
        <w:spacing w:after="0" w:line="170" w:lineRule="exact"/>
        <w:rPr>
          <w:rFonts w:ascii="Times New Roman" w:cs="Times New Roman" w:eastAsia="Times New Roman" w:hAnsi="Times New Roman"/>
          <w:sz w:val="18"/>
          <w:szCs w:val="18"/>
          <w:color w:val="auto"/>
        </w:rPr>
      </w:pPr>
    </w:p>
    <w:p>
      <w:pPr>
        <w:ind w:left="1000" w:right="140" w:hanging="317"/>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product’s approved labeling, including the description of the product’s approved indications, the description of its efficacy, including the endpoints in which it showed an improvement, and the prevalence and severity of any side effects, including any associated limitations or warnings;</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differentiate WAKIX or other approved products from other treatments in the same space;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300" w:hanging="317"/>
        <w:spacing w:after="0" w:line="270" w:lineRule="auto"/>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adoption of WAKIX as a first-line therapy for EDS in adult patients with narcolepsy and cataplexy in adult patients with narcolepsy;</w:t>
      </w:r>
    </w:p>
    <w:p>
      <w:pPr>
        <w:spacing w:after="0" w:line="154" w:lineRule="exact"/>
        <w:rPr>
          <w:rFonts w:ascii="Times New Roman" w:cs="Times New Roman" w:eastAsia="Times New Roman" w:hAnsi="Times New Roman"/>
          <w:sz w:val="18"/>
          <w:szCs w:val="18"/>
          <w:color w:val="auto"/>
        </w:rPr>
      </w:pPr>
    </w:p>
    <w:p>
      <w:pPr>
        <w:ind w:left="1000" w:right="160" w:hanging="317"/>
        <w:spacing w:after="0" w:line="270" w:lineRule="auto"/>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 including those that may be discovered following approval and commercialization;</w:t>
      </w:r>
    </w:p>
    <w:p>
      <w:pPr>
        <w:spacing w:after="0" w:line="154" w:lineRule="exact"/>
        <w:rPr>
          <w:rFonts w:ascii="Times New Roman" w:cs="Times New Roman" w:eastAsia="Times New Roman" w:hAnsi="Times New Roman"/>
          <w:sz w:val="18"/>
          <w:szCs w:val="18"/>
          <w:color w:val="auto"/>
        </w:rPr>
      </w:pPr>
    </w:p>
    <w:p>
      <w:pPr>
        <w:ind w:left="1000" w:right="620" w:hanging="317"/>
        <w:spacing w:after="0" w:line="270" w:lineRule="auto"/>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products or competing products and treatments;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product liability litigation alleging injuries relating to our products or similar classes of drugs;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any post-approval study requirements for our products and the results thereof;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sufficient third-party insurance coverage and reimbursement.</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continuing efforts to educate physicians, patients, third-party payors and others in the medical community on the benefits and risks of WAKIX may require significant resources and may never be successful. The adoption of WAKIX could be limited if physicians prescribe it only as a second line therapy. Physicians may opt to prescribe the products of our competitors for a variety of reasons. For example, WAKIX did not demonstrate non-inferiority to modafinil and, as such, physicians and patients may choose modafinil rather than WAKIX. Furthermore, because the clinical response to WAKIX may take several weeks before addressing EDS and cataplexy symptoms, patients and physicians may choose other fast acting, stimulant and wake promoting agents over WAKIX. If WAKIX fails to achieve an adequate level of acceptance by physicians, patients, third-party payors and others in the medical community, we will not be able to generate sufficient revenue to become or remain profitable.</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cannot guarantee that WAKIX or any other product candidates we may seek to develop will ever be commercially successful, and to the extent they are not commercially successful, such product candidates would incur significant expense with no corresponding revenue. Because we expect the sales of WAKIX to generate substantially all of our revenue for the foreseeable future, the failure of WAKIX to find market acceptance would substantially harm our business and could require us to seek additional financing.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opportunity for WAKIX or any future product candidate we develop may be smaller than we estimate.</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potential market opportunity for WAKIX and any future product candidate is difficult to precisely estimate. Our estimates of the potential market opportunity for our product candidates include several key assumptions of the current market size and current pricing for commercially available products and are based on industry and market data obtained from industry publications, studies conducted by us, our industry knowledge, third-party research reports and other surveys. While we believe our estimates are reasonable and reliable, they may prove to be incorrect. Further, new studies may change the estimated incidence or prevalence of diseases and disorders. The number of patients may turn out to be lower than expected. Additionally, the potentially addressable patient population for WAKIX or any future product candidate we develop may be limited or may not be amenable to treatment with WAKIX or such future product candidate, and new patients may become increasingly difficult to identify or gain access to, which would adversely affect our results of operations and our business.</w:t>
      </w:r>
    </w:p>
    <w:p>
      <w:pPr>
        <w:spacing w:after="0" w:line="182"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b w:val="1"/>
          <w:bCs w:val="1"/>
          <w:i w:val="1"/>
          <w:iCs w:val="1"/>
          <w:color w:val="auto"/>
        </w:rPr>
        <w:t>We rely on our license agreements with Bioprojet to provide rights to the core intellectual property relating to pitolisant, and any termination or loss of significant rights under the agreement would adversely affect our development and/or commercialization of pitolisant.</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have licensed our core intellectual property relating to pitolisant from Bioprojet. If, for any reason, our license and commercialization agreements with Bioprojet are terminated or we otherwise lose those rights, it would materially adversely affect our business. Pursuant to our license and commercialization agreements, we obtained intellectual property rights in connection with the commercialization of pitolisant in the United States and its territories, commonwealths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protectorates, including Puerto Rico, which includes an exclusive license to use certain intellectual property owned by Bioprojet related to clinically developing and commercializing the pitolisant product candidate for narcolepsy, obstructive sleep apnea, idiopathic hypersomnia and Parkinson’s Disease.</w:t>
      </w:r>
    </w:p>
    <w:p>
      <w:pPr>
        <w:spacing w:after="0" w:line="1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Under the license agreements, Bioprojet is responsible for conducting all preclinical studies and clinical trials necessary for achieving and maintaining regulatory approval in the United States for narcolepsy and cataplexy indications, including all costs and expenses. We are responsible for all other costs associated with other development and regulatory activities, unless Bioprojet otherwise agrees to participate in funding such activities. We must obtain consent from Bioprojet before commencing any clinical trials related to pitolisant. Our ability to pursue indications other than the ones specifically enumerated in the license agreement is also contingent on mutual agreement of Bioprojet and us as to those indications and such agreement may be withheld at Bioprojet’s discretion. If Bioprojet denies consent for us to conduct clinical trials or pursue any such other indication for any reason, we will not have the right under our license and commercialization agreement to commercialize our product for such indication. In such event, Bioprojet may pursue commercialization of such indication for itself in our territory, or it may license the right to commercialize such indication in our territory to third parties, including our competitors.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license and commercialization agreements also imposes on us obligations relating to exclusivity, territorial rights, development, commercialization, funding, payment, diligence, sublicensing, insurance, intellectual property protection and other matters. For example, under the 2017 LCA and 2022 LCA, we cannot, directly or indirectly, develop, market, sell, promote or file an NDA with respect to any product that would compete with pitolisant in the field. If we breach any material obligations, or use the intellectual property licensed to us in an unauthorized manner, we may be required to pay damages to Bioprojet, and Bioprojet may have the right to terminate our license, which would result in us being unable to develop, manufacture and sell pitolisant and would materially adversely affect our business.</w:t>
      </w:r>
    </w:p>
    <w:p>
      <w:pPr>
        <w:spacing w:after="0" w:line="18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i w:val="1"/>
          <w:iCs w:val="1"/>
          <w:color w:val="auto"/>
        </w:rPr>
        <w:t>Public health pandemics, including the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 public health epidemic, including COVID-19, poses the risk that we or our employees, contractors, suppliers, distributors and other partners, as well as physicians treating narcolepsy patients, may be prevented from conducting business and patient-care activities for an indefinite period of time, including due to shutdowns and quarantines that may be requested or mandated by governmental authorities. Beginning in March 2020, we had increased reliance on personnel working from home which may negatively impact productivity or disrupt, delay or otherwise adversely impact our business. In addition, remote working could increase our cyber security risk.</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General protective measures put into place at various governmental levels, including quarantines, travel restrictions and business shutdowns, may also negatively affect our operations. For example, the COVID-19 pandemic affected our ability to access HCPs, and caused fewer patients to visit their HCP, resulting in fewer prescriptions being written. Additionally, the effects of COVID-19 disrupted the supply chain and could disrupt the manufacturing or shipment of WAKIX and of drug substance and finished drug product. For example, we may face supply chain and manufacturing limitations or difficulties as resources are shifted toward vaccine manufacturing and distribution. Any delays or interruptions in the manufacture and supply of WAKIX could result in delays for our planned clinical trials, impair our ability to meet demand for new WAKIX prescriptions and impede our clinical trial recruitment, testing, monitoring, data collection and analysis and other related activities.</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of the foregoing factors could have a material adverse impact on our business, financial condition, operating results, cash flows and prospects. The extent to which COVID-19 or any future pandemics impact our operations and those of our third-party partners will depend on future developments, which are highly uncertain and cannot be predicted with confidence, including the duration of the pandemic, additional or modified government actions, the severity of the pandemic, speed of the spread of a virus, and the actions taken to contain the virus or treat its impact, among others.</w:t>
      </w:r>
    </w:p>
    <w:p>
      <w:pPr>
        <w:spacing w:after="0" w:line="17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We may not be successful in our efforts to identify, in-license or acquire, discover, develop or commercialize additional product candidates, or identify other indications for pitolisant beyond EDS or cataplexy in adult patients with narcolepsy.</w:t>
      </w:r>
    </w:p>
    <w:p>
      <w:pPr>
        <w:spacing w:after="0" w:line="159"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Although a substantial amount of our effort will focus on the commercialization of WAKIX for the treatment of EDS in adult patients with narcolepsy and cataplexy in adult patients with narcolepsy, we also may seek to identify, in-license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acquire, discover, develop and commercialize additional product candidates in the rare neurological disorders field, and to identify other indications for pitolisant beyond the treatment of EDS in adult patients with narcolepsy and cataplexy in adult patients with narcolepsy. We cannot assure you that our efforts to do so will be successful. Even if we are successful at in-licensing or acquiring additional product candidates, their requisite development activities may require substantial resources, and we cannot assure you that these development activities will result in regulatory approvals. We also cannot assure you that our efforts to develop and commercialize pitolisant for other indications beyond the treatment of EDS in adult patients with narcolepsy and cataplexy in adult patients with narcolepsy will be successful.</w:t>
      </w:r>
    </w:p>
    <w:p>
      <w:pPr>
        <w:spacing w:after="0" w:line="187" w:lineRule="exact"/>
        <w:rPr>
          <w:sz w:val="20"/>
          <w:szCs w:val="20"/>
          <w:color w:val="auto"/>
        </w:rPr>
      </w:pPr>
    </w:p>
    <w:p>
      <w:pPr>
        <w:ind w:right="560"/>
        <w:spacing w:after="0" w:line="309" w:lineRule="auto"/>
        <w:rPr>
          <w:sz w:val="20"/>
          <w:szCs w:val="20"/>
          <w:color w:val="auto"/>
        </w:rPr>
      </w:pPr>
      <w:r>
        <w:rPr>
          <w:rFonts w:ascii="Arial" w:cs="Arial" w:eastAsia="Arial" w:hAnsi="Arial"/>
          <w:sz w:val="17"/>
          <w:szCs w:val="17"/>
          <w:b w:val="1"/>
          <w:bCs w:val="1"/>
          <w:i w:val="1"/>
          <w:iCs w:val="1"/>
          <w:color w:val="auto"/>
        </w:rPr>
        <w:t>Our business, products or product pricing could be subject to negative publicity, which could have a material adverse effect on our reputation, business, financial position, results of operations, liquidity and cash flows.</w:t>
      </w:r>
    </w:p>
    <w:p>
      <w:pPr>
        <w:spacing w:after="0" w:line="11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recent years, the pharmaceutical industry has been the subject of public complaints and significant publicity regarding the pricing of pharmaceutical products, including publicity and pressure resulting from prices charged by competitors and peer companies for new products as well as price increases by competitors and peer companies on older products that the public has deemed excessive. We may experience downward pricing pressure on the price of WAKIX and any other future approved products due to social or political pressure to lower the cost of drugs, which could reduce our revenue and future profitability. Orphan drugs in particular have received recent negative publicity for the perceived high prices charged for them by their manufacturers, and as a result orphan drug developers such as us may be negatively impacted by such publicity and any U.S. or other government regulatory response. Due to these factors, we may suffer public criticism and negative publicity in media coverage, by industry trade associations and legislators.</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of the events or developments described above could result in reputational harm and reduced market acceptance and demand for our products, could harm our ability to market our products in the future, could cause us to incur significant expense, could cause our senior management to be distracted from execution of our business strategy, and could have a material adverse effect on our business, reputation, financial condition, results of operations, liquidity, cash flows and/or share price.</w:t>
      </w:r>
    </w:p>
    <w:p>
      <w:pPr>
        <w:spacing w:after="0" w:line="178"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Third-party relationships are important to our business. If we are unable to enter into and maintain strategic collaborations or if these relationships are not successful, our business could be adversely affected.</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limited product development and distribution capabilities and we do not yet have any product manufacturing capabilities. In addition, we may enter into collaborations for the development and commercialization of certain of our product candidates.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Relationships we enter into may pose a number of risks, including the following:</w:t>
      </w:r>
    </w:p>
    <w:p>
      <w:pPr>
        <w:spacing w:after="0" w:line="183" w:lineRule="exact"/>
        <w:rPr>
          <w:sz w:val="20"/>
          <w:szCs w:val="20"/>
          <w:color w:val="auto"/>
        </w:rPr>
      </w:pPr>
    </w:p>
    <w:p>
      <w:pPr>
        <w:ind w:left="1000" w:right="620" w:hanging="317"/>
        <w:spacing w:after="0" w:line="270"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current or future third parties have, and future third-party collaborators may have, significant discretion in determining the efforts and resources that they will apply;</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perform their obligations as expected;</w:t>
      </w:r>
    </w:p>
    <w:p>
      <w:pPr>
        <w:spacing w:after="0" w:line="224" w:lineRule="exact"/>
        <w:rPr>
          <w:rFonts w:ascii="Times New Roman" w:cs="Times New Roman" w:eastAsia="Times New Roman" w:hAnsi="Times New Roman"/>
          <w:sz w:val="18"/>
          <w:szCs w:val="18"/>
          <w:color w:val="auto"/>
        </w:rPr>
      </w:pPr>
    </w:p>
    <w:p>
      <w:pPr>
        <w:ind w:left="1000" w:right="160" w:hanging="317"/>
        <w:spacing w:after="0" w:line="243"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pursue development and commercialization of any product candidates that we decide to develop as drugs and that achieve regulatory approval or may elect not to continue or renew development or commercialization programs based on clinical study or trial results, changes in the third parties’ strategic focus or available funding, or external factors, such as a strategic transaction that may divert resources or create competing priorities;</w:t>
      </w:r>
    </w:p>
    <w:p>
      <w:pPr>
        <w:spacing w:after="0" w:line="179" w:lineRule="exact"/>
        <w:rPr>
          <w:rFonts w:ascii="Times New Roman" w:cs="Times New Roman" w:eastAsia="Times New Roman" w:hAnsi="Times New Roman"/>
          <w:sz w:val="18"/>
          <w:szCs w:val="18"/>
          <w:color w:val="auto"/>
        </w:rPr>
      </w:pPr>
    </w:p>
    <w:p>
      <w:pPr>
        <w:ind w:left="1000" w:right="80" w:hanging="317"/>
        <w:spacing w:after="0" w:line="252"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delay preclinical studies or clinical trials, provide insufficient funding for a preclinical study or clinical trial, stop a preclinical study or clinical trial or abandon one of our product candidates, repeat or conduct clinical studies or new clinical trials or require a new formulation of a product candidate for clinical testing;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160" w:hanging="317"/>
        <w:spacing w:after="0" w:line="246"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could independently develop, or develop with other third parties, products that compete directly or indirectly with our products and product candidates if the third parties believe that the competitive products are more likely to be successfully developed or can be commercialized under terms that are more economically attractive than ours;</w:t>
      </w:r>
    </w:p>
    <w:p>
      <w:pPr>
        <w:spacing w:after="0" w:line="176" w:lineRule="exact"/>
        <w:rPr>
          <w:rFonts w:ascii="Times New Roman" w:cs="Times New Roman" w:eastAsia="Times New Roman" w:hAnsi="Times New Roman"/>
          <w:sz w:val="18"/>
          <w:szCs w:val="18"/>
          <w:color w:val="auto"/>
        </w:rPr>
      </w:pPr>
    </w:p>
    <w:p>
      <w:pPr>
        <w:ind w:left="1000" w:right="160" w:hanging="317"/>
        <w:spacing w:after="0" w:line="252"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discovered in collaboration with us may be viewed by our current or future collaborators as competitive with their own product candidates or products, which may cause such third parties to cease to devote resources to the commercialization of our product candidates;</w:t>
      </w:r>
    </w:p>
    <w:p>
      <w:pPr>
        <w:spacing w:after="0" w:line="170" w:lineRule="exact"/>
        <w:rPr>
          <w:rFonts w:ascii="Times New Roman" w:cs="Times New Roman" w:eastAsia="Times New Roman" w:hAnsi="Times New Roman"/>
          <w:sz w:val="18"/>
          <w:szCs w:val="18"/>
          <w:color w:val="auto"/>
        </w:rPr>
      </w:pPr>
    </w:p>
    <w:p>
      <w:pPr>
        <w:ind w:left="1000" w:right="48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fail to comply with applicable regulatory requirements regarding the development, manufacture, packaging, labeling, holding, distribution and/or marketing of a product candidate or product;</w:t>
      </w:r>
    </w:p>
    <w:p>
      <w:pPr>
        <w:spacing w:after="0" w:line="154" w:lineRule="exact"/>
        <w:rPr>
          <w:rFonts w:ascii="Times New Roman" w:cs="Times New Roman" w:eastAsia="Times New Roman" w:hAnsi="Times New Roman"/>
          <w:sz w:val="18"/>
          <w:szCs w:val="18"/>
          <w:color w:val="auto"/>
        </w:rPr>
      </w:pPr>
    </w:p>
    <w:p>
      <w:pPr>
        <w:jc w:val="both"/>
        <w:ind w:left="1000" w:right="360" w:hanging="317"/>
        <w:spacing w:after="0" w:line="252"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with marketing and distribution rights to pitolisant or any future product candidates that achieve regulatory approval may not commit sufficient resources to the marketing and distribution of such product or products;</w:t>
      </w:r>
    </w:p>
    <w:p>
      <w:pPr>
        <w:spacing w:after="0" w:line="170" w:lineRule="exact"/>
        <w:rPr>
          <w:rFonts w:ascii="Times New Roman" w:cs="Times New Roman" w:eastAsia="Times New Roman" w:hAnsi="Times New Roman"/>
          <w:sz w:val="18"/>
          <w:szCs w:val="18"/>
          <w:color w:val="auto"/>
        </w:rPr>
      </w:pPr>
    </w:p>
    <w:p>
      <w:pPr>
        <w:ind w:left="1000" w:right="60" w:hanging="317"/>
        <w:spacing w:after="0" w:line="243"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disagreements with third parties, including disagreements over proprietary rights, contract interpretation or the preferred course of development, might cause delays or terminations of the research, development or commercialization of pitolisant or any future product candidates, might lead to additional responsibilities for us with respect to pitolisant or any future product candidates, or might result in litigation or arbitration, any of which would be time-consuming and expensive;</w:t>
      </w:r>
    </w:p>
    <w:p>
      <w:pPr>
        <w:spacing w:after="0" w:line="179" w:lineRule="exact"/>
        <w:rPr>
          <w:rFonts w:ascii="Times New Roman" w:cs="Times New Roman" w:eastAsia="Times New Roman" w:hAnsi="Times New Roman"/>
          <w:sz w:val="18"/>
          <w:szCs w:val="18"/>
          <w:color w:val="auto"/>
        </w:rPr>
      </w:pPr>
    </w:p>
    <w:p>
      <w:pPr>
        <w:ind w:left="1000" w:right="400" w:hanging="317"/>
        <w:spacing w:after="0" w:line="252"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0" w:lineRule="exact"/>
        <w:rPr>
          <w:rFonts w:ascii="Times New Roman" w:cs="Times New Roman" w:eastAsia="Times New Roman" w:hAnsi="Times New Roman"/>
          <w:sz w:val="18"/>
          <w:szCs w:val="18"/>
          <w:color w:val="auto"/>
        </w:rPr>
      </w:pPr>
    </w:p>
    <w:p>
      <w:pPr>
        <w:ind w:left="1000" w:right="16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infringe the intellectual property rights of other third parties, which may expose us to litigation and potential liability;</w:t>
      </w:r>
    </w:p>
    <w:p>
      <w:pPr>
        <w:spacing w:after="0" w:line="154" w:lineRule="exact"/>
        <w:rPr>
          <w:rFonts w:ascii="Times New Roman" w:cs="Times New Roman" w:eastAsia="Times New Roman" w:hAnsi="Times New Roman"/>
          <w:sz w:val="18"/>
          <w:szCs w:val="18"/>
          <w:color w:val="auto"/>
        </w:rPr>
      </w:pPr>
    </w:p>
    <w:p>
      <w:pPr>
        <w:ind w:left="1000" w:right="80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if one of our third parties is involved in a business combination, the collaborator might deemphasize or terminate the development or commercialization of any product candidate licensed to it by us; and</w:t>
      </w:r>
    </w:p>
    <w:p>
      <w:pPr>
        <w:spacing w:after="0" w:line="154" w:lineRule="exact"/>
        <w:rPr>
          <w:rFonts w:ascii="Times New Roman" w:cs="Times New Roman" w:eastAsia="Times New Roman" w:hAnsi="Times New Roman"/>
          <w:sz w:val="18"/>
          <w:szCs w:val="18"/>
          <w:color w:val="auto"/>
        </w:rPr>
      </w:pPr>
    </w:p>
    <w:p>
      <w:pPr>
        <w:ind w:left="1000" w:right="12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relationships may be terminated by the collaborator, and, if terminated, we could be required to raise additional capital to pursue further development or commercialization of the applicable product candidates.</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our relationships do not result in the successful discovery, development and commercialization of products or if a third party terminates its agreement with us, we may not receive any future research funding or milestone or royalty payments under the collaboration. If we do not receive the funding we expect under any third-party agreements we enter into, our development of pitolisant or any future product candidates could be delayed and we may need additional resources. Additionally, if any third party terminates its agreement with us, we may find it more difficult to attract new collaborators and our perception in the business and financial communities could be adversely affected.</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Relationships are complex and time-consuming to negotiate and document. In addition, there have been a significant number of recent business combinations among large pharmaceutical companies that have resulted in a reduced number of future collaborators.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third parties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relationships or do not have sufficient funds or expertise to undertake the necessary development and commercialization activities, we may not be able to further develop our product candidates, bring them to market and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generate revenue from sales of drugs or continue to develop our technology, and our business may be materially and adversely affected.</w:t>
      </w:r>
    </w:p>
    <w:p>
      <w:pPr>
        <w:spacing w:after="0" w:line="156"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for pitolisant and any future product candidate that we decide to develop. If these third parties do not successfully carry out their contractual duties, meet expected deadlines or comply with regulatory requirements, we may not be able to obtain regulatory approval of or commercialize any potential product candidates on a timely basis or at all.</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will continue to rely upon third parties, including independent investigators, to conduct preclinical studies or clinical trials under agreements with universities, medical institutions, CROs, strategic partners and others. We expect to have to negotiate budgets and contracts with CROs and study or trial sites, which may result in delays to our development timelines and increased costs.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will have to rely heavily on third parties over the course of our preclinical studies and clinical trials and, as a result, will have limited control over the clinical investigators and limited visibility into their day-to-day activities, including with respect to their compliance with the approved clinical protocol and regulatory requirements. Nevertheless, we are responsible for ensuring that each of our preclinical studies and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for clinical trials, which are regulations and guidelines enforced by the FDA and comparable foreign regulatory authorities for product candidates in clinical development.</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Regulatory authorities enforce these GCP requirements through periodic inspections of study or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clinical trials or perform additional clinical trials before approving our marketing applications. We cannot be certain that, upon inspection, such regulatory authorities will determine that any of our clinical trials comply with the GCP or other applicable requirements. In addition, our clinical trials must be conducted with drug products produced under cGMP requirements and may require a large number of patients. Our failure or any failure by these third parties to comply with these regulations, which would delay the regulatory approval or commercialization process. Moreover, our business may be implicated if any of these third parties violates federal or state laws or regulations including fraud and abuse or false claims laws and regulations or healthcare privacy and security laws.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parties conducting our future clinical trials, if any, generally will not be our employees and, except for remedies that may be available to us under our agreements with the third parties conducting such clinical trials, if any, we cannot control whether or not they devote sufficient time and resources to our ongoing preclinical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current and future product candidates. As a result, our financial results and the commercial prospects for our current and future product candidates would be harmed, our costs could increase and our ability to generate revenue could be delayed.</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any of our relationships with these third-party CROs or others terminate, we may not be able to enter into contractual and other arrangements with alternative CROs or other third parties in a timely manner to meet projected clinical development deadlines or to do so on commercially reasonable terms. Switching or adding additional CROs involves additional cost and requires management time and focus. In addition, there is a natural transition period when a new CRO begins work. As a result, delays may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experience delays in meeting or fail to meet the regulatory requirements for commercialization of our current or future potential product candidates, the commercial prospects for our product candidates may be harmed and our ability to generate revenues will be materially impaired.</w:t>
      </w:r>
    </w:p>
    <w:p>
      <w:pPr>
        <w:spacing w:after="0" w:line="17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and distribute our supply of WAKIX, including certain sole-source suppliers and manufacturers, and intend to rely on third parties to manufacture and distribute any future product candidates.</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commercial quantities of WAKIX. Our ability to commercially supply WAKIX depends, in part, on the ability of third-party manufacturers to supply and manufacture the raw materials, API and other important components related to the manufacture of WAKIX. We also rely on third parties to package the finished product. These third-party manufacturers have limited experience manufacturing the raw materials and API for WAKIX to be supplied to patients in the United States. Prior to the approval of WAKIX, we experienced minor issues related to product specifications and other minor delays in supply related to our third-party suppliers and manufacturers. While we continue to work with our third-party suppliers and manufacturers to optimize the manufacturing process for WAKIX and will work to optimize the manufacturing process for any future product candidates, we cannot guarantee that even minor changes in the process will result in products that are safe and, where applicable, effective. If we fail to develop and maintain supply relationships with these third parties, we may be unable to continue to successfully commercialize WAKIX.</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rely and will continue to rely on certain third parties as the sole source of the materials they supply or the finished products they manufacture. For example, we rely on Interor S.A., Corden Pharma Chenôve SAS and Patheon UK Limited to provide intermediate supply ingredients, API and finished products, respectively.</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Additionally, we rely on our suppliers and manufacturers to purchase materials from other third parties. Any of our existing suppliers or manufacturers may:</w:t>
      </w:r>
    </w:p>
    <w:p>
      <w:pPr>
        <w:spacing w:after="0" w:line="154" w:lineRule="exact"/>
        <w:rPr>
          <w:sz w:val="20"/>
          <w:szCs w:val="20"/>
          <w:color w:val="auto"/>
        </w:rPr>
      </w:pPr>
    </w:p>
    <w:p>
      <w:pPr>
        <w:ind w:left="1000" w:right="420" w:hanging="317"/>
        <w:spacing w:after="0" w:line="270"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fail to supply us with product on a timely basis or in the requested amount due to unexpected damage to or destruction of facilities or equipment or otherwise;</w:t>
      </w:r>
    </w:p>
    <w:p>
      <w:pPr>
        <w:spacing w:after="0" w:line="154" w:lineRule="exact"/>
        <w:rPr>
          <w:rFonts w:ascii="Times New Roman" w:cs="Times New Roman" w:eastAsia="Times New Roman" w:hAnsi="Times New Roman"/>
          <w:sz w:val="18"/>
          <w:szCs w:val="18"/>
          <w:color w:val="auto"/>
        </w:rPr>
      </w:pPr>
    </w:p>
    <w:p>
      <w:pPr>
        <w:ind w:left="1000" w:right="300" w:hanging="317"/>
        <w:spacing w:after="0" w:line="270"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fail to increase manufacturing capacity and produce drug product and components in larger quantities and at higher yields in a timely or cost-effective manner, or at all, to sufficiently meet our commercial needs;</w:t>
      </w:r>
    </w:p>
    <w:p>
      <w:pPr>
        <w:spacing w:after="0" w:line="154" w:lineRule="exact"/>
        <w:rPr>
          <w:rFonts w:ascii="Times New Roman" w:cs="Times New Roman" w:eastAsia="Times New Roman" w:hAnsi="Times New Roman"/>
          <w:sz w:val="18"/>
          <w:szCs w:val="18"/>
          <w:color w:val="auto"/>
        </w:rPr>
      </w:pPr>
    </w:p>
    <w:p>
      <w:pPr>
        <w:ind w:left="1000" w:right="140" w:hanging="317"/>
        <w:spacing w:after="0" w:line="270"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to meet our production demands due to issues related to their reliance on sole-source suppliers and manufacturers;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supply us with product that fails to meet regulatory requirements;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become unavailable through business interruption or financial insolvency;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lose regulatory status as an approved source;</w:t>
      </w:r>
    </w:p>
    <w:p>
      <w:pPr>
        <w:spacing w:after="0" w:line="224" w:lineRule="exact"/>
        <w:rPr>
          <w:rFonts w:ascii="Times New Roman" w:cs="Times New Roman" w:eastAsia="Times New Roman" w:hAnsi="Times New Roman"/>
          <w:sz w:val="18"/>
          <w:szCs w:val="18"/>
          <w:color w:val="auto"/>
        </w:rPr>
      </w:pPr>
    </w:p>
    <w:p>
      <w:pPr>
        <w:ind w:left="1000" w:right="420" w:hanging="317"/>
        <w:spacing w:after="0" w:line="270" w:lineRule="auto"/>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or unwilling to (i) honor current supply agreements or (ii) renew current supply agreements when such agreements expire on a timely basis, on acceptable terms or at all; or</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discontinue production or manufacturing of necessary drug substances or products.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event of any of the foregoing, if we do not have an alternative supplier or manufacturer in place, we would be required to expend substantial management time and expense to identify, qualify and transfer technical processes to alternative suppliers or manufacturers. Transferring technology to other sites may require additional processes, technologies and validation studies, which are costly, may take considerable amounts of time, may not be successful and, in most cases, require review and approval by the FDA. Any need to find and qualify new suppliers or manufacturers could significantly delay production of WAKIX, adversely impact our ability to market WAKIX and adversely affect our business. There can be no assurance that replacements would be available to us on a timely basis, on acceptable terms or at all. While we currently maintain a robust supply of raw material inventory and an 18 month supply of finished goods inventory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ensure product availability, any interruption in the supply of a drug substance or other material or in the manufacture of WAKIX could have a material adverse effect on our business, financial condition, operating results and prospects.</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Additionally, although we are ultimately responsible for ensuring compliance with regulatory requirements such as cGMPs, we are dependent on our contract suppliers and manufacturers for day-to-day compliance with cGMP for production of both drug substances and finished products. Facilities used by our contract suppliers and manufacturers to produce the drug substances and materials or finished products for commercial sale must pass inspection and be approved by the FDA and other relevant regulatory authorities. A number of our contract suppliers and manufacturers must comply with cGMP requirements enforced by the FDA through its facilities inspection program and review of submitted technical information. If the safety of WAKIX is compromised due to a failure to adhere to applicable laws or for other reasons, we may not be able to successfully commercialize our product and we may be held liable for injuries sustained as a result. In addition, the manufacturing facilities of certain of our suppliers are located outside of the United States. This may give rise to difficulties in importing our product into the United States or other countries as a result of, among other things, regulatory agency approval requirements, taxes, tariffs, local import requirements such as import duties or inspections, incomplete or inaccurate import documentation or defective packaging.</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Any of these factors could adversely impact our ability to effectively commercialize WAKIX.</w:t>
      </w:r>
    </w:p>
    <w:p>
      <w:pPr>
        <w:spacing w:after="0" w:line="21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Competition from other biotechnology and pharmaceutical companies is intense and is expected to increase. There may be a number of companies pursuing the development of pharmaceuticals in rare neurological disorders, our area of focus. These companies may be very large, and may have financial, technical, sales and distribution and other resources substantially greater than ours. The greater resources of these competitors may enable them to develop, obtain regulatory approval for or market competing products more quickly or effectively, making it extremely difficult for us to capture a share of the market for our product. We also face competition, and may in the future face additional competition, from manufacturers of generic drugs. Certain U.S. state laws allow for, and in some instances in the absence of specific instructions from the prescribing physician mandate, the dispensing of generic products rather than branded products when a generic version is available.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Generic competition often results in decreases in the prices at which branded products can be sold. 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We also face competition from off-label uses of approved drugs. Additionally, the biotechnology and pharmaceutical industries are subject to rapid changes in science, and our competitors may develop and market products with improved therapeutic profiles relative to pitolisant or any future product candidates that would render pitolisant or any future product candidates noncompetitive.</w:t>
      </w:r>
    </w:p>
    <w:p>
      <w:pPr>
        <w:spacing w:after="0" w:line="187"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We may need to increase the size and capabilities of our organization based on business need, and we may experience difficulties in managing our growth.</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commenced operations in 2017 and, as of December 31, 2022, had 200 employees. As we advance the development of pitolisant in other indications and commercialize WAKIX as a treatment for EDS in adult patients with narcolepsy and cataplexy in adult patients with narcolepsy, we must continue to grow the size of the organization. Future growth will impose significant added responsibilities on members of management, including:</w:t>
      </w:r>
    </w:p>
    <w:p>
      <w:pPr>
        <w:spacing w:after="0" w:line="174" w:lineRule="exact"/>
        <w:rPr>
          <w:sz w:val="20"/>
          <w:szCs w:val="20"/>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224" w:lineRule="exact"/>
        <w:rPr>
          <w:rFonts w:ascii="Times New Roman" w:cs="Times New Roman" w:eastAsia="Times New Roman" w:hAnsi="Times New Roman"/>
          <w:sz w:val="18"/>
          <w:szCs w:val="18"/>
          <w:color w:val="auto"/>
        </w:rPr>
      </w:pPr>
    </w:p>
    <w:p>
      <w:pPr>
        <w:ind w:left="1000" w:right="280" w:hanging="317"/>
        <w:spacing w:after="0" w:line="270" w:lineRule="auto"/>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our development efforts, including the clinical development and FDA or other regulatory authority review processes for pitolisant or any future product candidates;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any third-party service providers involved in the development and manufacture of pitolisant or any future product candidates;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future financial performance and our ability to successfully develop and commercialize WAKIX or any future product candidates will depend, in part, on our ability to effectively manage any future growth. Our management will have to dedicate a significant amount of its attention to managing these growth activities. In addition, we expect to incur additional costs in hiring, training and retaining such additional personnel.</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are not able to effectively expand our organization, we may not be able to successfully execute the tasks necessary to further develop and commercialize pitolisant or any future product candidates and, accordingly, may not achieve our research, development and commercialization goals.</w:t>
      </w:r>
    </w:p>
    <w:p>
      <w:pPr>
        <w:spacing w:after="0" w:line="171"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highly dependent on the principal members of our management and scientific teams. We do not maintain “key person” insurance for any of our executives or other employees. The loss of the services of any of these persons could impede the achievement of our research, development and commercialization objectives.</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To encourage valuable employees to remain at our company, in addition to salary and cash incentives, we have provided equity award grants that vest over time. The value to employees of these equity grants that vest over time may be significantly affected by changes in the price of our common stock that are beyond our control, and may at any time be insufficient to retain employees who receive more lucrative offers from other companies. Any of our employees could leave our employment at any time, with or without notice.</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Recruiting and retaining qualified operations, finance and accounting, quality and compliance, scientific, clinical, manufacturing and sales and marketing personnel or consultants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If we are unable to attract, retain and motivate qualified and experienced personnel, it could harm our business, results of operations and financial condition. Even if we are successful in attracting and retaining such personnel, competition for such employees may significantly increase our compensation costs and adversely affect our business, results of operations and financial condition.</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loss of the services of any of our executive officers, key employees or consultants could seriously harm our ability to successfully implement our business strategy. Replacing executive officers, key employees or consultants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hire part-time employees or use consultants. As a result, certain of our employees, officers, directors or consultants may not devote all of their time to our business, and may from time to time serve as employees, officers, directors and consultants of other companies.</w:t>
      </w:r>
    </w:p>
    <w:p>
      <w:pPr>
        <w:spacing w:after="0" w:line="171"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Any unplanned event, such as flood, fire, explosion, earthquake, extreme weather condition, medical epidemics, power shortage, telecommunication failure or other natural or manmade accidents or incidents that result in us being unable to fully utilize our facilities, the manufacturing facilities of our third-party contract manufacturers or our or their distribution networks, may have a material and adverse effect on our ability to operate our business, particularly on a daily basis, and have significant negative consequences on our financial and operating conditions. Loss of access to these facilities may result in increased costs, or interruptions in the commercialization of WAKIX or our business operations. Natural disasters could further disrupt our operations, and have a material and adverse effect on our business, financial condition, results of operations and prospects. If a natural disaster, power outage or other event occurred that prevented us from using all or 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portion of our headquarters, that damaged critical infrastructure, such as our research facilities, the manufacturing facilities of our third-party contract manufacturers or our or their distribution networks, or that otherwise disrupted operations, it may be difficult or, in certain cases, impossible, for us to continue our business for a substantial period of time.</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 Any real or perceived security breaches,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7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collect and maintain data and information that is necessary to conduct our business, and we are increasingly dependent on information technology systems and infrastructure to operate our business, including systems infrastructure operated and maintained by our third-party suppliers or providers.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and integrity of such confidential information. We have established physical, electronic and organizational measures to safeguard and secure our systems and facilities to prevent an information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or unauthorized access or use resulting from computer viruses, malware, natural disasters, terrorism, war, telecommunication and electrical failures, denial-of-service attacks, cyber- attacks or cyber-intrusions over the Internet, hacking, phishing and other social engineering attacks, attachments to emails, persons inside our organization (including employees or contractors), lost or stolen devices, or persons with access to systems inside our organization.</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real or perceived security breach affects our systems (or those of our third-party providers or suppliers) or results in the loss of or accidental, unlawful or unauthorized access to, use of, release of or other processing of personally identifiable information or clinical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trial data, our reputation could be materially damaged. In addition, such a breach may require notification to governmental agencies, the media or individuals pursuant to applicable data privacy and security laws. We would also be exposed to a risk of loss, negative publicity, harm to our reputation, governmental investigation and/or enforcement actions, claims or litigation and potential liability, which could materially adversely affect our business, results of operations and financial condition. The global data protection landscape is rapidly evolving, and we may be affected by or subject to new, amended or existing laws and regulations in the future, including as our operations continue to expand or if we begin to operate in foreign jurisdictions.</w:t>
      </w:r>
    </w:p>
    <w:p>
      <w:pPr>
        <w:spacing w:after="0" w:line="181"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6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laws, data privacy and security laws and other similar non-U.S. laws; or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or misrepresentation of individually identifiable information, including, without limitation,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14"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We have a limited operating history and history of commercializing drugs, which may make it difficult for you to evaluate the success of our business to date and assess our future viability.</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commenced operations in 2017, and our operations to date have been largely focused on staffing our company, business planning, raising capital, acquiring the rights to pitolisant, seeking registration in the United States for our product WAKIX, which is approved for the treatment of EDS in adult patients with narcolepsy and cataplexy in adult patients with narcolepsy, the commercialization of WAKIX, manufacturing WAKIX on a commercial scale, and preparing to develop pitolisant for other potential indications. This has included preparing the application for regulatory approval and other activities that were required for us to obtain approval of our NDA, and activities related to commercializing WAKIX. WAKIX is our only drug candidate for which we have obtained regulatory approval. Consequently, any predictions about our future success or viability may not be as accurate as they could be if we had a longer operating history or a longer history of successfully developing and commercializing drugs.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expect our financial condition and operating results to continue to fluctuate from quarter to quarter and year to year due to a variety of factors, many of which are beyond our control. We may encounter unforeseen expenses, difficulties, complications, delays and other known or unknown factors.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have made and may be required in the future to make significant payments to Bioprojet under our licensing and collaboration agreements for pitolisant.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our agreements with Bioprojet, we are subject to significant obligations, including payment obligations upon the achievement of specified milestones and payments based on product sales, as well as other material obligations. Certain of the milestone payments payable by us under these agreements were paid prior to our commercialization of WAKIX.</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Upon the Cataplexy Milestone Trigger Date, we became obligated to make the $100.0 million Cataplexy Milestone Payment to Bioprojet under the 2017 LCA, which we paid in January 2021. In October 2020, we made a payment to Bioprojet under the 2017 LCA of $2.0 million to extend the Cataplexy Milestone Payment due date to within 90 days of the Cataplexy Milestone Trigger Date. A final $40.0 million milestone payment was paid to Bioprojet under the 2017 LCA in March 2022 upon the attainment of aggregate net sales of WAKIX in the United States of $500.0 million subsequent to the date of NDA approval by the FDA pursuant to the Bioprojet License Agreement. Harmony paid an initial, non-refundable $30.0 million licensing fee and additional payments of up to $155.0 million are potentially due under the 2022 LCA upon the achievement of certain future development and sales-based milestones.</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There can be no assurance that we will have the funds necessary to make such payments in the future, or be able to raise such funds when needed, on terms acceptable to us, or at all. If we fail to comply with our payment obligations, Bioprojet has the right to terminate the license agreement, in which event we would not be able to develop, manufacture or market WAKIX or any other pitolisant-based product candidate. Furthermore, if we are forced to raise additional funds to make such payments, we may be required to delay, limit, reduce or terminate our product development or future commercialization efforts.</w:t>
      </w:r>
    </w:p>
    <w:p>
      <w:pPr>
        <w:spacing w:after="0" w:line="181" w:lineRule="exact"/>
        <w:rPr>
          <w:sz w:val="20"/>
          <w:szCs w:val="20"/>
          <w:color w:val="auto"/>
        </w:rPr>
      </w:pPr>
    </w:p>
    <w:p>
      <w:pPr>
        <w:ind w:right="820"/>
        <w:spacing w:after="0" w:line="278" w:lineRule="auto"/>
        <w:rPr>
          <w:sz w:val="20"/>
          <w:szCs w:val="20"/>
          <w:color w:val="auto"/>
        </w:rPr>
      </w:pPr>
      <w:r>
        <w:rPr>
          <w:rFonts w:ascii="Arial" w:cs="Arial" w:eastAsia="Arial" w:hAnsi="Arial"/>
          <w:sz w:val="18"/>
          <w:szCs w:val="18"/>
          <w:b w:val="1"/>
          <w:bCs w:val="1"/>
          <w:i w:val="1"/>
          <w:iCs w:val="1"/>
          <w:color w:val="auto"/>
        </w:rPr>
        <w:t>Our Blackstone Credit Agreement contains restrictive and financial covenants that may limit our operating flexibility.</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Blackstone Credit Agreement contains certain restrictive covenants that either limit our ability to, or require a mandatory prepayment in the event that, we or our subsidiaries engage in new lines of business, incur additional indebtedness or liens, make certain investments, make certain payments, pay cash dividends, merge with other companies or consummate certain changes of control, make certain acquisitions, transfer or dispose of certain assets, liquidate or dissolve, amend certain material agreements, enter into sale and leaseback transactions, enter into various other specified transactions, or change our name, location, or executive office without notice. We, therefore, may not be able to engage in any of the foregoing transactions unless we obtain the consent of the lenders, or in certain cases Blackstone on their behalf, or prepay the outstanding amount under the Blackstone Credit Agreement. The Blackstone Credit Agreement also contains a financial covenant that requires us to maintain at all times cash and cash equivalents in certain deposit accounts in an amount at least equal to $10.0 million.</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obligations under the Blackstone Credit Agreement are secured by all of our assets, with certain exceptions. We may not be able to generate sufficient cash flow or sales to meet the financial covenants or pay the principal and interest under the Blackstone Credit Agreement. Furthermore, our future working capital, borrowings or equity financing could be unavailable to repay or refinance the amounts outstanding under the Blackstone Credit Agreement. In the event of a liquidation, the lenders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lenders under the Blackstone Credit Agreement, were first repaid in full.</w:t>
      </w:r>
    </w:p>
    <w:p>
      <w:pPr>
        <w:spacing w:after="0" w:line="18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Our failure to comply with the covenants or other terms of the Blackstone Credit Agreement, including as a result of events beyond our control, could result in a default under the Blackstone Credit Agreement that could materially and adversely affect the ongoing viability of our business.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Blackstone and the other Lenders may elect to accelerate the repayment of all unpaid principal of the Loans, accrued interest and other amounts owed under the Blackstone Credit Agreement upon consummation of a specified change of control transaction or the occurrence of certain events of default (as specified in the Blackstone Credit Agreement), including, among other things:</w:t>
      </w:r>
    </w:p>
    <w:p>
      <w:pPr>
        <w:spacing w:after="0" w:line="174" w:lineRule="exact"/>
        <w:rPr>
          <w:sz w:val="20"/>
          <w:szCs w:val="20"/>
          <w:color w:val="auto"/>
        </w:rPr>
      </w:pPr>
    </w:p>
    <w:p>
      <w:pPr>
        <w:ind w:left="4860" w:right="2920" w:hanging="4177"/>
        <w:spacing w:after="0" w:line="787" w:lineRule="auto"/>
        <w:tabs>
          <w:tab w:leader="none" w:pos="1003"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default in a payment obligation under the Blackstone Credit Agreement;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breach of the restrictive covenants or other terms of the Blackstone Credit Agreement;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breach of reporting obligations;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properly maintain the collateral;</w:t>
      </w:r>
    </w:p>
    <w:p>
      <w:pPr>
        <w:spacing w:after="0" w:line="224" w:lineRule="exact"/>
        <w:rPr>
          <w:rFonts w:ascii="Times New Roman" w:cs="Times New Roman" w:eastAsia="Times New Roman" w:hAnsi="Times New Roman"/>
          <w:sz w:val="18"/>
          <w:szCs w:val="18"/>
          <w:color w:val="auto"/>
        </w:rPr>
      </w:pPr>
    </w:p>
    <w:p>
      <w:pPr>
        <w:ind w:left="1000" w:right="60" w:hanging="317"/>
        <w:spacing w:after="0" w:line="270" w:lineRule="auto"/>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materially adverse amendment of a permit or authorization related to one of our products that is not revoked within 90 days;</w:t>
      </w:r>
    </w:p>
    <w:p>
      <w:pPr>
        <w:spacing w:after="0" w:line="16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specified change of control transaction occurring under the License Agreement;</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WAKIX or another material product, a governmental authority (i) asserting that such product lacks a material authorization, which assertion is not withdrawn or resolved within 90 days or (ii) taking certain regulatory actions resulting in a discontinuance, withdrawal or delay of such product which would reasonably be expected to last for more than 90 days;</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recall that would reasonably be expected to result in a material adverse effect;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entry into a settlement agreement with a government authority resulting in liability greater than $2.0 million;</w:t>
      </w:r>
    </w:p>
    <w:p>
      <w:pPr>
        <w:spacing w:after="0" w:line="224" w:lineRule="exact"/>
        <w:rPr>
          <w:rFonts w:ascii="Times New Roman" w:cs="Times New Roman" w:eastAsia="Times New Roman" w:hAnsi="Times New Roman"/>
          <w:sz w:val="18"/>
          <w:szCs w:val="18"/>
          <w:color w:val="auto"/>
        </w:rPr>
      </w:pPr>
    </w:p>
    <w:p>
      <w:pPr>
        <w:ind w:left="1000" w:right="440" w:hanging="317"/>
        <w:spacing w:after="0" w:line="270" w:lineRule="auto"/>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material breach under or the early termination of one of our key intellectual property licensing or supply chain agreements;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certain specified insolvency and bankruptcy-related events.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Subject to any applicable cure period set forth in the Blackstone Credit Agreement, all amounts outstanding with respect to the Loans (principal and accrued interest), as well as any applicable prepayment premiums or interest “make-whole” payments, would become due and payable, and upon the occurrence of a payment event of default and following acceleration of the Loans, all past due obligations shall bear interest at a default interest rate that is 2.00% higher than the otherwise applicable rate. Our assets or cash flow may not be sufficient to fully repay our obligations under the Loans if the obligations thereunder are accelerated upon any events of default. Further, if we are unable to repay, refinance or restructure our obligations under the Loans, the Administrative Agent on behalf of the Lenders could proceed to protect and enforce their rights under the Blackstone Credit Agreement and other loan documents by exercising such remedies (including foreclosure on the assets securing our obligations under the Blackstone Credit Agreement and the other loan documents) as are available to the Administrative Agent and the Lenders and in respect thereof under applicable law, either by suit in equity or by action at law, or both, whether for specific performance of any covenant or other agreement contained in the Blackstone Credit Agreement or other loan documents or in aid of the exercise of any power granted in the Blackstone Credit Agreement or other loan documents. Such repayment could have a material adverse effect on our business, operating results and financial condition.</w:t>
      </w:r>
    </w:p>
    <w:p>
      <w:pPr>
        <w:spacing w:after="0" w:line="19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have never paid dividends on our common stock and we do not intend to pay dividends for the foreseeable future. Consequently, any gains from an investment in our common stock will likely depend on whether the price of our common stock increases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Furthermore, our Blackstone Credit Agreement contains negative covenants that limit our ability to pay dividends.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To the extent that we raise additional capital by issuing equity securities, our existing shareholders’ ownership may experience substantial dilution, and the terms of these securities may include liquidation or other preferences that could adversely affect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 which could adversely affect our ability to conduct our business.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2022, we have utilized all of our U.S. federal net operating loss carryforwards and we had state net operating loss carryforwards of approximately $95.2 million. Utilization of the state net operating loss carryforwards may be subject to a substantial limitation due to state provisions. If we have experienced an ownership change at any time since our incorporation, we may be subject to limitations on our ability to utilize our existing net operating loss carryforwards to offset taxable income. In addition, future changes in our stock ownership, which may be outside of our control, may trigger an ownership change and, consequently, the limitations under Section 382 of the Code. As a result, if or when we earn net taxable income, our ability to use our pre-change net operating loss carryforwards to offset such taxable income may be subject to limitations, which could adversely affect our future cash flows.</w:t>
      </w:r>
    </w:p>
    <w:p>
      <w:pPr>
        <w:spacing w:after="0" w:line="182" w:lineRule="exact"/>
        <w:rPr>
          <w:sz w:val="20"/>
          <w:szCs w:val="20"/>
          <w:color w:val="auto"/>
        </w:rPr>
      </w:pPr>
    </w:p>
    <w:p>
      <w:pPr>
        <w:ind w:right="800"/>
        <w:spacing w:after="0" w:line="278" w:lineRule="auto"/>
        <w:rPr>
          <w:sz w:val="20"/>
          <w:szCs w:val="20"/>
          <w:color w:val="auto"/>
        </w:rPr>
      </w:pPr>
      <w:r>
        <w:rPr>
          <w:rFonts w:ascii="Arial" w:cs="Arial" w:eastAsia="Arial" w:hAnsi="Arial"/>
          <w:sz w:val="18"/>
          <w:szCs w:val="18"/>
          <w:b w:val="1"/>
          <w:bCs w:val="1"/>
          <w:i w:val="1"/>
          <w:iCs w:val="1"/>
          <w:color w:val="auto"/>
        </w:rPr>
        <w:t>Changes in tax laws or regulations could adversely affect our results of operations, business and financial condition.</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or our customers, each of which could adversely affect our results of operations, business and financial condition.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This tax law change will continue to have an adverse effect on our income tax liability, which could be material. In August 2022, the Inflation Reduction Act of 2022 was enacted, which, among other things, imposes a new 15% alternative minimum tax on the adjusted financial statement income of certain large corporations for tax years beginning after December 31, 2022. Changes in tax laws or regulations could materially increase our tax provision, cash tax liabilities, and effective tax rate, which may adversely affect our results of operations, business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1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The regulatory approval process of the FDA is costly, lengthy and inherently unpredictable, and if we are ultimately unable to obtain regulatory approval for pitolisant in other potential indications for which we may seek to develop pitolisant, our business will be substantially harmed.</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Although the commercialization of WAKIX is our primary focus, as part of our longer-term growth strategy, we plan to evaluate pitolisant in other indications and develop other product candidates. The research, testing, manufacturing, labeling, approval, selling, import, export, pricing and reimbursement marketing and distribution of drug products are subject to extensive regulation by the FDA and other regulatory agencies in the United States. Although we have obtained regulatory approval for WAKIX in the United States for the treatment of EDS or cataplexy in adult patients with narcolepsy, it is possible that we may not obtain regulatory approval for pitolisant for other indications, or for any other product candidates we may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seek to develop in the future. We received a Complete Response Letter for pitolisant for the treatment of cataplexy in adult patients with narcolepsy, and therefore the FDA did not approve WAKIX for this indication during the initial NDA review. Subsequently, in June 2020, we received a general advice letter from the FDA stating that the FDA had re-analyzed data from the HARMONY 1 trial that we submitted in the NDA in support of the adult cataplexy indication for WAKIX. As a result, the FDA recommended we submit a complete response resubmission in pursuit of the adult cataplexy indication for WAKIX. Following such resubmission, we received acknowledgement from the FDA that it considers the resubmission to be a complete Class 1 response to its August 14, 2019 action letter, and the user fee goal date, or decision date, was October 13, 2020. On October 13, 2020 we received regulatory approval for WAKIX for the treatment of cataplexy in adult patients with narcolepsy. Nevertheless, obtaining regulatory approval of an NDA can be a lengthy, expensive and uncertain process.</w:t>
      </w:r>
    </w:p>
    <w:p>
      <w:pPr>
        <w:spacing w:after="0" w:line="183"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The FDA can delay, limit or deny approval of a drug candidate for many reasons or require us to conduct additional preclinical or clinical testing, including, but not limited to, the following:</w:t>
      </w:r>
    </w:p>
    <w:p>
      <w:pPr>
        <w:spacing w:after="0" w:line="154" w:lineRule="exact"/>
        <w:rPr>
          <w:sz w:val="20"/>
          <w:szCs w:val="20"/>
          <w:color w:val="auto"/>
        </w:rPr>
      </w:pPr>
    </w:p>
    <w:p>
      <w:pPr>
        <w:ind w:left="1000" w:right="14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drug candidate may not be deemed safe or effective, or the clinical and other benefits may be deemed to not outweigh the candidate’s risks;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FDA might not approve our trial design and analysis plan;</w:t>
      </w:r>
    </w:p>
    <w:p>
      <w:pPr>
        <w:spacing w:after="0" w:line="224" w:lineRule="exact"/>
        <w:rPr>
          <w:rFonts w:ascii="Times New Roman" w:cs="Times New Roman" w:eastAsia="Times New Roman" w:hAnsi="Times New Roman"/>
          <w:sz w:val="18"/>
          <w:szCs w:val="18"/>
          <w:color w:val="auto"/>
        </w:rPr>
      </w:pPr>
    </w:p>
    <w:p>
      <w:pPr>
        <w:ind w:left="1000" w:right="10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FDA may not find the data from nonclinical and clinical studies and trials sufficient or may disagree with our interpretation of data from nonclinical or clinical studies;</w:t>
      </w:r>
    </w:p>
    <w:p>
      <w:pPr>
        <w:spacing w:after="0" w:line="154" w:lineRule="exact"/>
        <w:rPr>
          <w:rFonts w:ascii="Times New Roman" w:cs="Times New Roman" w:eastAsia="Times New Roman" w:hAnsi="Times New Roman"/>
          <w:sz w:val="18"/>
          <w:szCs w:val="18"/>
          <w:color w:val="auto"/>
        </w:rPr>
      </w:pPr>
    </w:p>
    <w:p>
      <w:pPr>
        <w:ind w:left="1000" w:right="260" w:hanging="317"/>
        <w:spacing w:after="0" w:line="252"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 or other products containing the active ingredient in our product candidates;</w:t>
      </w:r>
    </w:p>
    <w:p>
      <w:pPr>
        <w:spacing w:after="0" w:line="170" w:lineRule="exact"/>
        <w:rPr>
          <w:rFonts w:ascii="Times New Roman" w:cs="Times New Roman" w:eastAsia="Times New Roman" w:hAnsi="Times New Roman"/>
          <w:sz w:val="18"/>
          <w:szCs w:val="18"/>
          <w:color w:val="auto"/>
        </w:rPr>
      </w:pPr>
    </w:p>
    <w:p>
      <w:pPr>
        <w:ind w:left="1000" w:right="26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inspection(s) by the FDA or other regulatory authorities may result in unacceptable findings that could negatively impact approval of pitolisant;</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FDA might not accept or deem acceptable a third-party manufacturers’ processes or facilities; or</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FDA may change its approval policies or adopt new regulations.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Prior to obtaining approval to commercialize a drug candidate in the United States, we or our collaborators must demonstrate with substantial evidence from well-controlled clinical trials, and to the satisfaction of the FDA, that such drug candidates are safe and effective for their intended uses. The number of nonclinical and clinical studies and trials that will be required for FDA approval varies depending on the drug candidate, the disease or condition that the drug candidate is designed to address, and the regulations applicable to any particular drug candidate. In addition, data obtained from preclinical trials and clinical trials are susceptible to varying interpretations, and regulatory authorities may not interpret our data as favorably as we do, which may further delay, limit or prevent development efforts, clinical trials or marketing approval. Furthermore, as more competing drug candidates within a particular class of drugs proceed through clinical development to regulatory review and approval, the amount and type of clinical data that may be required by regulatory authorities may increase or change. Even if we believe the preclinical or clinical data for our product candidates are promising, such data may not be sufficient to support approval by the FDA and other regulatory authorities. If pitolisant fails to demonstrate safety and efficacy in clinical trials or does not gain regulatory approval for other indications, our business and results of operations will be materially and adversely harmed. Additionally, if the FDA requires that we conduct additional clinical trials, places limitations on pitolisant in our label, delays approval to market pitolisant or limits the use of pitolisant, our business and results of operations may be harmed.</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comparable foreign regulatory authority, as the case may be, and may ultimately lead to the denial of marketing approval of one or more of our product candidates.</w:t>
      </w:r>
    </w:p>
    <w:p>
      <w:pPr>
        <w:spacing w:after="0" w:line="156"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If we fail to obtain and sustain an adequate level of coverage and reimbursement for WAKIX and other product candidates by third-party payors, sales would be adversely affected.</w:t>
      </w:r>
    </w:p>
    <w:p>
      <w:pPr>
        <w:spacing w:after="0" w:line="1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Successful sales of WAKIX and any other product candidates that may receive regulatory approval depend on the availability of coverage and adequate reimbursement from third-party payors. Patients who are prescribed medications for the treatment of their conditions generally rely on third- party payors to reimburse all or part of the costs associated with their prescription drugs. There is significant uncertainty related to third-party payor coverage and reimbursement of newly approved drugs. Regulatory approvals, pricing and reimbursement for new drug products vary widely from country to country. In the United States, the principal decisions about reimbursement for new medicines are typically made by CMS, an agency within HHS. CMS decides whether and to what extent a new medicine will be covered and reimbursed under Medicare. Private payors tend to follow CMS to a substantial degree. Commercial third-party payors, such as private health insurers and health maintenance organizations, also decide which medications they will pay for and establish reimbursement levels, though commercial third-party payors often follow CMS’ reimbursement determinations. The availability of coverage and the extent of reimbursement by governmental and private payors is essential for most patients to be able to afford treatments. Sales of WAKIX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54" w:lineRule="exact"/>
        <w:rPr>
          <w:sz w:val="20"/>
          <w:szCs w:val="20"/>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cannot be sure that reimbursement will be available for WAKIX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Obtaining coverage and reimbursement approval for a product from a government or other third- party payor can be an expensive and time-consuming process that could require us to provide supporting scientific, clinical and cost effectiveness data for the use of our products to the payor. The industry competition to be included in third-party payors’ drug formularies, or lists of medications for which third- party payors provide coverage and reimbursement, often leads to downward pricing pressures on pharmaceutical products. In addition, third-party payors may refuse to include a particular branded drug in their formularies or otherwise restrict patient access through formulary controls or otherwise to a branded drug when a less costly generic equivalent or other alternative is available.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In addition, many pharmaceutical manufacturers must calculate and report certain price reporting metrics to the government, such as average manufacture price and best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price. Penalties may apply in some cases when such metrics are not submitted accurately and timely. We cannot be sure that reimbursement will be available for any product candidate that we commercialize and, if reimbursement is available, the level of reimbursement.</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addition,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have obtained coverage for WAKIX from certain third-party payors, the resulting reimbursement payment rates might not be adequate or may require co-payments that patients find unacceptably high. Patients are unlikely to use WAKIX unless coverage is provided and reimbursement is adequate to cover a significant portion of the cost of WAKIX.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We may suffer loss of corporate reputation due to industry-wide legislative or public scrutiny of our pricing decisions and practices within an increasingly price-sensitive environment.</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Despite obtaining formulary approval from certain third-party payors, sometimes with prior authorization or other formulary restrictions and requirements, including documented failure or inadequate response to alternative treatments, we expect to experience pricing pressures in connection with the sale of WAKIX due to the trend toward cost containment, managed healthcare, the increasing influence of health maintenance organizations and additional legislative changes. Large public and private payors, managed care organizations, group purchasing organizations and similar organizations are exerting increasing influence on decisions regarding the use of, and reimbursement levels for, particular treatments. Such third-party payors, including Medicare, are questioning the coverage of, and challenging the prices charged for medical products and services, and many third-party payors limit coverage of, or reimbursement for, newly approved health care products.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WAKIX.</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These cost-control initiatives could decrease the price we have established for WAKIX, which could result in product revenues being lower than anticipated. The pricing, coverage and reimbursement of WAKIX must be adequate to support a commercial infrastructure. If the price for WAKIX decreases or if governmental and other third-party payors do not provide adequate coverage and reimbursement levels, our revenue, gross margins and prospects for profitability will suffer.</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While we have not taken any steps to attain regulatory or patent approvals in any specific markets outside of the United States, we plan to explore obtaining additional licensing rights from Bioprojet to expand into international markets with WAKIX</w:t>
      </w:r>
      <w:r>
        <w:rPr>
          <w:rFonts w:ascii="Arial" w:cs="Arial" w:eastAsia="Arial" w:hAnsi="Arial"/>
          <w:sz w:val="18"/>
          <w:szCs w:val="18"/>
          <w:b w:val="1"/>
          <w:bCs w:val="1"/>
          <w:color w:val="auto"/>
        </w:rPr>
        <w:t>.</w:t>
      </w:r>
      <w:r>
        <w:rPr>
          <w:rFonts w:ascii="Arial" w:cs="Arial" w:eastAsia="Arial" w:hAnsi="Arial"/>
          <w:sz w:val="18"/>
          <w:szCs w:val="18"/>
          <w:color w:val="auto"/>
        </w:rPr>
        <w:t xml:space="preserve"> Outside the United States, international operations are generally subject to extensive governmental price controls and other market regulations, and we believe the increasing emphasis on cost-containment initiatives in Europe and other countries will likely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WAKIX. Accordingly, in markets outside the United States, the reimbursement for WAKIX may be reduced compared with the United States and may be insufficient to generate commercially reasonable revenue and profits.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WAKIX has been approved by the FDA for the treatment of EDS in adult patients with narcolepsy, and cataplexy in adult patients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7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received approval for the indications of the treatment of EDS in adult patients with narcolepsy and cataplexy in adult patients with narcolepsy, WAKIX is not indicated to treat any other conditions. We are prohibited from promoting WAKIX for any other indication unless we are granted FDA approval for such indication. The FDA strictly regulates the promotional claims that may be made about prescription products, and WAKIX may not be promoted for uses that are not approved by the FDA as reflected in its approved labeling. If we are not able to obtain FDA approval for any desired future indications for our products and product candidates, our ability to effectively market and sell our products may be reduced and our business may be adversely affected.</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82"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b w:val="1"/>
          <w:bCs w:val="1"/>
          <w:i w:val="1"/>
          <w:iCs w:val="1"/>
          <w:color w:val="auto"/>
        </w:rPr>
        <w:t>WAKIX or any of our future product candidates may cause undesirable side effects or have other properties that could delay or prevent their regulatory approval, reduce the commercial attractiveness of a prescribing label or result in significant negative consequences following regulatory approval, if approved.</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Clinical trials of WAKIX or other product candidates we may develop could reveal a high and unacceptable incidence and severity of undesirable side effects. Undesirable side effects could adversely affect patient enrollment in clinical studies, cause us or regulatory authorities to interrupt, delay or halt clinical studies or result in the delay, denial or withdrawal of regulatory approval by the FDA or other regulatory authorities. Undesirable or adverse side effects also could result in regulatory authorities mandating a more restrictive prescribing label for the product, which, in turn, could limit the market acceptance of the product even if approved for marketing and commercialization.</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Drug-related side effects could result in potential product liability claims. We believe our product liability insurance coverage is sufficient in light of our clinical programs; however, we may not be able to maintain insurance coverage at a reasonable cost or in sufficient amounts or maintain coverage at all to protect us against losses due to liability. A successful product liability claim or series of claims brought against us could cause our stock price to decline and, if judgments exceed our insurance coverage, could adversely affect our results of operations, business and financial condition. In addition, regardless of merit or eventual outcome, product liability claims may result in impairment of our business reputation, significant negative media attention, withdrawal of clinical study participants, costs due to related litigation, distraction of management’s attention from our primary business, initiation of investigations by regulators, substantial monetary awards to patients or other claimants, the inability to commercialize our current product candidate or any future product candidate, product recalls, restrictions on labeling, marketing or promotion, decreased demand for our product candidates, if approved for marketing, and loss of revenue.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if we or others later identify undesirable side effects caused by WAKIX, either in the post-marketing setting or in clinical trials in other potential indications for which we develop pitolisant, or in clinical trials for other product candidates, a number of potentially significant negative consequences could result, including but not limited to:</w:t>
      </w:r>
    </w:p>
    <w:p>
      <w:pPr>
        <w:spacing w:after="0" w:line="169" w:lineRule="exact"/>
        <w:rPr>
          <w:sz w:val="20"/>
          <w:szCs w:val="20"/>
          <w:color w:val="auto"/>
        </w:rPr>
      </w:pPr>
    </w:p>
    <w:p>
      <w:pPr>
        <w:ind w:left="4860" w:right="3100" w:hanging="4177"/>
        <w:spacing w:after="0" w:line="787" w:lineRule="auto"/>
        <w:tabs>
          <w:tab w:leader="none" w:pos="100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delay, prevention or withdrawal of approvals by regulatory authorities;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additional warnings on the prescribing label;</w:t>
      </w:r>
    </w:p>
    <w:p>
      <w:pPr>
        <w:spacing w:after="0" w:line="224" w:lineRule="exact"/>
        <w:rPr>
          <w:rFonts w:ascii="Times New Roman" w:cs="Times New Roman" w:eastAsia="Times New Roman" w:hAnsi="Times New Roman"/>
          <w:sz w:val="18"/>
          <w:szCs w:val="18"/>
          <w:color w:val="auto"/>
        </w:rPr>
      </w:pPr>
    </w:p>
    <w:p>
      <w:pPr>
        <w:jc w:val="both"/>
        <w:ind w:left="1000" w:right="100" w:hanging="317"/>
        <w:spacing w:after="0" w:line="252" w:lineRule="auto"/>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 REMS plan, which could include a medication guide outlining the risks of such side effects for distribution to patients, a communication plan for healthcare providers and/or other elements to assure safe use;</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designation as a controlled substance by the DEA;</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and the potential to be held liable for harm caused to patients;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 adverse effect on our reputation.</w:t>
      </w:r>
    </w:p>
    <w:p>
      <w:pPr>
        <w:spacing w:after="0" w:line="2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pitolisant and could significantly harm our business, results of operations, financial condition and prospects.</w:t>
      </w:r>
    </w:p>
    <w:p>
      <w:pPr>
        <w:spacing w:after="0" w:line="156"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b w:val="1"/>
          <w:bCs w:val="1"/>
          <w:i w:val="1"/>
          <w:iCs w:val="1"/>
          <w:color w:val="auto"/>
        </w:rPr>
        <w:t>We have never commercialized a product candidate prior to WAKIX and we may lack the necessary expertise, personnel and resources to successfully commercialize WAKIX or any other potential product candidates that receive regulatory approval on our own or together with collaborators.</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WAKIX is our first commercialized product. Prior to this, our operations had been limited to organizing and staffing our company, business planning, raising capital, acquiring the rights to our product candidates and undertaking preclinical studies and clinical trials of our product candidates. We currently have no in-house manufacturing, distribution or supply capabilities. To achieve commercial success of WAKIX or any other product candidate, if approved, we will have to develop our own manufacturing, distribution and supply capabilities or outsource these activities to a third party.</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early in our commercialization efforts.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or other key global markets. If we are unable to build our own distribution and marketing capabilities or to find suitable partners for the commercialization of our product candidates, we may have difficulties generating revenue from them.</w:t>
      </w:r>
    </w:p>
    <w:p>
      <w:pPr>
        <w:spacing w:after="0" w:line="18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exclusivity before approving generic versions of our products, the sales of our products could be adversely affected.</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(“NCE”).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we have received five years of NCE exclusivity for WAKIX, manufacturers may seek to launch generic products following the expiration of the applicable exclusivity period we obtain, even if we still have patent protection for our product.</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Competition that our products may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171"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 candidates are safe and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169" w:lineRule="exact"/>
        <w:rPr>
          <w:sz w:val="20"/>
          <w:szCs w:val="20"/>
          <w:color w:val="auto"/>
        </w:rPr>
      </w:pPr>
    </w:p>
    <w:p>
      <w:pPr>
        <w:ind w:left="1000" w:right="400" w:hanging="317"/>
        <w:spacing w:after="0" w:line="270"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other reviewing bodies may not authorize us or our investigators to commence a clinical trial, or to conduct or continue a clinical trial at a prospective or specific trial site;</w:t>
      </w:r>
    </w:p>
    <w:p>
      <w:pPr>
        <w:spacing w:after="0" w:line="154" w:lineRule="exact"/>
        <w:rPr>
          <w:rFonts w:ascii="Times New Roman" w:cs="Times New Roman" w:eastAsia="Times New Roman" w:hAnsi="Times New Roman"/>
          <w:sz w:val="18"/>
          <w:szCs w:val="18"/>
          <w:color w:val="auto"/>
        </w:rPr>
      </w:pPr>
    </w:p>
    <w:p>
      <w:pPr>
        <w:ind w:left="1000" w:right="200" w:hanging="317"/>
        <w:spacing w:after="0" w:line="300" w:lineRule="auto"/>
        <w:tabs>
          <w:tab w:leader="none" w:pos="100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reach agreement on acceptable terms with prospective CROs and clinical trial sites, the terms of which can be subject to extensive negotiation and may vary significantly among different CROs and trial sites;</w:t>
      </w:r>
    </w:p>
    <w:p>
      <w:pPr>
        <w:spacing w:after="0" w:line="131" w:lineRule="exact"/>
        <w:rPr>
          <w:rFonts w:ascii="Times New Roman" w:cs="Times New Roman" w:eastAsia="Times New Roman" w:hAnsi="Times New Roman"/>
          <w:sz w:val="17"/>
          <w:szCs w:val="17"/>
          <w:color w:val="auto"/>
        </w:rPr>
      </w:pPr>
    </w:p>
    <w:p>
      <w:pPr>
        <w:ind w:left="1000" w:right="160" w:hanging="317"/>
        <w:spacing w:after="0" w:line="243"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or patients required for clinical trials of pitolisant in additional indications or any other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9" w:lineRule="exact"/>
        <w:rPr>
          <w:rFonts w:ascii="Times New Roman" w:cs="Times New Roman" w:eastAsia="Times New Roman" w:hAnsi="Times New Roman"/>
          <w:sz w:val="18"/>
          <w:szCs w:val="18"/>
          <w:color w:val="auto"/>
        </w:rPr>
      </w:pPr>
    </w:p>
    <w:p>
      <w:pPr>
        <w:jc w:val="both"/>
        <w:ind w:left="1000" w:right="6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170" w:lineRule="exact"/>
        <w:rPr>
          <w:rFonts w:ascii="Times New Roman" w:cs="Times New Roman" w:eastAsia="Times New Roman" w:hAnsi="Times New Roman"/>
          <w:sz w:val="18"/>
          <w:szCs w:val="18"/>
          <w:color w:val="auto"/>
        </w:rPr>
      </w:pPr>
    </w:p>
    <w:p>
      <w:pPr>
        <w:ind w:left="1000" w:right="60" w:hanging="317"/>
        <w:spacing w:after="0" w:line="252"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to amend clinical trial protocols submitted to regulatory authorities or conduct additional studies to reflect changes in regulatory requirements or guidance, which we may be required to resubmit to an IRB and regulatory authorities for re-examination;</w:t>
      </w:r>
    </w:p>
    <w:p>
      <w:pPr>
        <w:spacing w:after="0" w:line="170" w:lineRule="exact"/>
        <w:rPr>
          <w:rFonts w:ascii="Times New Roman" w:cs="Times New Roman" w:eastAsia="Times New Roman" w:hAnsi="Times New Roman"/>
          <w:sz w:val="18"/>
          <w:szCs w:val="18"/>
          <w:color w:val="auto"/>
        </w:rPr>
      </w:pPr>
    </w:p>
    <w:p>
      <w:pPr>
        <w:ind w:left="1000" w:right="80" w:hanging="317"/>
        <w:spacing w:after="0" w:line="243"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other reviewing bodies may fail to approve or subsequently find fault with the manufacturing processes or facilities of third-party manufacturers with which we enter into agreement for clinical and commercial supplies, or the supply or quality of pitolisant or any other product candidate or other materials necessary to conduct clinical trials of our product candidates may be insufficient, inadequate or not available at an acceptable cost, or we may experience interruptions in supply; and</w:t>
      </w:r>
    </w:p>
    <w:p>
      <w:pPr>
        <w:spacing w:after="0" w:line="179" w:lineRule="exact"/>
        <w:rPr>
          <w:rFonts w:ascii="Times New Roman" w:cs="Times New Roman" w:eastAsia="Times New Roman" w:hAnsi="Times New Roman"/>
          <w:sz w:val="18"/>
          <w:szCs w:val="18"/>
          <w:color w:val="auto"/>
        </w:rPr>
      </w:pPr>
    </w:p>
    <w:p>
      <w:pPr>
        <w:ind w:left="1000" w:right="440" w:hanging="317"/>
        <w:spacing w:after="0" w:line="270" w:lineRule="auto"/>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Negative or inconclusive results from our ongoing clinical trials of pitolisant for the treatment of narcolepsy, or any other clinical trial or preclinical studies in animals that we conduct, could mandate repeated or additional clinical trials and could result in changes to or delays in clinical trials in other indications. We do not know whether any clinical trials that we may conduct will demonstrate adequate efficacy and safety to result in regulatory approval to market pitolisant for our initial or potential additional indications, or any other product candidate. If later stage clinical trials do not produce favorable results, our ability to obtain regulatory approval for pitolisant for initial or potential additional indications, or any other product candidate, may be adversely impacted.</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failure to successfully initiate and complete clinical trials of pitolisant for potential additional indications or any other product candidate and to demonstrate the efficacy and safety necessary to obtain regulatory approval to market pitolisant or any other product candidate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pitolisant or any other product candidate.</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prior to our acquisition of the rights to pitolisant, we had no involvement with or control over the nonclinical or clinical development of pitolisant. Additionally, pursuant to our collaboration agreement with Bioprojet, we will rely on data generated by Bioprojet in connection with seeking regulatory approval of pitolisant in the territories in which we have rights to develop and commercialize pitolisant. We are dependent on Bioprojet having conducted such research and development in accordance with the applicable protocols and legal, regulatory and scientific standards, having accurately reported the results of all clinical trials and other research they conducted prior to our acquisition of the rights to pitolisant, having correctly collected and interpreted the data from these trials and other research, and having supplied us with complete information, data sets and reports required to adequately demonstrate the results reported through the date of our acquisition of these assets. Problems related to predecessors could result in increased costs and delays in the development of pitolisant for additional indications, which could adversely affect our ability to generate any future revenue from sales of pitolisant, if approved for additional indications.</w:t>
      </w:r>
    </w:p>
    <w:p>
      <w:pPr>
        <w:spacing w:after="0" w:line="1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topline data, and the results and related findings and conclusions are subject to change following completion of the study or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approval for and commercialize our product candidates, our business, operating results, prospects or financial condition may be harmed.</w:t>
      </w:r>
    </w:p>
    <w:p>
      <w:pPr>
        <w:spacing w:after="0" w:line="156"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may encounter delays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Patient enrollment and retention in clinical trials depends on many factors, including the size of the patient population, the nature of the trial protocol, our ability to recruit clinical trial investigators with the appropriate competencies and experience,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the risk that patients enrolled in clinical trials will drop out of the trials before completion.</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Furthermore, any negative results or new safety signals we or third parties may report in clinical trials of our product candidates may make it difficult or impossible to recruit and retain patients in our clinical trials. Similarly, negative results reported by our competitors about their drug candidates may negatively affect patient recruitment in our clinical trials. In addition, marketing authorization of competitors in this same class of drugs may impair our ability to enroll patients into our clinical trials, delaying or potentially preventing us from completing recruitment of one or more of our trials. Delays or failures in planned patient enrollment or retention may result in increased costs, program delays or both, which could have a harmful effect on our ability to develop pitolisant or any future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18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Even though the FDA granted orphan drug designation to pitolisant for the treatment of narcolepsy, we may not be able to obtain or maintain orphan drug marketing exclusivity for this product candidate or any other product candidates.</w:t>
      </w:r>
    </w:p>
    <w:p>
      <w:pPr>
        <w:spacing w:after="0" w:line="15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annually in the United States. Pitolisant was granted orphan drug designation for the treatment of narcolepsy in 2010. Generally,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drug for the same indication for that time period.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The applicable exclusivity period is seven years in the United States. Orphan drug exclusivity in the United States may be unavailable where the indication for which the product candidate is approved is broader than the orphan-designated indication, or is otherwise different from the orphan-designated indication. For example, the FDA granted orphan drug designation for pitolisant for the treatment of narcolepsy. Even if we obtain orphan drug exclusivity for a drug candidate, that exclusivity may not effectively protect the candidate from competition. WAKIX may face additional competition because different drugs with a different active moiety can still be approved for the same condition. Even after an approved drug is granted orphan exclusivity, exclusivity may be lost if the FDA later determines that the request for designation was materially defective or if we are unable to assure sufficient quantities of the drug to meet the needs of patients with the rare disease or condition following approval. In addition, the FDA can subsequently approve products with the same active moiety for the same condition if the FDA concludes that the later drug is safer, more effective, or makes a major contribution to patient care.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August 3, 2017, Congress passed the FDA Reauthorization Act of 2017 (“FDARA”). FDARA, among other things, codified the FDA’s pre-existing regulatory interpretation, to require that a drug sponsor demonstrate the clinical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superiority of an orphan drug that is otherwise the same as a previously approved drug for the same rare disease or condition in order to receive orphan drug exclusivity.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8"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i w:val="1"/>
          <w:iCs w:val="1"/>
          <w:color w:val="auto"/>
        </w:rPr>
        <w:t>We are subject to ongoing regulatory obligations and continued regulatory review with respect to WAKIX, which will result in significant additional expense. Additionally, WAKIX could be subject to labeling and other restrictions and market withdrawal, and we may be subject to penalties if we fail to comply with regulatory requirements or experience unanticipated problems with WAKIX.</w:t>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WAKIX is subject to extensive and ongoing regulatory requirements for manufacturing, labeling, packaging, storage, advertising, promotion, sampling, distribution, import, export, record keeping and submission of safety and other post-market information, including both federal and state requirements in the United States. In addition, manufacturers and manufacturers’ facilities are required to comply with extensive FDA requirements, including ensuring that quality control and manufacturing procedures conform to cGMP. As such, we and our contract manufacturers are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regulatory approval for WAKIX for the treatment of EDS or cataplexy in adult patients with narcolepsy, and any other regulatory approvals we may receive for pitolisant or any future product candidates may be subject to limitations on the approved indicated uses for which the product may be marketed or to the conditions of approval, or contain requirements for potentially costly post-marketing testing, which must comply with applicable GCP regulations. We could also be asked to conduct post marketing clinical studies to verify the safety and efficacy of future product candidates in general or in specific patient subsets. For example, as a part of the regulatory approval for WAKIX for the treatment of EDS in adult patients with narcolepsy, we are required to conduct post-marketing studies in women exposed to pitolisant in pregnancy, including a registry-based observational cohort study to assess maternal, fetal, and infant outcomes of women exposed to pitolisant during pregnancy, and another study of a different design such as a case control study or a retrospective cohort study using electronic medical record data, and a lactation study.</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will also be required to report certain adverse events and production problems, if any, to the FDA, and to comply with requirements concerning advertising and promotion for WAKIX. Promotional communications with respect to prescription drugs are subject to a variety of legal and regulatory restrictions and must be consistent with the information in the product’s approved label. As such, we may not promote WAKIX for indications or uses for which it does not have FDA approval. The holder of an approved NDA must submit new or supplemental applications and obtain approval for certain changes to the approved product, product labeling or manufacturing process.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If a regulatory agency discovers previously unknown problems with WAKIX, such as adverse events of unanticipated severity or frequency, or problems with the facility where the product is manufactured, or disagrees with the promotion, marketing, or labeling of a product, the regulatory agency may impose restrictions on the product or us, including requiring withdrawal of the product from the market. If we fail to comply with applicable regulatory requirements, a regulatory agency or enforcement authority may, among other things:</w:t>
      </w:r>
    </w:p>
    <w:p>
      <w:pPr>
        <w:spacing w:after="0" w:line="176" w:lineRule="exact"/>
        <w:rPr>
          <w:sz w:val="20"/>
          <w:szCs w:val="20"/>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issue warning or untitled letters;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impose civil or criminal penalties, including product seizures and injunctions;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limit or suspend regulatory approval;</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suspend any of our ongoing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24" w:lineRule="exact"/>
        <w:rPr>
          <w:rFonts w:ascii="Times New Roman" w:cs="Times New Roman" w:eastAsia="Times New Roman" w:hAnsi="Times New Roman"/>
          <w:sz w:val="18"/>
          <w:szCs w:val="18"/>
          <w:color w:val="auto"/>
        </w:rPr>
      </w:pPr>
    </w:p>
    <w:p>
      <w:pPr>
        <w:ind w:left="1000" w:right="1020" w:hanging="317"/>
        <w:spacing w:after="0" w:line="270" w:lineRule="auto"/>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impose restrictions on our operations, including closing our contract manufacturers’ facilities, on the manufacturing of our products, or on the labeling or marketing of our products;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products or require a product recall or withdrawal of the products from the market.</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WAKIX or future product candidates. If regulatory sanctions are applied or if regulatory approval is withdrawn, the value of our company and our operating results will be adversely affected. Additionally, if we are unable to generate revenues from the sale of WAKIX or future product candidates, our potential for achieving profitability will be diminished and the capital necessary to fund our operations will be increased.</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The policies of the FDA and of other regulatory authorities may change and additional government regulations may be enacted that could prevent, limit or delay regulatory approval of our product candidates. For example, the results of the 2020 U.S. Presidential election may affect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actions will be implemented, or whether they will be rescinded or replaced under the Biden Administration. The policies and priorities of the Biden Administration are unknown and may materially impact the regulatory framework governing our products. If we are slow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prospects, financial condition and results of operations.</w:t>
      </w:r>
    </w:p>
    <w:p>
      <w:pPr>
        <w:spacing w:after="0" w:line="18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71"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federal and state healthcare laws and regulations pertaining to fraud and abuse and patients’ rights. These laws may constrain the business or financial arrangements and relationships through which we conduct our operations, including how we research, market, sell and distribute our product candidates, if approved. The laws that affect our current and future operations include, but are not limited to:</w:t>
      </w:r>
    </w:p>
    <w:p>
      <w:pPr>
        <w:spacing w:after="0" w:line="179" w:lineRule="exact"/>
        <w:rPr>
          <w:sz w:val="20"/>
          <w:szCs w:val="20"/>
          <w:color w:val="auto"/>
        </w:rPr>
      </w:pPr>
    </w:p>
    <w:p>
      <w:pPr>
        <w:ind w:left="1000" w:right="80" w:hanging="317"/>
        <w:spacing w:after="0" w:line="239" w:lineRule="auto"/>
        <w:tabs>
          <w:tab w:leader="none" w:pos="10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receiving, offering or paying any remuneration (including any kickback, bribe, or certain rebate), directly or indirectly, overtly or covertly, in cash or in kind, in exchange for, or to induce or reward, or in return for, either the referral of an individual for, or the purchase, lease, order or recommendation of, any good, facility, item, or service for which payment may be made, in whole or in part, under any U.S. federal healthcare programs, such as the Medicare and Medicaid programs. This statute has been interpreted to apply to arrangements between pharmaceutical manufacturers on the one hand, and prescribers, purchasers and formulary managers, among others, on the other. A person or entity does not need to have actual knowledge of the statute or specific intent to violate it in order to have committed a violation;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40" w:hanging="317"/>
        <w:spacing w:after="0" w:line="237"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civil and criminal false claims laws, such as the False Claims Act (“FCA”), which imposes significant penalties and can be enforced by private citizens through civil qui tam actions, and prohibits individuals or entities from, among other things, knowingly presenting, or causing to be presented, to the U.S. federal government, false, fictitious or fraudulent claims for payment of federal funds, and knowingly making, using or causing to be made or used a false record or statement material to a false or fraudulent claim, or from knowingly making a false statement to avoid, decrease or conceal an obligation to pay money to the U.S.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FCA;</w:t>
      </w:r>
    </w:p>
    <w:p>
      <w:pPr>
        <w:spacing w:after="0" w:line="190" w:lineRule="exact"/>
        <w:rPr>
          <w:rFonts w:ascii="Times New Roman" w:cs="Times New Roman" w:eastAsia="Times New Roman" w:hAnsi="Times New Roman"/>
          <w:sz w:val="18"/>
          <w:szCs w:val="18"/>
          <w:color w:val="auto"/>
        </w:rPr>
      </w:pPr>
    </w:p>
    <w:p>
      <w:pPr>
        <w:ind w:left="1000" w:hanging="317"/>
        <w:spacing w:after="0" w:line="246"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76" w:lineRule="exact"/>
        <w:rPr>
          <w:rFonts w:ascii="Times New Roman" w:cs="Times New Roman" w:eastAsia="Times New Roman" w:hAnsi="Times New Roman"/>
          <w:sz w:val="18"/>
          <w:szCs w:val="18"/>
          <w:color w:val="auto"/>
        </w:rPr>
      </w:pPr>
    </w:p>
    <w:p>
      <w:pPr>
        <w:ind w:left="1000" w:right="40" w:hanging="317"/>
        <w:spacing w:after="0" w:line="242"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77" w:lineRule="exact"/>
        <w:rPr>
          <w:rFonts w:ascii="Times New Roman" w:cs="Times New Roman" w:eastAsia="Times New Roman" w:hAnsi="Times New Roman"/>
          <w:sz w:val="18"/>
          <w:szCs w:val="18"/>
          <w:color w:val="auto"/>
        </w:rPr>
      </w:pPr>
    </w:p>
    <w:p>
      <w:pPr>
        <w:ind w:left="1000" w:right="100" w:hanging="317"/>
        <w:spacing w:after="0" w:line="270"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54" w:lineRule="exact"/>
        <w:rPr>
          <w:rFonts w:ascii="Times New Roman" w:cs="Times New Roman" w:eastAsia="Times New Roman" w:hAnsi="Times New Roman"/>
          <w:sz w:val="18"/>
          <w:szCs w:val="18"/>
          <w:color w:val="auto"/>
        </w:rPr>
      </w:pPr>
    </w:p>
    <w:p>
      <w:pPr>
        <w:ind w:left="1000" w:right="440" w:hanging="317"/>
        <w:spacing w:after="0" w:line="270"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54" w:lineRule="exact"/>
        <w:rPr>
          <w:rFonts w:ascii="Times New Roman" w:cs="Times New Roman" w:eastAsia="Times New Roman" w:hAnsi="Times New Roman"/>
          <w:sz w:val="18"/>
          <w:szCs w:val="18"/>
          <w:color w:val="auto"/>
        </w:rPr>
      </w:pPr>
    </w:p>
    <w:p>
      <w:pPr>
        <w:jc w:val="both"/>
        <w:ind w:left="1000" w:right="400" w:hanging="317"/>
        <w:spacing w:after="0" w:line="252"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170" w:lineRule="exact"/>
        <w:rPr>
          <w:rFonts w:ascii="Times New Roman" w:cs="Times New Roman" w:eastAsia="Times New Roman" w:hAnsi="Times New Roman"/>
          <w:sz w:val="18"/>
          <w:szCs w:val="18"/>
          <w:color w:val="auto"/>
        </w:rPr>
      </w:pPr>
    </w:p>
    <w:p>
      <w:pPr>
        <w:jc w:val="both"/>
        <w:ind w:left="1000" w:right="40" w:hanging="317"/>
        <w:spacing w:after="0" w:line="252"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state law equivalents of each of the above federal laws, such as state anti-kickback and false claims laws which may apply to items or services reimbursed by any third-party payor, including commercial insurers, and may be broader in scope than their federal equivalents;</w:t>
      </w:r>
    </w:p>
    <w:p>
      <w:pPr>
        <w:spacing w:after="0" w:line="170" w:lineRule="exact"/>
        <w:rPr>
          <w:rFonts w:ascii="Times New Roman" w:cs="Times New Roman" w:eastAsia="Times New Roman" w:hAnsi="Times New Roman"/>
          <w:sz w:val="18"/>
          <w:szCs w:val="18"/>
          <w:color w:val="auto"/>
        </w:rPr>
      </w:pPr>
    </w:p>
    <w:p>
      <w:pPr>
        <w:ind w:left="1000" w:right="40" w:hanging="317"/>
        <w:spacing w:after="0" w:line="239"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federal transparency requirements detailing interactions with and payments to healthcare providers, such as the federal reporting requirements under the Physician Payments Sunshine Act, which requires, among other things, certain manufacturers of drugs, devices, biologics and medical supplies reimbursed under Medicare, Medicaid, or the Children’s Health Insurance Program, with specific exceptions, to report annually to the HHS information related to payments and other transfers of value provided to physicians (defined to include doctors, dentists, optometrists, podiatrists and chiropractors), certain other health care professionals starting January 1, 2022, and teaching hospitals and physician ownership and investment interests, including such ownership and investment interests held by a physician’s immediate family members. Failure to submit required information may result in civil monetary penalties;</w:t>
      </w:r>
    </w:p>
    <w:p>
      <w:pPr>
        <w:spacing w:after="0" w:line="182" w:lineRule="exact"/>
        <w:rPr>
          <w:rFonts w:ascii="Times New Roman" w:cs="Times New Roman" w:eastAsia="Times New Roman" w:hAnsi="Times New Roman"/>
          <w:sz w:val="18"/>
          <w:szCs w:val="18"/>
          <w:color w:val="auto"/>
        </w:rPr>
      </w:pPr>
    </w:p>
    <w:p>
      <w:pPr>
        <w:ind w:left="1000" w:right="160" w:hanging="317"/>
        <w:spacing w:after="0" w:line="242"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potential referral sources, state laws that require drug manufacturers to file reports relating to pricing information and marketing expenditures, state and local laws requiring the registration of pharmaceutical sales representatives;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140" w:hanging="317"/>
        <w:spacing w:after="0" w:line="243"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79"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similar healthcare laws in the European Union and EEA and other jurisdictions, including reporting requirements detailing interactions with and payments to healthcare providers.</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Ensuring that our business operations and current and future arrangements with third parties comply with applicable healthcare laws and regulations will likely be costly. It is possible that governmental authorities will conclude that our business practices, including, without limitation, our patient support and financial assistance programs, do not comply with current or future statutes, regulations, agency guidance or case law involving applicable fraud and abuse or other healthcare laws. If our operations are found to be in violation of any of the laws described above or any other governmental laws and regulations that apply to us, we may be subject to penalties, including civil, administrative and criminal penalties, damages, fines, the curtailment or restructuring of our operations, contractual damages, disgorgement, reputational harm, additional oversight and reporting obligations if we become subject to a corporate integrity agreement or similar agreement to resolve allegations of non-compliance with these laws, the exclusion from participation in federal and state healthcare programs and individual imprisonment, any of which could adversely affect our ability to market pitolisant, if approved, and adversely impact our financial results. Further, defending against any such actions can be costly, time-consuming and may require significant personnel resources.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Therefore, even if we are successful in defending against any such actions that may be brought against us, our business may be impaired. The risk of our being found in violation of these laws is increased by the fact that many of them have not been fully interpreted by the applicable regulatory agencies or the courts, and their provisions are open to a variety of interpretations.</w:t>
      </w:r>
    </w:p>
    <w:p>
      <w:pPr>
        <w:spacing w:after="0" w:line="176"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of 2018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7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as amended by HITECH. While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w:t>
      </w:r>
    </w:p>
    <w:p>
      <w:pPr>
        <w:spacing w:after="0" w:line="1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In July 2020, the Court of Justice of the European Union (“CJEU”) invalidated the Privacy Shield for purposes of international transfers and imposed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Further, from January 1, 2021, companies have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If we or third-party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2"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Clinical practice guidelines and recommendations published by various organizations could have significant influence on the use of WAKIX.</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Professional societies, practice management groups, private health and science foundations and organizations involved in various diseases from time to time may publish guidelines or recommendations to the healthcare and patient communities. The recommendations of these groups or organizations may relate to such matters as usage, dosage, route of administration and use of concomitant therapies. Recommendations or guidelines suggesting the reduced use of WAKIX or the use of competitive or alternative products as the standard of care to be followed by patients and healthcare providers could result in decreased use of WAKIX.</w:t>
      </w:r>
    </w:p>
    <w:p>
      <w:pPr>
        <w:spacing w:after="0" w:line="18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i w:val="1"/>
          <w:iCs w:val="1"/>
          <w:color w:val="auto"/>
        </w:rPr>
        <w:t>Product candidates we develop in the future may be classified as controlled substances, the making, use, sale, importation, exportation and distribution of which are subject to regulation by state, federal and foreign law enforcement and other regulatory agencies.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Product candidates we develop in the future may be classified as controlled substances, which are subject to state, federal and foreign laws and regulations regarding their manufacture, use, sale, importation, exportation and distribution. Controlled substances are regulated under CSA and regulations of the DEA.</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Various states also independently regulate controlled substances. Though state-controlled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case of our approved products, the ability to produce and distribute our products in the volume needed to meet commercial demand.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approved products or product candidates that are classified as controlled substances.</w:t>
      </w:r>
    </w:p>
    <w:p>
      <w:pPr>
        <w:spacing w:after="0" w:line="182"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Enacted and future healthcare legislative changes may increase the difficulty and cost for us to obtain marketing approval for and commercialize our product candidates and affect the prices we may obtain.</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United States, the European Union and other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to broaden access to health insurance, reduce or constrain the growth of healthcare spending, enhance remedies against fraud and abuse, add new transparency requirements for health care and health insurance industries, impose new taxes and fees on the healthcare industry, and impose additional healthcare policy reforms. The law has continued the downward pressure on pharmaceutical pricing, especially under the Medicare program, and increased the industry’s regulatory burdens and operating costs. Among the provisions of the ACA of importance to the pharmaceutical industry and our potential product candidates are the following:</w:t>
      </w:r>
    </w:p>
    <w:p>
      <w:pPr>
        <w:spacing w:after="0" w:line="180" w:lineRule="exact"/>
        <w:rPr>
          <w:sz w:val="20"/>
          <w:szCs w:val="20"/>
          <w:color w:val="auto"/>
        </w:rPr>
      </w:pPr>
    </w:p>
    <w:p>
      <w:pPr>
        <w:ind w:left="1000" w:right="20" w:hanging="317"/>
        <w:spacing w:after="0" w:line="252"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 (other than those designated as orphan drugs), which is apportioned among these entities according to their market share in certain government healthcare programs;</w:t>
      </w:r>
    </w:p>
    <w:p>
      <w:pPr>
        <w:spacing w:after="0" w:line="170" w:lineRule="exact"/>
        <w:rPr>
          <w:rFonts w:ascii="Times New Roman" w:cs="Times New Roman" w:eastAsia="Times New Roman" w:hAnsi="Times New Roman"/>
          <w:sz w:val="18"/>
          <w:szCs w:val="18"/>
          <w:color w:val="auto"/>
        </w:rPr>
      </w:pPr>
    </w:p>
    <w:p>
      <w:pPr>
        <w:ind w:left="1000" w:right="64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 for branded and generic drugs;</w:t>
      </w:r>
    </w:p>
    <w:p>
      <w:pPr>
        <w:spacing w:after="0" w:line="154" w:lineRule="exact"/>
        <w:rPr>
          <w:rFonts w:ascii="Times New Roman" w:cs="Times New Roman" w:eastAsia="Times New Roman" w:hAnsi="Times New Roman"/>
          <w:sz w:val="18"/>
          <w:szCs w:val="18"/>
          <w:color w:val="auto"/>
        </w:rPr>
      </w:pPr>
    </w:p>
    <w:p>
      <w:pPr>
        <w:ind w:left="1000" w:right="72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54" w:lineRule="exact"/>
        <w:rPr>
          <w:rFonts w:ascii="Times New Roman" w:cs="Times New Roman" w:eastAsia="Times New Roman" w:hAnsi="Times New Roman"/>
          <w:sz w:val="18"/>
          <w:szCs w:val="18"/>
          <w:color w:val="auto"/>
        </w:rPr>
      </w:pPr>
    </w:p>
    <w:p>
      <w:pPr>
        <w:jc w:val="both"/>
        <w:ind w:left="1000" w:right="100" w:hanging="317"/>
        <w:spacing w:after="0" w:line="252"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Medicare Part D coverage gap discount program, in which manufacturers must agree to offer 70% point-of-sale discounts off negotiated prices of applicable brand drugs to eligible beneficiaries under their coverage gap period, as a condition for the manufacturer’s outpatient drugs to be covered under Medicare Part D;</w:t>
      </w:r>
    </w:p>
    <w:p>
      <w:pPr>
        <w:spacing w:after="0" w:line="170" w:lineRule="exact"/>
        <w:rPr>
          <w:rFonts w:ascii="Times New Roman" w:cs="Times New Roman" w:eastAsia="Times New Roman" w:hAnsi="Times New Roman"/>
          <w:sz w:val="18"/>
          <w:szCs w:val="18"/>
          <w:color w:val="auto"/>
        </w:rPr>
      </w:pPr>
    </w:p>
    <w:p>
      <w:pPr>
        <w:ind w:left="1000" w:right="6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54" w:lineRule="exact"/>
        <w:rPr>
          <w:rFonts w:ascii="Times New Roman" w:cs="Times New Roman" w:eastAsia="Times New Roman" w:hAnsi="Times New Roman"/>
          <w:sz w:val="18"/>
          <w:szCs w:val="18"/>
          <w:color w:val="auto"/>
        </w:rPr>
      </w:pPr>
    </w:p>
    <w:p>
      <w:pPr>
        <w:ind w:left="1000" w:right="200" w:hanging="317"/>
        <w:spacing w:after="0" w:line="252"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4" w:lineRule="exact"/>
        <w:rPr>
          <w:rFonts w:ascii="Times New Roman" w:cs="Times New Roman" w:eastAsia="Times New Roman" w:hAnsi="Times New Roman"/>
          <w:sz w:val="18"/>
          <w:szCs w:val="18"/>
          <w:color w:val="auto"/>
        </w:rPr>
      </w:pPr>
    </w:p>
    <w:p>
      <w:pPr>
        <w:ind w:left="1000" w:right="20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 Center for Medicare Innovation at the CMS to test innovative payment and service delivery models to lower Medicare and Medicaid spending, potentially including prescription drug spending;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60" w:hanging="317"/>
        <w:spacing w:after="0" w:line="270" w:lineRule="auto"/>
        <w:tabs>
          <w:tab w:leader="none" w:pos="10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Since its enactment, there have been numerous judicial, executive and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For example, in August 2011, the Budget Control Act of 2011, among other things, led to aggregate reductions to Medicare payments to providers of 2% per fiscal year, which went into effect in April 2013 and, due to subsequent legislative amendments to the statute, will stay in effect through 2030, with the exception of a temporary suspension from May 1, 2020 through December 31, 2022, unless additional Congressional action is taken. Additionally, in January 2013, the American Taxpayer Relief Act of 2012 was signed into law, which, among other things, reduced Medicare payments to several types of providers, including hospitals and cancer treatment centers, and increased the statute of limitations period in which the government may recover overpayments to providers from three to five years. The “Inflation Reduction Act of 2022”, signed into law on August 16, 2022, included several provisions to reduce drug spending by the federal government and reduce out-of-pocket costs for patients on Medicare. This legislation requires that the federal government negotiate prices for some drugs covered under Medicare Part B and Part D with the highest total spending, beginning in 2026. It also requires manufacturers to pay rebates back to the federal government if the price of their medications for Medicare beneficiaries rises faster than inflation. The legislation also placed a cap on out-of-pocket costs for Medicare Part D enrollees and shifted the cost of supplying these medications to manufacturers and plans. Eligibility for the Medicare Part D Low-Income Subsidy Program was also expanded under the legislation, and it further delayed the implementation of the Trump Administration’s drug rebate rule to 2027.</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will require authorization through additional legislation to become effective, the probability of their success is uncertain, particularly in light of the new Presidential administration.</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reforms could reduce the ultimate demand for our commercial products and product candidates, once approved, or put pressure on our product pricing.</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spacing w:after="0" w:line="178"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that we participate in, we could be subject to additional reimbursement requirements, penalties, sanctions and fines, which could have a material adverse effect on our business, financial condition, results of operations and growth prospects.</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we have to report on a monthly and quarterly basis to the CMS, the federal agency that administers the Medicaid Drug Rebate Program. These data include, among other things, the average manufacturer price (“AMP”) and, in the case of innovator products, the best price (“BP”) for each drug which, in general, represents the lowest price available from the manufacturer to any entity in the U.S. in any pricing structure, calculated to include all sales and associated rebates, discounts and other price concessions. We are liable for errors associated with our submission of pricing data and for any overcharging of government payors. For example, failure to submit monthly and/or quarterly AMP and BP data on a timely basis could result in a civil monetary penalty for each day the submission is late beyond the due date. Failure to make necessary disclosures and/or to identify overpayments could result in allegations against us under the Federal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340B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or other legislation or regulation could affect our 340B ceiling price calculations and negatively impact our results of operations commercializing pitolisant.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order to be eligible to have our products that we successfully commercialize paid for with federal funds under the Medicaid program and purchased by certain federal agencies and grantees, we also have to participate in the U.S. Department of Veterans Affairs (“VA”), Federal Supply Schedule (“FSS”) pricing program. As part of this program, we are obligated to make our products available for procurement on an FSS contract under which we must comply with standard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government terms and conditions and charge a price that is no higher than the statutory Federal Ceiling Price (“FCP”) to four federal agencies (VA, U.S. Department of Defense (“DOD”), Public Health Service, and U.S. Coast Guard).</w:t>
      </w:r>
    </w:p>
    <w:p>
      <w:pPr>
        <w:spacing w:after="0" w:line="156"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antimony laundering laws and regulations. Compliance with these legal standards could impair our ability to compete in domestic markets. We can face criminal liability and other serious consequences for violations, which can harm our business.</w:t>
      </w:r>
    </w:p>
    <w:p>
      <w:pPr>
        <w:spacing w:after="0" w:line="1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United States domestic bribery statute contained in 18 U.S.C. § 201, the United States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have direct or indirect interactions with officials and employees of government agencies or government- affiliated hospitals, universities, and other organizations. We can be held liable for the corrupt or other illegal activities of our employees, agents, contractors and other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2"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on March 18, 2020, the FDA announced its intention to temporarily postpone routine surveillance inspections of domestic manufacturing facilities and provided guidance regarding the conduct of clinical trials.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proprietary name we intend to use for our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 overstatement of product efficacy, minimization of risk, broadening of product indications or unsubstantiated superiority. If the FDA objects to any of our proposed product names, we may be required to adopt an alternative name for our product candidates. If we adopt an alternative name, we would lose the benefit of our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right="380"/>
        <w:spacing w:after="0" w:line="309"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1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rely, and will continue to rely, on a combination of patents, trademarks and confidentiality agreements with employees, consultants, collaborators, advisors and other third parties to protect the intellectual property related to our current and future product candidates. Our success depends in large part on our licensor’s ability to obtain and maintain patent protection in the United States with respect to WAKIX and our ability to obtain and maintain patent protection in the United States and any other relevant foreign jurisdictions with respect to any future product candidates that we develop. We seek to ensure that our current and future licensors obtain appropriate patent protection to all product candidates that we license from them. The patent prosecution process is expensive and time- consuming, and we and our licensors may not be able to file and prosecute all necessary or desirable patent applications at a reasonable cost or in a timely manner.</w:t>
      </w:r>
    </w:p>
    <w:p>
      <w:pPr>
        <w:spacing w:after="0" w:line="180"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8"/>
          <w:szCs w:val="18"/>
          <w:color w:val="auto"/>
        </w:rPr>
        <w:t>Our patent portfolio comprises three U.S. patents exclusively licensed to us from Bioprojet. One U.S. patent, No. 8,207,197 has claims directed to a polymorph, i.e., a specific crystalline form, of pitolisant and, methods for preparing that polymorph of pitolisant, which is expected to expire in February 2029 without taking into consideration any possible patent term extension. A second U.S. patent, No. 8,486,497, has claims directed to methods of treating excessive daytime sleepiness by administering pitolisant, which is expected to expire in September 2029 without taking into consideration any possible patent term extension.</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patents that we in-license now or the patents and patent applications that we own or in-license in the future may not have patentable claims that protect our current and future product candidates in the relevant jurisdictions where we intend to commercialize such products. There is no assurance that we and our licensor are aware of all potentially relevant prior art relating to future patent applications. As such, the patent examiner may find prior art that can prevent a patent from issuing from a pending patent application. During the patent examination process, we or our licensor may be required to narrow the pending claims to overcome prior art, a process that may limit the scope of patent protection. Even if patents do successfully issue based on our future patent applications, and even if the issued patents cover our current and future product candidates, including their compositions formulation, method of manufacture, and method of use, third parties may challenge our issued patents’ validity, enforceability or scope, which may result in such patents being narrowed, invalidated or held unenforceable. Any successful opposition to these patents or any other patents owned by or licensed to us in the future could deprive us of rights necessary for the successful commercialization of any of our current or future product candidates, if approved. Further, if we encounter delays in regulatory approvals, the period of time during which we could market a product candidate under patent protection could be reduced.</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the patent applications we may own or in-license in the future with respect to our current and future product candidates fail to issue, if their breadth or strength of protection is threatened, or if they fail to provide meaningful exclusivity for any of our current or future product candidates, it could dissuade other companies from collaborating with us to develop future product candidates, and threaten our ability to commercialize our current and future product candidates. Notably, pending patent applications cannot be enforced against third parties practicing the technology claimed in such applications unless and until a patent issues from such applications. Any such outcome could have an adverse effect on our business.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U.S. law does.</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made a number of significant changes to United States patent laws. These include provisions that affect the way patent applications are prosecuted and challenged at the USPTO and may also affect patent litigation. The USPTO has developed and continues to develop new regulations and procedures to govern administration of the Leahy-Smith Act, and many of the substantive changes to patent law associated with the Leahy-Smith Act, and in particular, the first to file provisions, only became effective on March 16, 2013. Accordingly, it remains unclear what impact the Leahy-Smith Act, subsequent rulemaking, and judicial interpretation of the Leahy-Smith Act and regulations will have on the operation of our business. However, the Leahy- Smith Act and its implementation could increase the uncertainties and costs surrounding the prosecution of our patent applications and the enforcement or defense of our issued patents, all of which could have an adverse effect on our business and financial condition. Moreover, future changes to the patent laws of the United States and foreign jurisdictions may adversely affect the term, scope, validity and enforceability of our or our licensor’s patent rights. For example, a new bill (Terminating the Extension of Rights Misappropriated Act, or TERM Act, H.R. 3199) percolating through the United States Congress aims to reduce the term of certain drug patents in order to ease generic entry and increase competition.</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inventorship and ownership rights for patents that we in-license or may own or in-license in the future may be challenged by third parties. Such challenges could result in loss of exclusive rights to such patents, which could limit our ability to stop others from using or commercializing similar or identical technology and products, or require us to obtain a license from such third parties on commercially reasonable terms to secure exclusive rights. If any such challenges to inventorship or ownership were asserted, there is no assurance that a court would find in our favor or that, if we choose to seek a license, such license would be available to us on acceptable terms or at all.</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pre- and post-issuance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whether owned or in-licensed now or in the future, is threatened, it could dissuade companies from collaborating with us to license, develop or commercialize current or future product candidates.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licensed patents may be challenged in the courts or patent offices in the United States.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the filing of the earliest non-provisional application to which the patent claims priority. Various extensions may be available; however, the life of a patent, and the protection it affords, is limited. We may be required to disclaim a portion of patent term in order to overcome double patenting rejections from the patent office, thus potentially shortening our exclusivity period. Without patent protection for our current or future product candidates, we may be open to competition from generic versions of such products. Given the amount of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required for the development, testing and regulatory review of new product candidates, patents protecting such candidates might expire before or shortly after such candidates are commercialized. As a result, our licensed patent portfolio may not provide us with sufficient rights to exclude others from commercializing products similar or identical to ours.</w:t>
      </w:r>
    </w:p>
    <w:p>
      <w:pPr>
        <w:spacing w:after="0" w:line="17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licensed certain intellectual property rights covering pitolisant from Bioprojet, and we may license intellectual property rights from others in the future. If, for any reason, our license agreement with Bioprojet or any future licensor is terminated or we otherwise lose the rights associated with a license, it could adversely affect our business. Our license agreement with Bioprojet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82"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current and future product candidates, our business may be harmed.</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commercial success will largely depend on our licensor’s ability to obtain and maintain patent and other intellectual property in the United States for pitolisant, and our target indications, and our ability to maintain obtain and maintain patent and other intellectual property in the United States for any product candidates. Given the amount of time required for the development, testing and regulatory review of new product candidates, patents protecting product candidates might expire before or shortly after such candidates begin to be commercialized. We expect to seek extensions of patent terms in the United States.</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our current and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If we or our licensor are unable to extend the expiration date of our or their existing patents or obtain new patents with longer expiry dates, as applicable,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76"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our current and future product candidates can be challenged by third parties.</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One or more third parties may challenge the current patents, or future patents within our portfolio, which could result in the invalidation of, or render unenforceable, some or all of the relevant patent claims or a finding of non-infringement. For example, if a third party files an ANDA for a generic drug containing pitolisant, and relies in whole or in part on studies conducted by or for us, the third party will be required to certify to the FDA that either: (1) there is no patent information listed in the FDA’s Orange Book with respect to our NDA for the applicable approved product candidate; (2) the patents listed in the Orange Book have expired; (3) the listed patents have not expired, but will expire on a particular date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approval is sought after patent expiration; or (4) the listed patents are invalid or will not be infringed by the manufacture, use or sale of the third party’s generic drug. A certification that the new drug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Moreover, a third party may challenge the current patents, or future patents within our portfolio, which could result in the invalidation of some or all of the patents that might otherwise be eligible for listing in the Orange Book for one of our products. If a third party successfully challenges all of the patents that might otherwise be eligible for listing in the Orange Book for one of our products, we will not be entitled to the 30-month stay of FDA approval upon the filing of an ANDA for a generic drug containing, for example, pitolisant, and relies in whole or in part on studies conducted by or for us.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current and future product candidates.</w:t>
      </w:r>
    </w:p>
    <w:p>
      <w:pPr>
        <w:spacing w:after="0" w:line="176"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 -payment of fees and failure to properly legalize and submit formal documents. If we or our licensors fail to maintain patents and patent applications, whether owned or in-licensed now or in the future, covering any of our current or future product candidates, our competitors might be able to enter the market, which would have an adverse effect on our business.</w:t>
      </w:r>
    </w:p>
    <w:p>
      <w:pPr>
        <w:spacing w:after="0" w:line="185"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may need to acquire or license intellectual property from third parties, and such licenses may not be available or may not be available on commercially reasonable terms.</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current and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 needed or on commercially reasonable terms, our ability to commercialize our current and future product candidates, if approved, would likely be delayed.</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risks described elsewhere pertaining to our intellectual property rights also apply to the intellectual property rights that we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current or future product candidates.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pharmaceutical and biotechnology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are or may in the future be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Third parties may assert that we are infringing their patents or employing their proprietary technology without authorization.</w:t>
      </w:r>
    </w:p>
    <w:p>
      <w:pPr>
        <w:spacing w:after="0" w:line="15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current and future product candidates. Because patent applications can take many years to issue, there may be currently pending patent applications that may later result in issued patents that our current and future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and we have done so from time to time. We may fail to obtain any of these licenses at a reasonable cost or on reasonable terms, if at all. In that event, we would be unable to further develop and commercialize our current and future product candidates, which could harm our business significantly. Claims that we have misappropriated the confidential information or trade secrets of third parties could have a similar negative impact on our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current and future product candidates, resulting in either an injunction prohibiting our sales, or, with respect to our sales, an obligation on our part to pay royalties or other forms of compensation to third parties.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product candidate in any jurisdiction.</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It is possible that we and our current and future licensors will fail to identify patentable aspects of research and development output before it is too late to obtain patent protection. The patent applications that we may own or in-license in the future may fail to result in issued patents with claims that cover our current and future product candidates. We and our current and future licensors may also inadvertently make statements to regulatory agencies during the regulatory approval process that may be inconsistent with positions that have been taken during prosecution of the patent applications, which may result in such patents being narrowed, invalidated or held unenforceable.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affect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affect our ability to develop and market our products.</w:t>
      </w:r>
    </w:p>
    <w:p>
      <w:pPr>
        <w:spacing w:after="0" w:line="187"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Competitors may infringe or otherwise violate the patents of our licensor or our other intellectual property rights. To counter infringement or unauthorized use, we may be required to file legal claims, which can be expensive and time-consuming. In addition, in an infringement proceeding, a court may decide that an asserted patent is not valid or is unenforceable, or may refuse to stop the other party from using the technology at issue on the grounds that the asserted patent does not cover the technology in question. An adverse result in any litigation or defense proceedings could put one or more of asserted patents at risk of being invalidated or interpreted narrowly and could put a related patent application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may not be able to detect or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71"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78"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United States has recently enacted and implemented wide-ranging patent reform legislation. The U.S. Supreme Court and the U.S. Court of Appeals for the Federal Circuit have issued numerous precedential opinions in recent years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8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 executing or may be breached, and we may be forced to bring claims against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third parties, or defend claims they may bring against us, to determine the ownership of what we regard as our intellectual property.</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or our licensors fail in prosecuting or defending any such claims, in addition to paying monetary damages, we may lose valuable intellectual property rights or personnel. Even if we and our licensors are successful in prosecuting or defending against such claims, litigation could result in substantial costs and be a distraction to management.</w:t>
      </w:r>
    </w:p>
    <w:p>
      <w:pPr>
        <w:spacing w:after="0" w:line="171"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be successfully challenged, resulting in harm to our business.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expect to rely on trademarks as one means to distinguish any of our current and future product candidates that are approved for marketing from the products of our competitors. For example, we are marketing pitolisant for the treatment of EDS or cataplexy in adult patients with narcolepsy under the brand name WAKIX, which we have licensed from Bioprojet. We may design or create new trademarks and apply to register them, our trademark applications may not be approved in the United States or any relevant foreign jurisdiction.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directors, officers and principal stockholders beneficially own a significant percentage of our stock and will be able to exert significant control over matters subject to stockholder approval.</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2022, our directors, officers, five percent or greater stockholders, and their respective affiliates beneficially owned in the aggregate approximately 72% of our outstanding voting stock. As a result,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and approval of any merger, sale of assets or other major corporate transaction. This may prevent or discourage unsolicited acquisition proposals or offers for our common stock that you may feel are in your best interest as one of our stockholders</w:t>
      </w:r>
      <w:r>
        <w:rPr>
          <w:rFonts w:ascii="Arial" w:cs="Arial" w:eastAsia="Arial" w:hAnsi="Arial"/>
          <w:sz w:val="18"/>
          <w:szCs w:val="18"/>
          <w:i w:val="1"/>
          <w:iCs w:val="1"/>
          <w:color w:val="auto"/>
        </w:rPr>
        <w:t>.</w:t>
      </w:r>
    </w:p>
    <w:p>
      <w:pPr>
        <w:spacing w:after="0" w:line="187"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Future sales of our common stock in the public market, including sales by our directors, officers, or significant shareholders, could cause our share price to fall.</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 Subject to compliance with applicable securities laws, our officers, directors and other shareholders and their respective affiliates may sell some or all of their common shares in the future. No prediction can be made as to the effect, if any, such future sales will have on the market price of the common shares prevailing from time to time.</w:t>
      </w:r>
    </w:p>
    <w:p>
      <w:pPr>
        <w:spacing w:after="0" w:line="182"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21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income and other operating results will be affected by numerous factors, including:</w:t>
      </w:r>
    </w:p>
    <w:p>
      <w:pPr>
        <w:spacing w:after="0" w:line="154" w:lineRule="exact"/>
        <w:rPr>
          <w:sz w:val="20"/>
          <w:szCs w:val="20"/>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expenses related to our development programs;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addition or termination of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in which we may become involved;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pitolisant;</w:t>
      </w:r>
    </w:p>
    <w:p>
      <w:pPr>
        <w:spacing w:after="0" w:line="224" w:lineRule="exact"/>
        <w:rPr>
          <w:rFonts w:ascii="Times New Roman" w:cs="Times New Roman" w:eastAsia="Times New Roman" w:hAnsi="Times New Roman"/>
          <w:sz w:val="18"/>
          <w:szCs w:val="18"/>
          <w:color w:val="auto"/>
        </w:rPr>
      </w:pPr>
    </w:p>
    <w:p>
      <w:pPr>
        <w:ind w:left="1000" w:right="80" w:hanging="317"/>
        <w:spacing w:after="0" w:line="270" w:lineRule="auto"/>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collaborative, licensing or similar arrangements, and the timing of payments we may make or receive under these arrangements;</w:t>
      </w:r>
    </w:p>
    <w:p>
      <w:pPr>
        <w:spacing w:after="0" w:line="154" w:lineRule="exact"/>
        <w:rPr>
          <w:rFonts w:ascii="Times New Roman" w:cs="Times New Roman" w:eastAsia="Times New Roman" w:hAnsi="Times New Roman"/>
          <w:sz w:val="18"/>
          <w:szCs w:val="18"/>
          <w:color w:val="auto"/>
        </w:rPr>
      </w:pPr>
    </w:p>
    <w:p>
      <w:pPr>
        <w:ind w:left="1000" w:right="300" w:hanging="317"/>
        <w:spacing w:after="0" w:line="270" w:lineRule="auto"/>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achievement and timing of milestone payments under our existing collaboration and license agreements;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underlying demand for WAKIX and customers’ buying patterns.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7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our common stock, including pursuant to our equity incentive plans, could result in additional dilution of the percentage ownership of our stockholders and could cause the stock price of our common stock to decline.</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the future, we may sell common stock, convertible securities or other equity securities in one or more transactions at prices and in a manner we determine from time to time. We also expect to issue common stock to employees, consultants and directors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18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169" w:lineRule="exact"/>
        <w:rPr>
          <w:sz w:val="20"/>
          <w:szCs w:val="20"/>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for a classified board of directors with staggered, three-year terms;</w:t>
      </w:r>
    </w:p>
    <w:p>
      <w:pPr>
        <w:spacing w:after="0" w:line="224" w:lineRule="exact"/>
        <w:rPr>
          <w:rFonts w:ascii="Times New Roman" w:cs="Times New Roman" w:eastAsia="Times New Roman" w:hAnsi="Times New Roman"/>
          <w:sz w:val="18"/>
          <w:szCs w:val="18"/>
          <w:color w:val="auto"/>
        </w:rPr>
      </w:pPr>
    </w:p>
    <w:p>
      <w:pPr>
        <w:ind w:left="1000" w:right="260" w:hanging="317"/>
        <w:spacing w:after="0" w:line="270" w:lineRule="auto"/>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cumulative voting in the election of directors;</w:t>
      </w:r>
    </w:p>
    <w:p>
      <w:pPr>
        <w:spacing w:after="0" w:line="224" w:lineRule="exact"/>
        <w:rPr>
          <w:rFonts w:ascii="Times New Roman" w:cs="Times New Roman" w:eastAsia="Times New Roman" w:hAnsi="Times New Roman"/>
          <w:sz w:val="18"/>
          <w:szCs w:val="18"/>
          <w:color w:val="auto"/>
        </w:rPr>
      </w:pPr>
    </w:p>
    <w:p>
      <w:pPr>
        <w:ind w:left="1000" w:right="400" w:hanging="317"/>
        <w:spacing w:after="0" w:line="270" w:lineRule="auto"/>
        <w:tabs>
          <w:tab w:leader="none" w:pos="10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154" w:lineRule="exact"/>
        <w:rPr>
          <w:rFonts w:ascii="Times New Roman" w:cs="Times New Roman" w:eastAsia="Times New Roman" w:hAnsi="Times New Roman"/>
          <w:sz w:val="18"/>
          <w:szCs w:val="18"/>
          <w:color w:val="auto"/>
        </w:rPr>
      </w:pPr>
    </w:p>
    <w:p>
      <w:pPr>
        <w:ind w:left="1000" w:right="620" w:hanging="317"/>
        <w:spacing w:after="0" w:line="300" w:lineRule="auto"/>
        <w:tabs>
          <w:tab w:leader="none" w:pos="100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prohibiting the adoption, amendment or repeal of our amended and restated bylaws or the repeal of the provisions of our amended and restated certificate of incorporation regarding the election and removal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740"/>
        <w:spacing w:after="0" w:line="271" w:lineRule="auto"/>
        <w:rPr>
          <w:sz w:val="20"/>
          <w:szCs w:val="20"/>
          <w:color w:val="auto"/>
        </w:rPr>
      </w:pPr>
      <w:r>
        <w:rPr>
          <w:rFonts w:ascii="Arial" w:cs="Arial" w:eastAsia="Arial" w:hAnsi="Arial"/>
          <w:sz w:val="18"/>
          <w:szCs w:val="18"/>
          <w:color w:val="auto"/>
        </w:rPr>
        <w:t>directors without the required approval of at least 66.67% of the shares entitled to vote at an election of directors;</w:t>
      </w:r>
    </w:p>
    <w:p>
      <w:pPr>
        <w:spacing w:after="0" w:line="154" w:lineRule="exact"/>
        <w:rPr>
          <w:sz w:val="20"/>
          <w:szCs w:val="20"/>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stockholder action by written consent;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limiting the persons who may call special meetings of stockholders;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advance notification of stockholder nominations and proposals.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we are subject to the anti-takeover provisions contained in Section 203 of the Delaware General Corporation Law (the “DGCL”). Under Section 203 of the DGCL,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176"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w:t>
      </w:r>
    </w:p>
    <w:p>
      <w:pPr>
        <w:spacing w:after="0" w:line="154" w:lineRule="exact"/>
        <w:rPr>
          <w:sz w:val="20"/>
          <w:szCs w:val="20"/>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224" w:lineRule="exact"/>
        <w:rPr>
          <w:rFonts w:ascii="Times New Roman" w:cs="Times New Roman" w:eastAsia="Times New Roman" w:hAnsi="Times New Roman"/>
          <w:sz w:val="18"/>
          <w:szCs w:val="18"/>
          <w:color w:val="auto"/>
        </w:rPr>
      </w:pPr>
    </w:p>
    <w:p>
      <w:pPr>
        <w:ind w:left="1000" w:right="80" w:hanging="317"/>
        <w:spacing w:after="0" w:line="270" w:lineRule="auto"/>
        <w:tabs>
          <w:tab w:leader="none" w:pos="10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owed by, or other wrongdoing by, any of our current or former directors, officers, employees or our stockholders;</w:t>
      </w:r>
    </w:p>
    <w:p>
      <w:pPr>
        <w:spacing w:after="0" w:line="154" w:lineRule="exact"/>
        <w:rPr>
          <w:rFonts w:ascii="Times New Roman" w:cs="Times New Roman" w:eastAsia="Times New Roman" w:hAnsi="Times New Roman"/>
          <w:sz w:val="18"/>
          <w:szCs w:val="18"/>
          <w:color w:val="auto"/>
        </w:rPr>
      </w:pPr>
    </w:p>
    <w:p>
      <w:pPr>
        <w:ind w:left="1000" w:right="520" w:hanging="317"/>
        <w:spacing w:after="0" w:line="252" w:lineRule="auto"/>
        <w:tabs>
          <w:tab w:leader="none" w:pos="10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(as either may be amended from time to time) or as to which the DGCL confers jurisdiction on the Court of Chancery of the State of Delaware; and</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stockholders are deemed to have notice of and have consented to the provisions of our amended and restated certificate of incorporation related to choice of forum.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8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9"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154" w:lineRule="exact"/>
        <w:rPr>
          <w:sz w:val="20"/>
          <w:szCs w:val="20"/>
          <w:color w:val="auto"/>
        </w:rPr>
      </w:pPr>
    </w:p>
    <w:p>
      <w:pPr>
        <w:ind w:left="1000" w:right="560" w:hanging="317"/>
        <w:spacing w:after="0" w:line="261" w:lineRule="auto"/>
        <w:tabs>
          <w:tab w:leader="none" w:pos="100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64" w:lineRule="exact"/>
        <w:rPr>
          <w:rFonts w:ascii="Times New Roman" w:cs="Times New Roman" w:eastAsia="Times New Roman" w:hAnsi="Times New Roman"/>
          <w:sz w:val="17"/>
          <w:szCs w:val="17"/>
          <w:color w:val="auto"/>
        </w:rPr>
      </w:pPr>
    </w:p>
    <w:p>
      <w:pPr>
        <w:ind w:left="1000" w:right="360" w:hanging="317"/>
        <w:spacing w:after="0" w:line="270" w:lineRule="auto"/>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54" w:lineRule="exact"/>
        <w:rPr>
          <w:rFonts w:ascii="Times New Roman" w:cs="Times New Roman" w:eastAsia="Times New Roman" w:hAnsi="Times New Roman"/>
          <w:sz w:val="18"/>
          <w:szCs w:val="18"/>
          <w:color w:val="auto"/>
        </w:rPr>
      </w:pPr>
    </w:p>
    <w:p>
      <w:pPr>
        <w:ind w:left="1000" w:right="180" w:hanging="317"/>
        <w:spacing w:after="0" w:line="252" w:lineRule="auto"/>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0" w:lineRule="exact"/>
        <w:rPr>
          <w:rFonts w:ascii="Times New Roman" w:cs="Times New Roman" w:eastAsia="Times New Roman" w:hAnsi="Times New Roman"/>
          <w:sz w:val="18"/>
          <w:szCs w:val="18"/>
          <w:color w:val="auto"/>
        </w:rPr>
      </w:pPr>
    </w:p>
    <w:p>
      <w:pPr>
        <w:jc w:val="both"/>
        <w:ind w:left="1000" w:right="340" w:hanging="317"/>
        <w:spacing w:after="0" w:line="252" w:lineRule="auto"/>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70" w:lineRule="exact"/>
        <w:rPr>
          <w:rFonts w:ascii="Times New Roman" w:cs="Times New Roman" w:eastAsia="Times New Roman" w:hAnsi="Times New Roman"/>
          <w:sz w:val="18"/>
          <w:szCs w:val="18"/>
          <w:color w:val="auto"/>
        </w:rPr>
      </w:pPr>
    </w:p>
    <w:p>
      <w:pPr>
        <w:ind w:left="1000" w:right="140" w:hanging="317"/>
        <w:spacing w:after="0" w:line="252" w:lineRule="auto"/>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70" w:lineRule="exact"/>
        <w:rPr>
          <w:rFonts w:ascii="Times New Roman" w:cs="Times New Roman" w:eastAsia="Times New Roman" w:hAnsi="Times New Roman"/>
          <w:sz w:val="18"/>
          <w:szCs w:val="18"/>
          <w:color w:val="auto"/>
        </w:rPr>
      </w:pPr>
    </w:p>
    <w:p>
      <w:pPr>
        <w:ind w:left="1000" w:right="480" w:hanging="317"/>
        <w:spacing w:after="0" w:line="270" w:lineRule="auto"/>
        <w:tabs>
          <w:tab w:leader="none" w:pos="10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do not own any real property. Our corporate headquarters are located in Plymouth Meeting, Pennsylvania. In December 2020, we leased additional office space at this same location, which increased our footprint to approximately 28,638 square feet of space pursuant to a lease that expires in 2024. We believe that our facilities are suitable to meet our current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 We do not believe that we have any pending litigation that, individually or in the aggregate, would have a material adverse effect on our results of operations, financial condition or cash flows.</w:t>
      </w:r>
    </w:p>
    <w:p>
      <w:pPr>
        <w:spacing w:after="0" w:line="176" w:lineRule="exact"/>
        <w:rPr>
          <w:sz w:val="20"/>
          <w:szCs w:val="20"/>
          <w:color w:val="auto"/>
        </w:rPr>
      </w:pPr>
    </w:p>
    <w:p>
      <w:pPr>
        <w:jc w:val="center"/>
        <w:ind w:right="7180"/>
        <w:spacing w:after="0"/>
        <w:rPr>
          <w:sz w:val="20"/>
          <w:szCs w:val="20"/>
          <w:color w:val="auto"/>
        </w:rPr>
      </w:pPr>
      <w:r>
        <w:rPr>
          <w:rFonts w:ascii="Arial" w:cs="Arial" w:eastAsia="Arial" w:hAnsi="Arial"/>
          <w:sz w:val="17"/>
          <w:szCs w:val="17"/>
          <w:b w:val="1"/>
          <w:bCs w:val="1"/>
          <w:color w:val="auto"/>
        </w:rPr>
        <w:t>Item 4. Mine Safety Disclosures.</w:t>
      </w:r>
    </w:p>
    <w:p>
      <w:pPr>
        <w:spacing w:after="0" w:line="2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began trading on the Nasdaq Global Market under the symbol “HRMY” on August 19, 2020.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Prior to that date, there was no public trading market for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February 17, 2023, we had 34 holders of record of our common stock. Because many of our shares of common stock are held by brokers and other institutions on behalf of shareholders, we are unable to estimate the total number of beneficial owners of our common stock represented by these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2"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The following graph shows a comparison of the total cumulative shareholder returns of an investment of $100 in cash from August 19, 2020, the day we began trading, through December 31, 2022 in (i) our common stock, (ii) the Nasdaq Biotechnology Index, and (iii) the Nasdaq Composite Index. The shareholder returns in the graph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122555</wp:posOffset>
            </wp:positionV>
            <wp:extent cx="4320540" cy="23749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2054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our debt obligations, therefore we do not anticipate declaring or paying any cash dividends on our common stock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of directors may deem relevant.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August 2020, we completed the IPO of our common stock, in which we issued and sold 6,151,162 shares, including 802,325 shares pursuant to the underwriters’ over-allotment option at a price of $24.00 per share for an aggregate price of approximately $147.6 million. The offer and sale of the shares in our IPO was registered under the Securities Act pursuant to a registration statement on Form S-1 (File No. 333-240122), which was declared effective by the SEC 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August 18, 2020 (the “Registration Statement”). We raised approximately $135.4 million, after deducting underwriting discounts and commissions and offering expenses of approximately $12.2 million. None of these expenses consisted of direct or indirect payments made by us to (i) our directors, officers or their associates, (ii) persons owning 10% or more of our common stock or (iii) to our affiliates. There has been no material change in the planned use of proceeds from our IPO as described in the Prospectus.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3"/>
          <w:szCs w:val="13"/>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8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We are taking a mechanism-</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approach to managing the life cycle of pitolisant and have identified idiopathic hypersomnia (“IH”), another central disorder of hypersomnolence like narcolepsy, as our next potential new indication for WAKIX. In April 2022, we initiated a Phase 3 registrational trial, the INTUNE Study, to evaluate the efficacy and safety of pitolisant in adult patients with IH and have seen continued strong momentum in patient enrollment, with approximately 85% of the targeted clinical trial sites activated. We are focusing our development efforts on other rare neurological disorders in which EDS is a prominent symptom, including Prader-Willi Syndrome (“PWS”) and myotonic dystrophy, otherwise known as dystrophia myotonica (“DM”). We recently received the initial topline data from our Phase 2 proof-of-concept clinical trial to evaluate pitolisant for the treatment of EDS and other key symptoms in patients with PWS, which showed a positive signal on the primary outcome related to EDS. We received the full data set at the end of 2022, which our team has been analyzing in preparation for an end-of-phase 2 meeting with the FDA to discuss the data. We intend to advance our development program in patients with PWS into a Phase 3 trial. In June 2021, we initiated a Phase 2 proof-of-concept clinical trial to evaluate pitolisant for the treatment of EDS, fatigue and cognitive dysfunction in adult patients with DM1 and anticipate topline results from this trial in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Medical Agency (“EMA”) seeking approval for a pediatric narcolepsy indication. On January 26, 2023, Bioprojet received a positive opinion from the EMA’s Committee for Medicinal Products for Human Use (“CHMP”) with an approval for a pediatric narcolepsy indication expected by the EMA within 60 days of the positive CHMP opinion. We are working with Bioprojet on a path forward towards the submission to the FDA of a supplemental NDA for pediatric narcolepsy and, in addition, we remain committed to obtaining pediatric exclusivity for WAKIX.</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in August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additional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We have recently initiated a preclinical proof-of-concept study to assess the effect of HBS-102 on hyperphagia, weight gain, and other metabolic parameters in a mouse model of PWS.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See “Part I—Item 1. Business.—Strategic Agreement—License and Commercialization Agreement with Bioprojet” for further information regarding the 2017 LCA.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were founded in July 2017 as Harmony Biosciences II, LLC, a Delaware limited liability company. We converted to a Delaware corporation named Harmony Biosciences II, Inc. in September 2017 and, in February 2020, we changed our name to Harmony Biosciences Holdings, Inc. Our operations are conducted by our wholly owned subsidiary, Harmony Biosciences, LLC (“Harmony”), which was formed in May 2017. Our operations to date have consisted of building and staffing our organization, acquiring the rights to pitolisant, raising capital, opening an investigational new drug application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the development of pitolisant in PWS, DM and IH and have initiated clinical trials in pursuit of potential new indications in those rare disease patient populations.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As of December 31, 2022, we continued to see growth in the number of unique healthcare professional (“HCP”) prescribers of WAKIX since it became available in November 2019. The average number of patients on WAKIX at the end of 2022 was approximately 4,900. Additionally, as of December 31, 2022,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Net product sales includes gross sales of WAKIX less provisions for sales discounts and allowances, which includes trade allowances, rebates to government and commercial entities, and discounts. Although we expect net sales to increase over time, provisions for sales discounts and allowances may fluctuate based on the mix of sales to different customer segments and/or changes in our estimates. For further discussion of the components of Revenue, see “—Critical Accounting Policies and Significant Judgments and Estimates.”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expect the cost of product sales to increase as we continue to ramp up production in order to meet future demand for WAKIX and diversify our supply chain for WAKIX.</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shelf life of WAKIX is three years from date of manufacture, with the earliest expiration of current inventory expected to be May 2023. We regularly review our inventory levels and expect write-offs from time to time. We will continue to assess inventory levels in future periods as demand for WAKIX and the rate of inventory turnover evolves. We currently expect to have adequate supply of WAKIX into the first quarter of 2024, with additional API on-hand inventory to support at least 36 months beyond this time frame.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and DM.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in IH, PWS and DM and assess other product candidates to expand our pipeline. Research and development expenses also include:</w:t>
      </w:r>
    </w:p>
    <w:p>
      <w:pPr>
        <w:spacing w:after="0" w:line="180" w:lineRule="exact"/>
        <w:rPr>
          <w:sz w:val="20"/>
          <w:szCs w:val="20"/>
          <w:color w:val="auto"/>
        </w:rPr>
      </w:pPr>
    </w:p>
    <w:p>
      <w:pPr>
        <w:ind w:left="1000" w:right="80" w:hanging="317"/>
        <w:spacing w:after="0" w:line="270" w:lineRule="auto"/>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00" w:right="260" w:hanging="317"/>
        <w:spacing w:after="0" w:line="270" w:lineRule="auto"/>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(“CMOs”);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labeling of clinical supplies;</w:t>
      </w:r>
    </w:p>
    <w:p>
      <w:pPr>
        <w:spacing w:after="0" w:line="224" w:lineRule="exact"/>
        <w:rPr>
          <w:rFonts w:ascii="Times New Roman" w:cs="Times New Roman" w:eastAsia="Times New Roman" w:hAnsi="Times New Roman"/>
          <w:sz w:val="18"/>
          <w:szCs w:val="18"/>
          <w:color w:val="auto"/>
        </w:rPr>
      </w:pPr>
    </w:p>
    <w:p>
      <w:pPr>
        <w:ind w:left="1000" w:right="280" w:hanging="317"/>
        <w:spacing w:after="0" w:line="270" w:lineRule="auto"/>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do not track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7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advance HBS-102 from preclinical studies into the clinic, and identify potential new product candidates to develop toward new indications.</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00" w:right="60" w:hanging="317"/>
        <w:spacing w:after="0" w:line="270" w:lineRule="auto"/>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00" w:right="340" w:hanging="317"/>
        <w:spacing w:after="0" w:line="270" w:lineRule="auto"/>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ind w:left="1000" w:right="120" w:hanging="317"/>
        <w:spacing w:after="0" w:line="246" w:lineRule="auto"/>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including our ability to access sleep labs in order to conduct objective sleep testing, that could be impacted by future shelter-in-place orders and needs of the health care system to focus on managing patients affected by COVID-19;</w:t>
      </w:r>
    </w:p>
    <w:p>
      <w:pPr>
        <w:spacing w:after="0" w:line="17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Bioprojet’s consent to pursue additional indications for pitolisant;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00" w:right="760" w:hanging="317"/>
        <w:spacing w:after="0" w:line="270" w:lineRule="auto"/>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224" w:lineRule="exact"/>
        <w:rPr>
          <w:rFonts w:ascii="Times New Roman" w:cs="Times New Roman" w:eastAsia="Times New Roman" w:hAnsi="Times New Roman"/>
          <w:sz w:val="18"/>
          <w:szCs w:val="18"/>
          <w:color w:val="auto"/>
        </w:rPr>
      </w:pPr>
    </w:p>
    <w:p>
      <w:pPr>
        <w:ind w:left="1000" w:right="200" w:hanging="317"/>
        <w:spacing w:after="0" w:line="270" w:lineRule="auto"/>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00" w:right="980" w:hanging="317"/>
        <w:spacing w:after="0" w:line="270" w:lineRule="auto"/>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224"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 indications for the treatment of EDS or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cataplexy in adult patients with narcolepsy and to expand our portfolio with the anticipated growth from potential additional indications.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00" w:right="80" w:hanging="317"/>
        <w:spacing w:after="0" w:line="270" w:lineRule="auto"/>
        <w:tabs>
          <w:tab w:leader="none" w:pos="10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and marketing personnel;</w:t>
      </w:r>
    </w:p>
    <w:p>
      <w:pPr>
        <w:spacing w:after="0" w:line="154" w:lineRule="exact"/>
        <w:rPr>
          <w:rFonts w:ascii="Times New Roman" w:cs="Times New Roman" w:eastAsia="Times New Roman" w:hAnsi="Times New Roman"/>
          <w:sz w:val="18"/>
          <w:szCs w:val="18"/>
          <w:color w:val="auto"/>
        </w:rPr>
      </w:pPr>
    </w:p>
    <w:p>
      <w:pPr>
        <w:ind w:left="1000" w:right="220" w:hanging="317"/>
        <w:spacing w:after="0" w:line="270" w:lineRule="auto"/>
        <w:tabs>
          <w:tab w:leader="none" w:pos="10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ind w:left="1000" w:right="120" w:hanging="317"/>
        <w:spacing w:after="0" w:line="270" w:lineRule="auto"/>
        <w:tabs>
          <w:tab w:leader="none" w:pos="10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54" w:lineRule="exact"/>
        <w:rPr>
          <w:rFonts w:ascii="Times New Roman" w:cs="Times New Roman" w:eastAsia="Times New Roman" w:hAnsi="Times New Roman"/>
          <w:sz w:val="18"/>
          <w:szCs w:val="18"/>
          <w:color w:val="auto"/>
        </w:rPr>
      </w:pPr>
    </w:p>
    <w:p>
      <w:pPr>
        <w:ind w:left="1000" w:right="140" w:hanging="317"/>
        <w:spacing w:after="0" w:line="270" w:lineRule="auto"/>
        <w:tabs>
          <w:tab w:leader="none" w:pos="10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00" w:right="260" w:hanging="317"/>
        <w:spacing w:after="0" w:line="270" w:lineRule="auto"/>
        <w:tabs>
          <w:tab w:leader="none" w:pos="10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Paragon Agreements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were party to a management services agreement with Paragon Biosciences, LLC (“Paragon”), which was terminated upon the consummation of our IPO, pursuant to which Paragon provided us with certain professional services.</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also party to a right-of-use agreement with Paragon whereby we have access to and the right to use certain office space leased by Paragon in Chicago, Illinois. For the year ended December 31, 2022, we paid fees of $0.3 million pursuant to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 Net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expense, net consists primarily of interest expense on debt facilities, amortization of debt issuance costs and amortization of premiums on our debt securities, partially offset by interest income earned on our cash and investments balances and accretion of discount on our debt securities.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items in our consolidated statements of operations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20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437,855</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305,440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18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83,481</w:t>
            </w:r>
          </w:p>
        </w:tc>
        <w:tc>
          <w:tcPr>
            <w:tcW w:w="2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354,374</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70,886</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79,285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84,017</w:t>
            </w: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234,188</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162,394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120,186</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debt extinguishment</w:t>
            </w: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(15,669)</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18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104,686</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 (expense)</w:t>
            </w:r>
          </w:p>
        </w:tc>
        <w:tc>
          <w:tcPr>
            <w:tcW w:w="18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76,782</w:t>
            </w: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18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181,468</w:t>
            </w:r>
          </w:p>
        </w:tc>
        <w:tc>
          <w:tcPr>
            <w:tcW w:w="22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7"/>
          <w:szCs w:val="17"/>
          <w:color w:val="auto"/>
        </w:rPr>
        <w:t>Net product revenue increased by $ 132.4 million, or 43.4%, for the year ended December 31, 2022 compared to the same period in 2021. The increase was due to the growth in the average number of patients on WAKIX and price increases.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Cost of product sales increased by $28.0 million, or 50.4%, for the year ended December 31, 2022 compared to the same period in 2021. The increase was due to higher sales of WAKIX. Cost of product sales is primarily comprised of the royalty to Bioprojet.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Research and development expenses increased by $ 40.5 million, or 133.4%, for the year ended December 31, 2022 as compared to the same period in 2021. The increase was primarily related to the $30 million licensing fee incurred upon entering the 2022 LCA with Bioprojet, as well as increased clinical development work associated with IH, PWS and DM, and increased personnel costs. This increase was partially offset by $3.5 million asset acquisition of HBS-102 that was incurred during the year ended December 31, 2021.</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Sales and marketing expenses increased by $11.2 million, or 16.4%, for the year ended December 31, 2022 as compared to the same period in 2021. The increase was primarily due to increased personnel costs related to sales force expansion, marketing activities driven by our commercialization of WAKIX, and increased patient assistance.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General and administrative expenses increased by $20.1 million, or 31.5%, for the year ended December 31, 2022 as compared to the same period in 2021. This increase was primarily due to an increase in stock compensation associated with new awards, an increase in intangible asset amortization as a result of the capitalized $40.0 million milestone payment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made upon attaining $500.0 million in life-to-date aggregate net sales of WAKIX in the United States, an increase in personnel costs and increased travel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Debt Extinguishment</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were no extinguishments of debt for the year ended December 31, 2022. Loss on debt extinguishment was $26.1 million for the year ended December 31, 2021, due to the prepayment of the Credit Agreement with OrbiMed.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Interest expense decreased by $8.3 million, or 34.6%, for the year ended December 31, 2022, as compared to the same period in 2021 primarily due to lower interest rates as a result of entering into the Blackstone Credit Agreement in August 2021 and interest income on our investments, partially offset by an increase in amortization of deferred financing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Income tax benefit was $76.8 million for the year ended December 31, 2022, and included $96.4 million related to the release of the valuation allowance on our deferred tax assets, partially offset by current period state and federal income tax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financed our operations primarily with (a) proceeds from sales of our convertible preferred stock;</w:t>
      </w:r>
    </w:p>
    <w:p>
      <w:pPr>
        <w:spacing w:after="0" w:line="14" w:lineRule="exact"/>
        <w:rPr>
          <w:sz w:val="20"/>
          <w:szCs w:val="20"/>
          <w:color w:val="auto"/>
        </w:rPr>
      </w:pPr>
    </w:p>
    <w:p>
      <w:pPr>
        <w:jc w:val="both"/>
        <w:ind w:firstLine="8"/>
        <w:spacing w:after="0" w:line="237" w:lineRule="auto"/>
        <w:tabs>
          <w:tab w:leader="none" w:pos="2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borrowings under our debt agreements; (c) the proceeds from our IPO; and (d) the proceeds from the sale of common stock to Blackstone. From our inception through our IPO, we received aggregate proceeds of $345.0 million from sales of our convertible preferred stock. In August 2020, we completed the IPO of our common stock, in which we sold 6,151,162 shares of our common stock, including 802,325 shares of our common stock pursuant to the underwriters’ over-allotment option. The shares were sold at a price of $24.00 per share for net proceeds of approximately $135.4 million. As of December 31, 2022, we had cash, cash equivalents, restricted cash and investments of $346.4 million and accumulated deficit of $272.1 million. As of December 31, 2022, we had outstanding debt of $197.5 million.</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consolidated financial statements have been prepared as though we will continue as a going concern, which contemplates the realization of assets and satisfaction of liabilities in the normal course of business.</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believe that our anticipated cash from operating and financing activities, existing cash, cash equivalents and investments, as well as our ability to borrow additional funds under the Blackstone Credit agreement, will enable us to meet our operational liquidity needs and fund our planned investing activities for the next 12 months. We have based our liquidity and cash flow projections on assumptions that may prove to be incorrect, and we could use our capital resources sooner than we expect.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2021, we entered into the Blackstone Credit Agreement that provided for (i) a senior secured term loan facility in an aggregate original principal amount of $200.0 million (the “Initial Term Loan”) and (ii) a senior secured delayed draw term loan facility in an aggregate principal amount up to $100.0 million (the “DDTL” and, together with the Initial Term Loans, the “Loans”). The DDTL was initially available to draw down through August 9, 2022. In August 2022, we entered into an agreement to extend the expiration date of the DDTL to August 9, 2023, for which we will pay a ticking fee at a rate of 1% per annum on the undrawn portion of the DDTL, which commenced on August 10, 2022. We used substantially all of the proceeds from the Blackstone Credit Agreement, and the related sale of our common stock, to repay the balance of the OrbiMed Credit Agreement.</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repayment schedule for the Initial Term Loan consists of quarterly $0.5 million principal payments commencing on December 31, 2021 and increasing to quarterly $5.0 million payments beginning on March 31, 2024, with a $145.5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payment due on the maturity date of August 9, 2026 (“Maturity Date”). Interest is payable quarterly commencing on November 9, 2021 and continuing through the Maturity Date. The Initial Term Loan bears interest at a per annum rate equal to LIBOR, subject to a 1.00% floor, plus 6.50%. The Loans are guaranteed by our subsidiary Harmony Biosciences, LLC.</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Blackstone Credit Agreement contains affirmative and negative covenants, including limitations on our ability, among other things, to incur additional debt, grant or permit additional liens, make investments and acquisitions, merge or consolidate with others, dispose of assets, pay dividends and distributions and enter into affiliate transactions, in each case, subject to certain exceptions. In addition, the Blackstone Credit Agreement contains a financial covenant that requires us to maintain at all times cash and cash equivalents in certain deposit accounts in an amount at least equal to $10.0 million. We were in compliance with all covenants as of December 31, 2022.</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2021, we entered into an asset purchase agreement with ConSynance Therapeutics, Inc. to acquire HBS-102, a potential first-in-class molecule with a novel mechanism of action. Under the terms of the agreement, the Company acquired full development and commercialization rights globally, with the exception of Greater China, for $3.5 million, which was recorded in research and development expense in the Company’s statement of operations and comprehensive income (loss) for the year ended December 31, 2021. Additionally, there are payments due upon the achievement of certain milestones including $1.8 million for preclinical milestones, $19.0 million for development milestones, $44.0 million for regulatory milestones and $110.0 million for sales milestones.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License Agreement</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We paid an initial, non-refundable $ 30.0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payable on net sales of any new products commercialized. Upon closing of the 2022 LCA on September 28, 2022, the $30.0 million licensing fee was recorded in research and development expenses within the consolidated statement of operations and comprehensive income (loss) for the year ended December 31, 2022.</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Milestone Payments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2021, we made a $ 100.0 million to Bioprojet upon the FDA approval of the NDA for WAKIX for the treatment of cataplexy in adult patients with narcolepsy. In addition, we made a final $ 40.0 million milestone payment to Bioprojet in March 2022 upon WAKIX attaining $500.0 million in life-to-date aggregate net sales in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Selected cash flow data</w:t>
            </w:r>
          </w:p>
        </w:tc>
        <w:tc>
          <w:tcPr>
            <w:tcW w:w="2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9"/>
        </w:trPr>
        <w:tc>
          <w:tcPr>
            <w:tcW w:w="48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gridSpan w:val="4"/>
          </w:tcPr>
          <w:p>
            <w:pPr>
              <w:jc w:val="right"/>
              <w:ind w:right="675"/>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Cash provided by (used in):</w:t>
            </w: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144,466</w:t>
            </w: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(141,832)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(100,298)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2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provided by operating activities for the year ended December 31, 2022 consisted of our net income of $181.5 million adjusted for non-cash items of $23.4 million related to intangible amortization and depreciation and $26.9 million related to stock-based compensation expense. Net working capital excluding cash decreased by $4.1 million.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Net cash provided by operating activities for the year ended December 31, 2021 consisted of our net income of $34.6 million adjusted for non-cash items of $26.1 million related to loss on extinguishment of debt, $18.8 million related to intangible amortization and depreciation and $16.1 million related to stock-based compensation expense. Net working capital excluding cash increased by $0.6 million.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used in investing activities for the year ended December 31, 2022 was $141.8 million, which was primarily attributable to $110.7 million in purchases of debt securities and a final $40.0 million initial payment associated with the 2017 LCA, partially offset by $9.1 million in proceeds from sales and maturities of investments.</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Net cash used in investing activities for the year ended December 31, 2021 was $100.3 million, which was primarily attributable to the $100.0 million milestone payment associated with the Bioprojet License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provided by financing activities for the year ended December 31, 2022 was $6.8 million, which primarily consisted of $8.8 million in proceeds from exercised options and stock issuances offset by $2.0 million in principal payments associated with the Blackstone Credit Agreement.</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Net cash provided by financing activities for the year ended December 31, 2021 was $ 7.4 million, which primarily consisted of $190.9 million in proceeds associated with the Blackstone Credit Agreement, net of issuance costs, and $29.7 million in proceeds associated with issuance of common stock to Blackstone, net of issuance costs. These proceeds were partially offset by $222.0 million in payments of principal and exit fees associated with the extinguishment of the OrbiMed Credit Agreement, $0.9 million in proceeds from exercised options and $0.5 million in principal payments associated with the Blackstone Credit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our costs incurred under services type agreements related to the performance of research and development activities, and the measurement of compensation expense pursuant to stock-based awards.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While our accounting policies are more fully described in Note 3 to our consolidated financial statements included herein under “Part II—Item 8. Financial Statements and Supplementary Data.”, we believe the following are the critical accounting policies used in the preparation of our consolidated financial statements that require significant estimates and judgments.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account for contracts with our customers in accordance with ASC 606, Revenue from Contracts with Customers (ASC 606), or ASC 606.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The amount of variable consideration which is included in the transaction price may be constrained and is included in the net sales price only to the extent that it is probable that a significant reversal in the amount of the cumulative revenue recognized under contracts will not occur in a future period. Our analyses contemplate the application of the constraint in accordance with ASC 606.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determined that the delivery of our product to our customer constitutes a single performance obligation as there are no other promises to deliver goods or services in contracts with our customers. Shipping and handling activities are considered to be fulfilment activities and are not considered to be a separate performance obligation. The payment terms with our customers do not exceed one year and therefore, no amount of consideration has been allocated as a financing component. Taxes collected related to product sales are remitted to governmental authorities and are excluded from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recognize revenue on sales of WAKIX when the customer obtains control of the product, which occurs at a point in time, typically upon delivery. Product revenues are recorded at the product’s list price, net of reserves for variable consideration that are offered within contracts between us and our customers, payors, and other indirect customers relating to the sale of WAKIX. Components of variable consideration include government (as detailed below) and commercial rebates, commercial co-payment assistance program transactions and distribution service fees. These deductions are based on the amounts earned, or to be claimed on the related sales, and are classified as a current liability or reduction of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Contracts</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entered into contracts (i) to participate in the Medicaid Drug Rebate Program and the Medicare Part D program, and (ii) to sell to the U.S. Department of Veterans Affairs, 340b entities and other government agencies, or government payors, so that WAKIX will be eligible for purchase by, in partial or full reimbursement from, such government payors. We record reserves for rebates due pursuant to these contracts as a reduction of revenue in the same period in which the revenue is recognized. The liability for government rebates is included in accrued expenses in our consolidated balance sheet.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estimate rebates due pursuant to government contracts based upon our historical payment and payor mix trends, information obtained from third parties estimating current payor mix, the government-mandated discounts applicable to government-funded programs, as well as information obtained from our customers. The liability for these government rebates consists of estimates of claims for WAKIX dispensed in the current period, plus an estimate for product which has shipped and has been recognized as revenue but remains in the distribution channel at the end of a reporting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base our expenses for research and development services rendered on estimates of the services received and efforts expended pursuant to quotes, contracts and communicating with our vendors. The financial terms of these agreements are subject to negotiation, vary from contract to contract and may result in uneven payments. There may be instances in which payments made to our vendors will exceed the level of services provided and result in a prepayment of the expense. In accruing service fees, we estimate the time period over which services will be performed and level of effort to be expended in each period. If the actual timing of the performance of services or the level of effort is materially different from our estimates, we adjust the accrual or amount of prepaid or accrued expenses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that are too high or too low in any particular period. To date, we have not made any material adjustments to our prior estimates of research and development expenses.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recognizes compensation expense relating to stock-based payment transactions in operating results using a fair value measurement method, in accordance with FASB ASC 718, Compensation-Stock Compensation. ASC 718 requires all stock-based payments to employees to be recognized in operating results as compensation expense based on fair value over the requisite service period of the awards. The vesting periods have a time-based provision consisting of three to five years and expire no more than 10 years after the date of grant. Upon a change of control, certain unvested awards will immediately vest.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We are required to consider all available evidence, both positive and negative, such as historical levels of income and future forecasts of taxable income among other items, in determining whether a full or partial release of its valuation allowance is required. During the year ended December 31, 2022, in part because in the current year we achieved three years of cumulative pretax income, which is a positive indication of the Company’s ability to generate sufficient future taxable income, we determined that there was sufficient positive evidence to conclude that it is more likely than not that additional deferred taxes are realizable and, therefore, released the valuation allowance accordingly. Our accounting for deferred tax consequences represents the best estimate of those future events. We present deferred income taxes on the Consolidated Balance Sheet on a jurisdictional basis as either a net noncurrent asset or liability.</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record liabilities for uncertain tax positions based on a two-step approach. The first step is recognition, where we evaluate whether an individual tax position has a likelihood of greater than 50% of being sustained upon examination based solely on the technical merits of the position, including resolution of any related appeals or litigation processes. For tax positions that are currently estimated to have less than a 50% likelihood of being sustained, no tax benefit is recorded. For tax positions that have met the recognition threshold in the first step, we perform the second step of the approach of measuring the benefit (expense) to be recorded. The actual benefits (expense) ultimately realized may differ from our estimates. In future periods, changes in facts, circumstances, and new information may require us to change the recognition and measurement estimates with regard to individual tax positions. Changes in recognition and measurement estimates are recorded in the statement of income and balance sheet in the period in which such changes occur. As of December 31, 2022, we did not have any liabilities for unrecognized tax positions. As it relates to any interest and penalties associated with any uncertain tax positions, our position is to include those interest and penalties as a component of income tax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See Note 3 to our consolidated financial statements included herein under “Part II—Item 8. Financial Statements and Supplementary Data.”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$286.9 million of investments in money market funds, U.S. treasury notes, corporate bonds and municipal obligations as of December 31, 2022, an immediate 10% change in market interest rates would not have a material impact on the fair market value of our investment portfolio or on our financial position or results of operations.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As of December 31, 2022, we had $197.5 million in borrowings outstanding. The Initial Term Loan bears interest at an interest rate equal to LIBOR (subject to a 1.00% floor) plus 6.50%. Based on the $197.5 million of principal outstanding as of December 31, 2022, an immediate 10% change in the LIBOR would not have a material impact on our debt-related obligations, financial position or results of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years ended December 31,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44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80" w:type="dxa"/>
            <w:vAlign w:val="bottom"/>
          </w:tcPr>
          <w:p>
            <w:pPr>
              <w:spacing w:after="0"/>
              <w:rPr>
                <w:sz w:val="21"/>
                <w:szCs w:val="21"/>
                <w:color w:val="auto"/>
              </w:rPr>
            </w:pPr>
          </w:p>
        </w:tc>
      </w:tr>
      <w:tr>
        <w:trPr>
          <w:trHeight w:val="366"/>
        </w:trPr>
        <w:tc>
          <w:tcPr>
            <w:tcW w:w="844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34)</w:t>
            </w: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23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9"/>
              </w:rPr>
              <w:t>Consolidated Balance Sheets</w:t>
            </w:r>
          </w:p>
        </w:tc>
        <w:tc>
          <w:tcPr>
            <w:tcW w:w="2240" w:type="dxa"/>
            <w:vAlign w:val="bottom"/>
            <w:tcBorders>
              <w:top w:val="single" w:sz="8" w:color="0000EE"/>
            </w:tcBorders>
            <w:gridSpan w:val="3"/>
          </w:tcPr>
          <w:p>
            <w:pPr>
              <w:spacing w:after="0"/>
              <w:rPr>
                <w:sz w:val="18"/>
                <w:szCs w:val="18"/>
                <w:color w:val="auto"/>
              </w:rPr>
            </w:pPr>
          </w:p>
        </w:tc>
        <w:tc>
          <w:tcPr>
            <w:tcW w:w="3820" w:type="dxa"/>
            <w:vAlign w:val="bottom"/>
            <w:gridSpan w:val="3"/>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0"/>
        </w:trPr>
        <w:tc>
          <w:tcPr>
            <w:tcW w:w="8440" w:type="dxa"/>
            <w:vAlign w:val="bottom"/>
            <w:gridSpan w:val="7"/>
          </w:tcPr>
          <w:p>
            <w:pPr>
              <w:spacing w:after="0"/>
              <w:rPr>
                <w:sz w:val="20"/>
                <w:szCs w:val="20"/>
                <w:color w:val="auto"/>
              </w:rPr>
            </w:pPr>
            <w:r>
              <w:rPr>
                <w:rFonts w:ascii="Arial" w:cs="Arial" w:eastAsia="Arial" w:hAnsi="Arial"/>
                <w:sz w:val="18"/>
                <w:szCs w:val="18"/>
                <w:color w:val="0000EE"/>
              </w:rPr>
              <w:t>Consolidated Statements of Operations and Comprehensive Income (Loss</w:t>
            </w:r>
            <w:r>
              <w:rPr>
                <w:rFonts w:ascii="Arial" w:cs="Arial" w:eastAsia="Arial" w:hAnsi="Arial"/>
                <w:sz w:val="18"/>
                <w:szCs w:val="18"/>
                <w:color w:val="000000"/>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8440" w:type="dxa"/>
            <w:vAlign w:val="bottom"/>
            <w:gridSpan w:val="7"/>
          </w:tcPr>
          <w:p>
            <w:pPr>
              <w:spacing w:after="0"/>
              <w:rPr>
                <w:sz w:val="20"/>
                <w:szCs w:val="20"/>
                <w:color w:val="auto"/>
              </w:rPr>
            </w:pPr>
            <w:r>
              <w:rPr>
                <w:rFonts w:ascii="Arial" w:cs="Arial" w:eastAsia="Arial" w:hAnsi="Arial"/>
                <w:sz w:val="18"/>
                <w:szCs w:val="18"/>
                <w:color w:val="0000EE"/>
              </w:rPr>
              <w:t>Consolidated Statements of Convertible Preferred Stock and Stockholders’ Equity (Deficit)</w:t>
            </w:r>
          </w:p>
        </w:tc>
        <w:tc>
          <w:tcPr>
            <w:tcW w:w="1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71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Cash Flows</w:t>
            </w:r>
          </w:p>
        </w:tc>
        <w:tc>
          <w:tcPr>
            <w:tcW w:w="1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35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920" w:type="dxa"/>
            <w:vAlign w:val="bottom"/>
            <w:gridSpan w:val="4"/>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Harmony Biosciences Holdings, Inc. and subsidiary (the "Company") as of December 31, 2022 and 2021, the related consolidated statements of operations and comprehensive loss, convertible preferred stock and stockholders'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21, 2023,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12"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As discussed in Note 3 to the financial statements, effective January 1, 2021, the Company adopted FASB Accounting Standards Update 2016-02, Leases (Topic 842), using the modified retrospective approach which does not require prior periods to be restated.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 Accrual for Medicaid – Refer to “Note 3-Product Sales, Net” to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more fully disclosed in Note 3 to the financial statements, the Company recognizes revenue on sales of WAKIX when the customer obtains control of the product, which occurs at a point in time, typically upon delivery. Product revenues are recorded at the product’s wholesale acquisition costs, net of applicable reserves for variable consideration that are offered within contracts between the Company and its customers, payors, and other indirect customers relating to the sale of WAKIX. Components of variable consideration include government and commercial contracts, commercial co-payment assistance program transactions, and distribution service fees.</w:t>
      </w:r>
    </w:p>
    <w:p>
      <w:pPr>
        <w:spacing w:after="0" w:line="17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rebate provision and related liability related to the Medicaid Drug Rebate Program (the “Medicaid rebate accrual”) involves the use of significant assumptions and judgments in the Company’s calculation. These significant assumptions and judgements include consideration of legal interpretations of applicable laws and regulations, historical claims experience, payer channel mix, current contract prices, unbilled claims, claims submission time lags, and inventory levels in the distribution channel.</w:t>
      </w:r>
    </w:p>
    <w:p>
      <w:pPr>
        <w:spacing w:after="0" w:line="16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Given the complexity involved in determining the significant assumptions used in calculating the Medicaid rebate accrual, auditing these estimates involved especially subjective judgment.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Medicaid rebate accrual included the following, among others:</w:t>
      </w:r>
    </w:p>
    <w:p>
      <w:pPr>
        <w:spacing w:after="0" w:line="212" w:lineRule="exact"/>
        <w:rPr>
          <w:sz w:val="20"/>
          <w:szCs w:val="20"/>
          <w:color w:val="auto"/>
        </w:rPr>
      </w:pPr>
    </w:p>
    <w:p>
      <w:pPr>
        <w:ind w:left="680" w:right="120" w:hanging="321"/>
        <w:spacing w:after="0" w:line="270" w:lineRule="auto"/>
        <w:tabs>
          <w:tab w:leader="none" w:pos="6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appropriateness and consistency of the Company’s methods and assumptions used to calculate the Medicaid rebate accrual.</w:t>
      </w:r>
    </w:p>
    <w:p>
      <w:pPr>
        <w:spacing w:after="0" w:line="154" w:lineRule="exact"/>
        <w:rPr>
          <w:rFonts w:ascii="Times New Roman" w:cs="Times New Roman" w:eastAsia="Times New Roman" w:hAnsi="Times New Roman"/>
          <w:sz w:val="18"/>
          <w:szCs w:val="18"/>
          <w:color w:val="auto"/>
        </w:rPr>
      </w:pPr>
    </w:p>
    <w:p>
      <w:pPr>
        <w:jc w:val="both"/>
        <w:ind w:left="680" w:right="540" w:hanging="321"/>
        <w:spacing w:after="0" w:line="300" w:lineRule="auto"/>
        <w:tabs>
          <w:tab w:leader="none" w:pos="68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We tested the effectiveness of internal controls over the review of the Company’s estimation model, including underlying assumptions and key inputs into the Company’s process to calculate the Medicaid rebate accrual.</w:t>
      </w:r>
    </w:p>
    <w:p>
      <w:pPr>
        <w:spacing w:after="0" w:line="13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mathematical accuracy of the Medicaid rebate accrual.</w:t>
      </w:r>
    </w:p>
    <w:p>
      <w:pPr>
        <w:spacing w:after="0" w:line="22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significant assumptions and key inputs used to calculate the Medicaid rebate accrual.</w:t>
      </w:r>
    </w:p>
    <w:p>
      <w:pPr>
        <w:spacing w:after="0" w:line="224" w:lineRule="exact"/>
        <w:rPr>
          <w:rFonts w:ascii="Times New Roman" w:cs="Times New Roman" w:eastAsia="Times New Roman" w:hAnsi="Times New Roman"/>
          <w:sz w:val="18"/>
          <w:szCs w:val="18"/>
          <w:color w:val="auto"/>
        </w:rPr>
      </w:pPr>
    </w:p>
    <w:p>
      <w:pPr>
        <w:ind w:left="680" w:right="620" w:hanging="321"/>
        <w:spacing w:after="0" w:line="270" w:lineRule="auto"/>
        <w:tabs>
          <w:tab w:leader="none" w:pos="6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Company’s ability to estimate the Medicaid rebate accrual accurately by comparing actual amounts incurred for the Medicaid rebate accrual to historical estimates.</w:t>
      </w:r>
    </w:p>
    <w:p>
      <w:pPr>
        <w:spacing w:after="0" w:line="154" w:lineRule="exact"/>
        <w:rPr>
          <w:rFonts w:ascii="Times New Roman" w:cs="Times New Roman" w:eastAsia="Times New Roman" w:hAnsi="Times New Roman"/>
          <w:sz w:val="18"/>
          <w:szCs w:val="18"/>
          <w:color w:val="auto"/>
        </w:rPr>
      </w:pPr>
    </w:p>
    <w:p>
      <w:pPr>
        <w:ind w:left="680" w:right="460" w:hanging="321"/>
        <w:spacing w:after="0" w:line="270" w:lineRule="auto"/>
        <w:tabs>
          <w:tab w:leader="none" w:pos="6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overall reasonableness of the Medicaid rebate accrual recorded at period end by developing an expectation for comparison to actual recorded balances.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HARMONY BIOSCIENCES HOLDINGS, INC. AND SUBSIDIARY CONSOLIDATED BALANCE SHEETS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r>
      <w:tr>
        <w:trPr>
          <w:trHeight w:val="156"/>
        </w:trPr>
        <w:tc>
          <w:tcPr>
            <w:tcW w:w="70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700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243,784</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234,309</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79,331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54,740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34,843</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4,432</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7,637</w:t>
            </w:r>
          </w:p>
        </w:tc>
      </w:tr>
      <w:tr>
        <w:trPr>
          <w:trHeight w:val="162"/>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8,786</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3,218</w:t>
            </w:r>
          </w:p>
        </w:tc>
      </w:tr>
      <w:tr>
        <w:trPr>
          <w:trHeight w:val="155"/>
        </w:trPr>
        <w:tc>
          <w:tcPr>
            <w:tcW w:w="70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400,285</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284,439</w:t>
            </w:r>
          </w:p>
        </w:tc>
      </w:tr>
      <w:tr>
        <w:trPr>
          <w:trHeight w:val="156"/>
        </w:trPr>
        <w:tc>
          <w:tcPr>
            <w:tcW w:w="7000" w:type="dxa"/>
            <w:vAlign w:val="bottom"/>
          </w:tcPr>
          <w:p>
            <w:pPr>
              <w:ind w:left="120"/>
              <w:spacing w:after="0" w:line="155" w:lineRule="exact"/>
              <w:rPr>
                <w:sz w:val="20"/>
                <w:szCs w:val="20"/>
                <w:color w:val="auto"/>
              </w:rPr>
            </w:pPr>
            <w:r>
              <w:rPr>
                <w:rFonts w:ascii="Arial" w:cs="Arial" w:eastAsia="Arial" w:hAnsi="Arial"/>
                <w:sz w:val="14"/>
                <w:szCs w:val="14"/>
                <w:color w:val="auto"/>
              </w:rPr>
              <w:t>NONCURRENT ASSETS: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160,953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143,919</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3,515</w:t>
            </w:r>
          </w:p>
        </w:tc>
      </w:tr>
      <w:tr>
        <w:trPr>
          <w:trHeight w:val="156"/>
        </w:trPr>
        <w:tc>
          <w:tcPr>
            <w:tcW w:w="70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273,585</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149,004</w:t>
            </w:r>
          </w:p>
        </w:tc>
      </w:tr>
      <w:tr>
        <w:trPr>
          <w:trHeight w:val="195"/>
        </w:trPr>
        <w:tc>
          <w:tcPr>
            <w:tcW w:w="70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673,870</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433,443</w:t>
            </w:r>
          </w:p>
        </w:tc>
      </w:tr>
      <w:tr>
        <w:trPr>
          <w:trHeight w:val="143"/>
        </w:trPr>
        <w:tc>
          <w:tcPr>
            <w:tcW w:w="7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2"/>
        </w:trPr>
        <w:tc>
          <w:tcPr>
            <w:tcW w:w="700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11,532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9,165</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59,942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40,249</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6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r>
      <w:tr>
        <w:trPr>
          <w:trHeight w:val="156"/>
        </w:trPr>
        <w:tc>
          <w:tcPr>
            <w:tcW w:w="70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78,884</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53,775</w:t>
            </w:r>
          </w:p>
        </w:tc>
      </w:tr>
      <w:tr>
        <w:trPr>
          <w:trHeight w:val="155"/>
        </w:trPr>
        <w:tc>
          <w:tcPr>
            <w:tcW w:w="700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NONCURRENT LIABILITIES:</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189,647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189,984</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6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3,177</w:t>
            </w:r>
          </w:p>
        </w:tc>
      </w:tr>
      <w:tr>
        <w:trPr>
          <w:trHeight w:val="155"/>
        </w:trPr>
        <w:tc>
          <w:tcPr>
            <w:tcW w:w="70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192,148</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193,161</w:t>
            </w:r>
          </w:p>
        </w:tc>
      </w:tr>
      <w:tr>
        <w:trPr>
          <w:trHeight w:val="155"/>
        </w:trPr>
        <w:tc>
          <w:tcPr>
            <w:tcW w:w="700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271,032</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246,936</w:t>
            </w:r>
          </w:p>
        </w:tc>
      </w:tr>
      <w:tr>
        <w:trPr>
          <w:trHeight w:val="155"/>
        </w:trPr>
        <w:tc>
          <w:tcPr>
            <w:tcW w:w="7000" w:type="dxa"/>
            <w:vAlign w:val="bottom"/>
          </w:tcPr>
          <w:p>
            <w:pPr>
              <w:ind w:left="120"/>
              <w:spacing w:after="0" w:line="155" w:lineRule="exact"/>
              <w:rPr>
                <w:sz w:val="20"/>
                <w:szCs w:val="20"/>
                <w:color w:val="auto"/>
              </w:rPr>
            </w:pPr>
            <w:r>
              <w:rPr>
                <w:rFonts w:ascii="Arial" w:cs="Arial" w:eastAsia="Arial" w:hAnsi="Arial"/>
                <w:sz w:val="14"/>
                <w:szCs w:val="14"/>
                <w:color w:val="auto"/>
              </w:rPr>
              <w:t>COMMITMENTS AND CONTINGENCIES (Note 12)</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7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STOCKHOLDERS’ EQUITY:</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3"/>
        </w:trPr>
        <w:tc>
          <w:tcPr>
            <w:tcW w:w="700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December 31, 2022 and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December 31, 2021, respectively; 59,615,731 shares and 58,825,769 issued and outstanding at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7000" w:type="dxa"/>
            <w:vAlign w:val="bottom"/>
          </w:tcPr>
          <w:p>
            <w:pPr>
              <w:ind w:left="220"/>
              <w:spacing w:after="0"/>
              <w:rPr>
                <w:sz w:val="20"/>
                <w:szCs w:val="20"/>
                <w:color w:val="auto"/>
              </w:rPr>
            </w:pPr>
            <w:r>
              <w:rPr>
                <w:rFonts w:ascii="Arial" w:cs="Arial" w:eastAsia="Arial" w:hAnsi="Arial"/>
                <w:sz w:val="14"/>
                <w:szCs w:val="14"/>
                <w:color w:val="auto"/>
              </w:rPr>
              <w:t>December 31, 2022 and December 31, 2021, respectively</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675,118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640,104</w:t>
            </w:r>
          </w:p>
        </w:tc>
      </w:tr>
      <w:tr>
        <w:trPr>
          <w:trHeight w:val="162"/>
        </w:trPr>
        <w:tc>
          <w:tcPr>
            <w:tcW w:w="7000" w:type="dxa"/>
            <w:vAlign w:val="bottom"/>
          </w:tcPr>
          <w:p>
            <w:pPr>
              <w:ind w:left="220"/>
              <w:spacing w:after="0"/>
              <w:rPr>
                <w:sz w:val="20"/>
                <w:szCs w:val="20"/>
                <w:color w:val="auto"/>
              </w:rPr>
            </w:pPr>
            <w:r>
              <w:rPr>
                <w:rFonts w:ascii="Arial" w:cs="Arial" w:eastAsia="Arial" w:hAnsi="Arial"/>
                <w:sz w:val="14"/>
                <w:szCs w:val="14"/>
                <w:color w:val="auto"/>
              </w:rPr>
              <w:t>Accumulated other comprehensive income (loss)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6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(272,130)</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(453,598)</w:t>
            </w:r>
          </w:p>
        </w:tc>
      </w:tr>
      <w:tr>
        <w:trPr>
          <w:trHeight w:val="155"/>
        </w:trPr>
        <w:tc>
          <w:tcPr>
            <w:tcW w:w="700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color w:val="auto"/>
              </w:rPr>
              <w:t>TOTAL STOCKHOLDERS’ EQUITY</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402,838</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186,507</w:t>
            </w:r>
          </w:p>
        </w:tc>
      </w:tr>
      <w:tr>
        <w:trPr>
          <w:trHeight w:val="155"/>
        </w:trPr>
        <w:tc>
          <w:tcPr>
            <w:tcW w:w="70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6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673,870</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433,443</w:t>
            </w:r>
          </w:p>
        </w:tc>
      </w:tr>
      <w:tr>
        <w:trPr>
          <w:trHeight w:val="20"/>
        </w:trPr>
        <w:tc>
          <w:tcPr>
            <w:tcW w:w="7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HARMONY BIOSCIENCES HOLDINGS, INC. AND SUBSIDIARY CONSOLIDATED STATEMENTS OF OPERATIONS AND COMPREHENSIVE INCOME (LOSS) (In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437,855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305,440</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83,481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55,518</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354,374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249,922</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70,886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30,367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79,285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68,118</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84,017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63,909</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234,188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162,394</w:t>
            </w:r>
          </w:p>
        </w:tc>
        <w:tc>
          <w:tcPr>
            <w:tcW w:w="2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115,018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120,186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87,528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Loss on debt extinguishment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(26,146)</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expense, net</w:t>
            </w: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(15,669)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(23,970)</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104,686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37,428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76,782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(2,831)</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181,468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34,597</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Unrealized loss on investments</w:t>
            </w: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181,317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34,597</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181,468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34,597</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Accumulation of dividends on preferred stock</w:t>
            </w: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available to common stockholders</w:t>
            </w: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181,468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34,597</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(63,848)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0.60</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Diluted</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59,173,121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57,531,540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25,772,419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Weighted average number of shares of common stock - diluted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61,097,045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59,205,213</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25,772,419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9" w:lineRule="exact"/>
        <w:rPr>
          <w:sz w:val="20"/>
          <w:szCs w:val="20"/>
          <w:color w:val="auto"/>
        </w:rPr>
      </w:pPr>
    </w:p>
    <w:p>
      <w:pPr>
        <w:jc w:val="center"/>
        <w:ind w:left="840" w:right="240"/>
        <w:spacing w:after="0" w:line="296" w:lineRule="auto"/>
        <w:rPr>
          <w:sz w:val="20"/>
          <w:szCs w:val="20"/>
          <w:color w:val="auto"/>
        </w:rPr>
      </w:pPr>
      <w:r>
        <w:rPr>
          <w:rFonts w:ascii="Arial" w:cs="Arial" w:eastAsia="Arial" w:hAnsi="Arial"/>
          <w:sz w:val="16"/>
          <w:szCs w:val="16"/>
          <w:b w:val="1"/>
          <w:bCs w:val="1"/>
          <w:color w:val="auto"/>
        </w:rPr>
        <w:t>HARMONY BIOSCIENCES HOLDINGS, INC. AND SUBSIDIARY CONSOLIDATED STATEMENTS OF CONVERTIBLE PREFERRED STOCK AND STOCKHOLDERS’ EQUITY (DEFICIT) (In thousands, except share and per share data)</w:t>
      </w:r>
    </w:p>
    <w:p>
      <w:pPr>
        <w:spacing w:after="0" w:line="160"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Convertible Preferred</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left="813"/>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Series A, B, &amp; C</w:t>
            </w:r>
          </w:p>
        </w:tc>
        <w:tc>
          <w:tcPr>
            <w:tcW w:w="80" w:type="dxa"/>
            <w:vAlign w:val="bottom"/>
          </w:tcPr>
          <w:p>
            <w:pPr>
              <w:spacing w:after="0"/>
              <w:rPr>
                <w:sz w:val="14"/>
                <w:szCs w:val="14"/>
                <w:color w:val="auto"/>
              </w:rPr>
            </w:pPr>
          </w:p>
        </w:tc>
        <w:tc>
          <w:tcPr>
            <w:tcW w:w="1400" w:type="dxa"/>
            <w:vAlign w:val="bottom"/>
            <w:gridSpan w:val="3"/>
          </w:tcPr>
          <w:p>
            <w:pPr>
              <w:ind w:left="30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top w:val="single" w:sz="8" w:color="auto"/>
            </w:tcBorders>
            <w:gridSpan w:val="2"/>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Shares (1)</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3"/>
                <w:szCs w:val="13"/>
                <w:color w:val="auto"/>
              </w:rPr>
            </w:pPr>
          </w:p>
        </w:tc>
        <w:tc>
          <w:tcPr>
            <w:tcW w:w="90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2"/>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4"/>
        </w:trPr>
        <w:tc>
          <w:tcPr>
            <w:tcW w:w="172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color w:val="auto"/>
              </w:rPr>
              <w:t>Balance as of</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318,510,205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411,275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7,787,470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(422,862)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(422,862)</w:t>
            </w:r>
          </w:p>
        </w:tc>
        <w:tc>
          <w:tcPr>
            <w:tcW w:w="0" w:type="dxa"/>
            <w:vAlign w:val="bottom"/>
          </w:tcPr>
          <w:p>
            <w:pPr>
              <w:spacing w:after="0"/>
              <w:rPr>
                <w:sz w:val="1"/>
                <w:szCs w:val="1"/>
                <w:color w:val="auto"/>
              </w:rPr>
            </w:pPr>
          </w:p>
        </w:tc>
      </w:tr>
      <w:tr>
        <w:trPr>
          <w:trHeight w:val="203"/>
        </w:trPr>
        <w:tc>
          <w:tcPr>
            <w:tcW w:w="1720" w:type="dxa"/>
            <w:vAlign w:val="bottom"/>
          </w:tcPr>
          <w:p>
            <w:pPr>
              <w:ind w:left="22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(36,944)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(36,944)</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dividend, Series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(22,780)</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20"/>
              <w:spacing w:after="0" w:line="202" w:lineRule="exact"/>
              <w:rPr>
                <w:sz w:val="20"/>
                <w:szCs w:val="20"/>
                <w:color w:val="auto"/>
              </w:rPr>
            </w:pPr>
            <w:r>
              <w:rPr>
                <w:rFonts w:ascii="Arial" w:cs="Arial" w:eastAsia="Arial" w:hAnsi="Arial"/>
                <w:sz w:val="18"/>
                <w:szCs w:val="18"/>
                <w:color w:val="auto"/>
              </w:rPr>
              <w:t>accretion, Series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tcPr>
          <w:p>
            <w:pPr>
              <w:ind w:left="22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dividend, Series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20"/>
              <w:spacing w:after="0" w:line="202" w:lineRule="exact"/>
              <w:rPr>
                <w:sz w:val="20"/>
                <w:szCs w:val="20"/>
                <w:color w:val="auto"/>
              </w:rPr>
            </w:pPr>
            <w:r>
              <w:rPr>
                <w:rFonts w:ascii="Arial" w:cs="Arial" w:eastAsia="Arial" w:hAnsi="Arial"/>
                <w:sz w:val="18"/>
                <w:szCs w:val="18"/>
                <w:color w:val="auto"/>
              </w:rPr>
              <w:t>accretion, Series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tcPr>
          <w:p>
            <w:pPr>
              <w:ind w:left="22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dividend, Series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20"/>
              <w:spacing w:after="0" w:line="202" w:lineRule="exact"/>
              <w:rPr>
                <w:sz w:val="20"/>
                <w:szCs w:val="20"/>
                <w:color w:val="auto"/>
              </w:rPr>
            </w:pPr>
            <w:r>
              <w:rPr>
                <w:rFonts w:ascii="Arial" w:cs="Arial" w:eastAsia="Arial" w:hAnsi="Arial"/>
                <w:sz w:val="18"/>
                <w:szCs w:val="18"/>
                <w:color w:val="auto"/>
              </w:rPr>
              <w:t>accretion, Series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tcPr>
          <w:p>
            <w:pPr>
              <w:ind w:left="22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Issuance of stock</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upon initial public</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offering, net of</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costs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6,151,162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135,435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135,435</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Conversion of</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20"/>
              <w:spacing w:after="0" w:line="202" w:lineRule="exact"/>
              <w:rPr>
                <w:sz w:val="20"/>
                <w:szCs w:val="20"/>
                <w:color w:val="auto"/>
              </w:rPr>
            </w:pPr>
            <w:r>
              <w:rPr>
                <w:rFonts w:ascii="Arial" w:cs="Arial" w:eastAsia="Arial" w:hAnsi="Arial"/>
                <w:sz w:val="18"/>
                <w:szCs w:val="18"/>
                <w:color w:val="auto"/>
              </w:rPr>
              <w:t>Series A, B, C</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20"/>
              <w:spacing w:after="0" w:line="202" w:lineRule="exact"/>
              <w:rPr>
                <w:sz w:val="20"/>
                <w:szCs w:val="20"/>
                <w:color w:val="auto"/>
              </w:rPr>
            </w:pPr>
            <w:r>
              <w:rPr>
                <w:rFonts w:ascii="Arial" w:cs="Arial" w:eastAsia="Arial" w:hAnsi="Arial"/>
                <w:sz w:val="18"/>
                <w:szCs w:val="18"/>
                <w:color w:val="auto"/>
              </w:rPr>
              <w:t>convertible stock</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tcPr>
          <w:p>
            <w:pPr>
              <w:ind w:left="220"/>
              <w:spacing w:after="0"/>
              <w:rPr>
                <w:sz w:val="20"/>
                <w:szCs w:val="20"/>
                <w:color w:val="auto"/>
              </w:rPr>
            </w:pPr>
            <w:r>
              <w:rPr>
                <w:rFonts w:ascii="Arial" w:cs="Arial" w:eastAsia="Arial" w:hAnsi="Arial"/>
                <w:sz w:val="18"/>
                <w:szCs w:val="18"/>
                <w:color w:val="auto"/>
              </w:rPr>
              <w:t>to common stock</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(318,510,205)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(444,715)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42,926,630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444,715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444,716</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Reclassification</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of warrant liability</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equity</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Exercise of stock</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tcPr>
          <w:p>
            <w:pPr>
              <w:ind w:left="22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37,947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Repurchase and</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20"/>
              <w:spacing w:after="0" w:line="202" w:lineRule="exact"/>
              <w:rPr>
                <w:sz w:val="20"/>
                <w:szCs w:val="20"/>
                <w:color w:val="auto"/>
              </w:rPr>
            </w:pPr>
            <w:r>
              <w:rPr>
                <w:rFonts w:ascii="Arial" w:cs="Arial" w:eastAsia="Arial" w:hAnsi="Arial"/>
                <w:sz w:val="18"/>
                <w:szCs w:val="18"/>
                <w:color w:val="auto"/>
              </w:rPr>
              <w:t>cancellation of</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(12,175)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Repurchase and</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cancellation of</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withheld for taxes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4"/>
        </w:trPr>
        <w:tc>
          <w:tcPr>
            <w:tcW w:w="1720" w:type="dxa"/>
            <w:vAlign w:val="bottom"/>
          </w:tcPr>
          <w:p>
            <w:pPr>
              <w:spacing w:after="0" w:line="163" w:lineRule="exact"/>
              <w:rPr>
                <w:sz w:val="20"/>
                <w:szCs w:val="20"/>
                <w:color w:val="auto"/>
              </w:rPr>
            </w:pPr>
            <w:r>
              <w:rPr>
                <w:rFonts w:ascii="Arial" w:cs="Arial" w:eastAsia="Arial" w:hAnsi="Arial"/>
                <w:sz w:val="18"/>
                <w:szCs w:val="18"/>
                <w:color w:val="auto"/>
              </w:rPr>
              <w:t>Balance as of</w:t>
            </w: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20"/>
                <w:szCs w:val="20"/>
                <w:color w:val="auto"/>
              </w:rPr>
            </w:pPr>
            <w:r>
              <w:rPr>
                <w:rFonts w:ascii="Arial" w:cs="Arial" w:eastAsia="Arial" w:hAnsi="Arial"/>
                <w:sz w:val="18"/>
                <w:szCs w:val="18"/>
                <w:color w:val="auto"/>
              </w:rPr>
              <w:t>December 31, 2020</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56,890,569</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$585,374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(488,195)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97,180</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34,597</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Issuance of</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1,270,462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Exercise of</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664,738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Stock-based</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tcPr>
          <w:p>
            <w:pPr>
              <w:ind w:left="22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15,659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15,659</w:t>
            </w:r>
          </w:p>
        </w:tc>
        <w:tc>
          <w:tcPr>
            <w:tcW w:w="0" w:type="dxa"/>
            <w:vAlign w:val="bottom"/>
          </w:tcPr>
          <w:p>
            <w:pPr>
              <w:spacing w:after="0"/>
              <w:rPr>
                <w:sz w:val="1"/>
                <w:szCs w:val="1"/>
                <w:color w:val="auto"/>
              </w:rPr>
            </w:pPr>
          </w:p>
        </w:tc>
      </w:tr>
      <w:tr>
        <w:trPr>
          <w:trHeight w:val="164"/>
        </w:trPr>
        <w:tc>
          <w:tcPr>
            <w:tcW w:w="172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8"/>
                <w:szCs w:val="18"/>
                <w:color w:val="auto"/>
              </w:rPr>
              <w:t>Balance as of</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58,825,769</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$640,104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(453,598)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186,507</w:t>
            </w:r>
          </w:p>
        </w:tc>
        <w:tc>
          <w:tcPr>
            <w:tcW w:w="0" w:type="dxa"/>
            <w:vAlign w:val="bottom"/>
          </w:tcPr>
          <w:p>
            <w:pPr>
              <w:spacing w:after="0"/>
              <w:rPr>
                <w:sz w:val="1"/>
                <w:szCs w:val="1"/>
                <w:color w:val="auto"/>
              </w:rPr>
            </w:pPr>
          </w:p>
        </w:tc>
      </w:tr>
      <w:tr>
        <w:trPr>
          <w:trHeight w:val="203"/>
        </w:trPr>
        <w:tc>
          <w:tcPr>
            <w:tcW w:w="172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181,468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181,468</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Unrealized loss</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on investments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Issuance of</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Exercise of</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781,912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184"/>
        </w:trPr>
        <w:tc>
          <w:tcPr>
            <w:tcW w:w="1720" w:type="dxa"/>
            <w:vAlign w:val="bottom"/>
          </w:tcPr>
          <w:p>
            <w:pPr>
              <w:ind w:left="220"/>
              <w:spacing w:after="0" w:line="183" w:lineRule="exact"/>
              <w:rPr>
                <w:sz w:val="20"/>
                <w:szCs w:val="20"/>
                <w:color w:val="auto"/>
              </w:rPr>
            </w:pPr>
            <w:r>
              <w:rPr>
                <w:rFonts w:ascii="Arial" w:cs="Arial" w:eastAsia="Arial" w:hAnsi="Arial"/>
                <w:sz w:val="18"/>
                <w:szCs w:val="18"/>
                <w:color w:val="auto"/>
              </w:rPr>
              <w:t>Stock-based</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compensation</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26,173</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26,173</w:t>
            </w:r>
          </w:p>
        </w:tc>
        <w:tc>
          <w:tcPr>
            <w:tcW w:w="0" w:type="dxa"/>
            <w:vAlign w:val="bottom"/>
          </w:tcPr>
          <w:p>
            <w:pPr>
              <w:spacing w:after="0"/>
              <w:rPr>
                <w:sz w:val="1"/>
                <w:szCs w:val="1"/>
                <w:color w:val="auto"/>
              </w:rPr>
            </w:pPr>
          </w:p>
        </w:tc>
      </w:tr>
      <w:tr>
        <w:trPr>
          <w:trHeight w:val="164"/>
        </w:trPr>
        <w:tc>
          <w:tcPr>
            <w:tcW w:w="172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Balance as of</w:t>
            </w:r>
          </w:p>
        </w:tc>
        <w:tc>
          <w:tcPr>
            <w:tcW w:w="10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59,615,731</w:t>
            </w:r>
          </w:p>
        </w:tc>
        <w:tc>
          <w:tcPr>
            <w:tcW w:w="4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$ 675,118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(272,130)</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402,838</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197485</wp:posOffset>
            </wp:positionV>
            <wp:extent cx="16198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86" w:lineRule="exact"/>
        <w:rPr>
          <w:sz w:val="20"/>
          <w:szCs w:val="20"/>
          <w:color w:val="auto"/>
        </w:rPr>
      </w:pPr>
    </w:p>
    <w:p>
      <w:pPr>
        <w:ind w:left="321" w:hanging="321"/>
        <w:spacing w:after="0"/>
        <w:tabs>
          <w:tab w:leader="none" w:pos="321" w:val="left"/>
        </w:tabs>
        <w:numPr>
          <w:ilvl w:val="0"/>
          <w:numId w:val="55"/>
        </w:numPr>
        <w:rPr>
          <w:rFonts w:ascii="Arial" w:cs="Arial" w:eastAsia="Arial" w:hAnsi="Arial"/>
          <w:sz w:val="13"/>
          <w:szCs w:val="13"/>
          <w:color w:val="auto"/>
        </w:rPr>
      </w:pPr>
      <w:r>
        <w:rPr>
          <w:rFonts w:ascii="Arial" w:cs="Arial" w:eastAsia="Arial" w:hAnsi="Arial"/>
          <w:sz w:val="13"/>
          <w:szCs w:val="13"/>
          <w:color w:val="auto"/>
        </w:rPr>
        <w:t>Common stock of Harmony Biosciences Holdings, Inc.</w:t>
      </w:r>
    </w:p>
    <w:p>
      <w:pPr>
        <w:sectPr>
          <w:pgSz w:w="11900" w:h="16838" w:orient="portrait"/>
          <w:cols w:equalWidth="0" w:num="1">
            <w:col w:w="10201"/>
          </w:cols>
          <w:pgMar w:left="839" w:top="661" w:right="859" w:bottom="0" w:gutter="0" w:footer="0" w:header="0"/>
        </w:sectPr>
      </w:pPr>
    </w:p>
    <w:p>
      <w:pPr>
        <w:spacing w:after="0" w:line="27" w:lineRule="exact"/>
        <w:rPr>
          <w:sz w:val="20"/>
          <w:szCs w:val="20"/>
          <w:color w:val="auto"/>
        </w:rPr>
      </w:pPr>
    </w:p>
    <w:p>
      <w:pPr>
        <w:ind w:left="2381"/>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ectPr>
          <w:pgSz w:w="11900" w:h="16838" w:orient="portrait"/>
          <w:cols w:equalWidth="0" w:num="1">
            <w:col w:w="10201"/>
          </w:cols>
          <w:pgMar w:left="839" w:top="661" w:right="859" w:bottom="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358775</wp:posOffset>
            </wp:positionV>
            <wp:extent cx="64808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r>
      <w:tr>
        <w:trPr>
          <w:trHeight w:val="156"/>
        </w:trPr>
        <w:tc>
          <w:tcPr>
            <w:tcW w:w="576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2020</w:t>
            </w: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181,468</w:t>
            </w:r>
          </w:p>
        </w:tc>
        <w:tc>
          <w:tcPr>
            <w:tcW w:w="4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34,597</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(36,944)</w:t>
            </w:r>
          </w:p>
        </w:tc>
      </w:tr>
      <w:tr>
        <w:trPr>
          <w:trHeight w:val="162"/>
        </w:trPr>
        <w:tc>
          <w:tcPr>
            <w:tcW w:w="57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9,843</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Acquired in-process research &amp; development (IPR&amp;D) expense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26,173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4,693</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Warrant expense</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Debt issuance costs amortization</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2,238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2,412</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debt extinguishment</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22,639</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Other non-cash expenses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Change in operating assets and liabilities: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Trade receivables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(19,897)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(12,667)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(17,922)</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(7,548)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(5,774)</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(3,804)</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20,570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17,263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18,450</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6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55"/>
        </w:trPr>
        <w:tc>
          <w:tcPr>
            <w:tcW w:w="57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6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144,466</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98,557</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(2,985)</w:t>
            </w:r>
          </w:p>
        </w:tc>
      </w:tr>
      <w:tr>
        <w:trPr>
          <w:trHeight w:val="156"/>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Purchase of investment securities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(110,729)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9,069</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Purchase of property and equipment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Milestone payments</w:t>
            </w:r>
          </w:p>
        </w:tc>
        <w:tc>
          <w:tcPr>
            <w:tcW w:w="6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r>
      <w:tr>
        <w:trPr>
          <w:trHeight w:val="155"/>
        </w:trPr>
        <w:tc>
          <w:tcPr>
            <w:tcW w:w="57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6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(141,832)</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(100,298)</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(2,002)</w:t>
            </w: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Proceeds from issuance of common stock upon initial public offering</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147,628</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Initial public offering issuance costs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(12,193)</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issuance costs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Proceeds from long term debt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200,000</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(5,804)</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Extinguishment of debt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(102,538)</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debt exit fees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(18,047)</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Principal repayment of long term debt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exercised options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payments for employees shares withheld</w:t>
            </w:r>
          </w:p>
        </w:tc>
        <w:tc>
          <w:tcPr>
            <w:tcW w:w="6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55"/>
        </w:trPr>
        <w:tc>
          <w:tcPr>
            <w:tcW w:w="57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6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6,841</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7,419</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209,161</w:t>
            </w: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6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9,475</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5,678</w:t>
            </w:r>
          </w:p>
        </w:tc>
        <w:tc>
          <w:tcPr>
            <w:tcW w:w="1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204,174</w:t>
            </w:r>
          </w:p>
        </w:tc>
      </w:tr>
      <w:tr>
        <w:trPr>
          <w:trHeight w:val="155"/>
        </w:trPr>
        <w:tc>
          <w:tcPr>
            <w:tcW w:w="57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6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235,059</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229,381</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25,207</w:t>
            </w: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6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244,534</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235,059</w:t>
            </w:r>
          </w:p>
        </w:tc>
        <w:tc>
          <w:tcPr>
            <w:tcW w:w="1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229,381</w:t>
            </w:r>
          </w:p>
        </w:tc>
      </w:tr>
      <w:tr>
        <w:trPr>
          <w:trHeight w:val="156"/>
        </w:trPr>
        <w:tc>
          <w:tcPr>
            <w:tcW w:w="5760" w:type="dxa"/>
            <w:vAlign w:val="bottom"/>
          </w:tcPr>
          <w:p>
            <w:pPr>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8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16,364</w:t>
            </w:r>
          </w:p>
        </w:tc>
        <w:tc>
          <w:tcPr>
            <w:tcW w:w="4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26,203</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Cash paid during the year for taxes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12,645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2,875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Series A Preferred Stock accrued return</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22,780</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Series A accretion of issuance costs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5,562</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Series B Preferred Stock accrued return</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Series B accretion of issuance costs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Series C Preferred Stock accrued return</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3,347</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Series C accretion of issuance costs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Warrant financing</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2,359</w:t>
            </w: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Warrant liability reclassified to equity</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5,468</w:t>
            </w:r>
          </w:p>
        </w:tc>
      </w:tr>
    </w:tbl>
    <w:p>
      <w:pPr>
        <w:spacing w:after="0" w:line="18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line="280" w:lineRule="auto"/>
        <w:rPr>
          <w:sz w:val="20"/>
          <w:szCs w:val="20"/>
          <w:color w:val="auto"/>
        </w:rPr>
      </w:pPr>
      <w:r>
        <w:rPr>
          <w:rFonts w:ascii="Arial" w:cs="Arial" w:eastAsia="Arial" w:hAnsi="Arial"/>
          <w:sz w:val="17"/>
          <w:szCs w:val="17"/>
          <w:b w:val="1"/>
          <w:bCs w:val="1"/>
          <w:color w:val="auto"/>
        </w:rPr>
        <w:t>HARMONY BIOSCIENCES HOLDINGS, INC. AND SUBSIDIARY NOTES TO CONSOLIDATED FINANCIAL STATEMENTS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b w:val="1"/>
          <w:bCs w:val="1"/>
          <w:color w:val="auto"/>
        </w:rPr>
        <w:t>. ORGANIZATION AND DESCRIPTION OF BUSINESS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Company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Harmony Biosciences Holdings, Inc., and its consolidated subsidiary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subsidiary, Harmony Biosciences, LLC (“Harmony”), which was formed in May 2017. The Company is a commercial-stage pharmaceutical company focused on developing and commercializing innovative therapies for patients living with rare neurological disorders as well as patients living with other neurological diseases who have unmet medical needs. The Company is headquartered in Plymouth Meeting, Pennsylvania.</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Initial Public Offering</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August 2020, the Company completed its initial public offering (“IPO”) of common stock, in which it sold 6,151,162 shares, including 802,325 shares pursuant to the underwriters’ over-allotment option. The shares were sold at a price of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Reverse Stock Split</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August 2020, the Company implemented a 1-for-8.215 reverse stock split of the Company’s common stock.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and preferred dividend were proportionately reduced. All references in the accompanying consolidated financial statements and related notes to the number of shares of common stock, convertible preferred stock, warrants and options to purchase common stock and per share data reflect the effect of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LIQUIDITY AND CAPITAL RESOURCES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consolidated financial statements have been prepared as though the Company will continue as a going concern, which contemplates the realization of assets and satisfaction of liabilities in the normal course of business. The Company had an accumulated deficit of $272,130 and $453,598, as of December 31, 2022 and 2021, respectively. As of December 31, 2022, the Company had cash, cash equivalents, restricted cash and investments of $ 346,433.</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December 31, 2022, as well as additional cash generated from operating and financing activities will meet its operational liquidity needs and fund its planned investing activities for the next twelve months from the date of issuance of these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right="5140" w:hanging="652"/>
        <w:spacing w:after="0" w:line="485" w:lineRule="auto"/>
        <w:tabs>
          <w:tab w:leader="none" w:pos="21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648"/>
        <w:spacing w:after="0" w:line="253"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if approved; the Company’s ability to negotiate favorable licensing or other manufacturing and marketing agreements for its product candidates; and the Company’s ability to raise capital.</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holds all its tangible assets, conducts its operations, and generates its revenues in the U.S. Operating segments are defined as components of an entity for which separate financial information is available and that is regularly reviewed by the Chief Operating Decision Makers in deciding how to allocate resources to an individual segment and in assessing performance. The Company has determined it operates in a single operating segment and has one reportable segment.</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The Company’s consolidated financial statements include cash, cash equivalents, accounts payable, and accrued liabilities, all of which are short term in nature and, accordingly, approximate fair value. Additionally, prior to the IPO, the Company’s consolidated financial statements included a warrant liability that was carried at fair value and was re-measured at each balance sheet date until it would be exercised or expired. In connection with the IPO, the Warrants were re-evaluated under the Financial Accounting Standards Board (“FASB”) Accounting Standards Codification (“ASC”)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and reclassified to equity. See Note 16 for a further discussion of the warrants.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2—Valuations based on observable inputs and quoted prices in active markets for similar assets and liabilities.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December 31, 2022 or December 31, 2021.</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that equal the amount reflected in the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4"/>
                <w:szCs w:val="14"/>
                <w:color w:val="auto"/>
              </w:rPr>
            </w:pPr>
          </w:p>
        </w:tc>
      </w:tr>
      <w:tr>
        <w:trPr>
          <w:trHeight w:val="146"/>
        </w:trPr>
        <w:tc>
          <w:tcPr>
            <w:tcW w:w="7380" w:type="dxa"/>
            <w:vAlign w:val="bottom"/>
          </w:tcPr>
          <w:p>
            <w:pPr>
              <w:spacing w:after="0"/>
              <w:rPr>
                <w:sz w:val="12"/>
                <w:szCs w:val="12"/>
                <w:color w:val="auto"/>
              </w:rPr>
            </w:pPr>
          </w:p>
        </w:tc>
        <w:tc>
          <w:tcPr>
            <w:tcW w:w="1140" w:type="dxa"/>
            <w:vAlign w:val="bottom"/>
            <w:gridSpan w:val="2"/>
          </w:tcPr>
          <w:p>
            <w:pPr>
              <w:jc w:val="right"/>
              <w:ind w:right="37"/>
              <w:spacing w:after="0" w:line="147"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7"/>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7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243,784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234,309</w:t>
            </w:r>
          </w:p>
        </w:tc>
      </w:tr>
      <w:tr>
        <w:trPr>
          <w:trHeight w:val="203"/>
        </w:trPr>
        <w:tc>
          <w:tcPr>
            <w:tcW w:w="7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r>
      <w:tr>
        <w:trPr>
          <w:trHeight w:val="196"/>
        </w:trPr>
        <w:tc>
          <w:tcPr>
            <w:tcW w:w="7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244,534</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235,059</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The amortization of premiums and accretion of discounts adjust the carrying value of investments and are recorded in interest expense, net, on the unaudited condensed consolidated statements of operations and comprehensive income. Interest income and realized gains and losses, if any, are also recorded in interest expense, net, on the unaudited condensed consolidated statement of operations and comprehensive income. Realized gains and losses that result from the sale of investments are determined on a specific identification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Substantially all of the Company’s cash and money market funds are held in two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is also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December 31, 2022, three customers accounted for 100% of gross accounts receivable, Caremark LLC (“CVS Caremark”), which accounted for 41% of gross accounts receivable; Accredo Health Group, Inc. (“Accredo”), which accounted for 35% of gross accounts receivable; and PANTHERx Specialty Pharmacy LLC (“Pantherx”), which accounted for 24% of gross accounts receivable. As of December 31, 2021, three customers accounted for 100% of gross accounts receivable; Accredo, which accounted for 40% of gross accounts receivable, Pantherx, which accounted for 31% of gross accounts receivable and CVS Caremark, which accounted for 29% of gross accounts receivable.</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the year ended December 31, 2022, three customers accounted for 100% of gross product revenues; CVS Caremark accounted for 42% of gross product revenues; Pantherx accounted for 29% of gross product revenues; and Accredo accounted for 29% of gross product revenues. For the year ended December 31, 2021, three customers accounted for 100% of gross product revenues; CVS Caremark accounted for 36% of gross product revenues; Pantherx accounted for 35% of gross product revenues; and Accredo accounted for 29% of gross product revenues. For the year ended December 31, 2020, three customers accounted for 100% of gross product revenues; CVS Caremark accounted for 40% of gross product revenues; Pantherx accounted for 33% of gross products revenues; and Accredo accounted for 27% of gross product revenues.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depends on a single source supplier for each of its product and active pharmaceutical ingredient.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Inventory is valued at the lower of cost or net realizable value. Cost is determined using the specific identification method for all inventory. Our policy is to write down inventory that has become obsolete, that has a cost basis in excess of its expected net realizable value and/or that we have quantities in excess of expected future demand. The estimate of excess quantities is subjective and primarily dependent on our estimates of future demand. If our estimate of future demand changes, we consider the impact on the reserve for excess inventory and adjust the reserve as required. Inventory reserves are recorded as a component of cost of product sales in our consolidated statement of operations.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may capitalize inventory costs associated with products prior to regulatory approval when future commercialization is probable.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Property and Equipment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between three and ten years. Leasehold improvements are depreciated using the straight-line method over the shorter of the estimated useful life of the asset or the term of the lease. The Company’s leasehold improvements primarily relate to its corporate headquarters in Plymouth Meeting, PA, and are generally being depreciated through the end of the lease term in May 2024. When assets are retired or otherwise disposed of, the cost and accumulated depreciation are removed from the balance sheet and any resulting gain or loss is reflected in the consolidated statement of operations and comprehensive income (loss) in the period realized.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Intangible assets with finite useful lives consist primarily of purchased developed technology and are amortized on a straight-line basis over their estimated useful lives.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account for contracts with our customers in accordance with ASC 606, Revenue from Contracts with Customers (ASC 606), or ASC 606.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The amount of variable consideration which is included in the transaction price may be constrained and is included in the net sales price only to the extent that it is probable that a significant reversal in the amount of the cumulative revenue recognized under contracts will not occur in a future period. Our analyses contemplate the application of the constraint in accordance with ASC 606.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determined that the delivery of our product to our customer constitutes a single performance obligation as there are no other promises to deliver goods or services in contracts with our customers. Shipping and handling activities are considered to be fulfilment activities and are not considered to be a separate performance obligation. The payment terms with our customers do not exceed one year and therefore, no amount of consideration has been allocated as a financing component. Taxes collected related to product sales are remitted to governmental authorities and are excluded from revenue.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Product Sales, Net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recognize revenue on sales of WAKIX when the customer obtains control of the product, which occurs at a point in time, typically upon delivery. Product revenues are recorded at the product’s list price, net of applicable reserves for variable consideration that are offered within contracts between us and our customers, payors, and other indirect customers relating to the sale of WAKIX. Components of variable consideration include government (as detailed below) and commercial contracts, commercial co-payment assistance program transactions, and distribution service fees. These deductions are based on the amounts earned, or to be claimed on the related sales, and are classified as a current liability or reduction of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Contracts</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entered into contracts (i) to participate in the Medicaid Drug Rebate Program and the Medicare Part D program, and (ii) to sell to the U.S. Department of Veterans Affairs, 340b entities and other government agencies, or government payors, so that WAKIX will be eligible for purchase by, in partial or full reimbursement from, such government payors. We record reserves for rebates due pursuant to these contracts as a reduction of revenue in the same period in which the revenue is recognized. The liability for government rebates is included in accrued expenses in our consolidated balance sheet.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estimate rebates due pursuant to government contracts based upon our historical payment and payor mix trends, information obtained from third parties estimating current payor mix, the government-mandated discounts applicable to government-funded programs, as well as information obtained from our customers. The liability for these government rebates consists of estimates of claims for WAKIX dispensed in the current period, plus an estimate for product which has shipped and has been recognized as revenue but remains in the distribution channel at the end of a reporting period.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Sold</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Cost of product sold includes manufacturing and distribution costs, the cost of drug substance, FDA program fees, royalties due to third parties on net product sales, freight, shipping, handling, storage costs, and salaries of employees involved with production.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Research and development costs are expensed as incurred. Liabilities due to third parties in connection with research and development collaborations prior to regulatory approval are expensed as incurred.</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Upfront payments and pre-FDA approval milestone payments made for licensing of technology are expensed as research and development in the period in which they are incurred. Advance payments for goods and services to be received in the future for use in research and development activities are recorded as prepaid expenses. The prepaid amounts are expensed as the related goods are delivered or the services are performed.</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Advertising Expenses</w:t>
      </w:r>
    </w:p>
    <w:p>
      <w:pPr>
        <w:spacing w:after="0" w:line="21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We expensed the costs of advertising, including promotional expenses, as incurred. Advertising expenses were $22,428, $19,558 and $13,301 for the years ended December 31, 2022, 2021 and 2020,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recognizes compensation expense relating to stock-based payment transactions in operating results using a fair value measurement method, in accordance with FASB ASC 718, Compensation-Stock Compensation. ASC 718 requires all stock-based payments to employees to be recognized in operating results as compensation expense based on fair value over the requisite service period of the awards. The vesting periods have a time-based provision consisting of three to five years and expire no more than 10 years after the date of grant. Upon a change of control, certain unvested awards will immediately vest. The Company determines the fair value of stock-based awards on their grant date using the Black-Scholes option-pricing model, which uses both historical and current market data to estimate fair value. The method incorporates various assumptions, such as the risk-free interest rate, expected volatility, expected dividend yield, and expected life of the options. The Company also had nonemployee stock awards subject to a performance condition that are recognized based on probable outcome of achieving future events.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Basic and Diluted Net Income (Loss) per Share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Basic net income (loss) per share is determined using the weighted average number of shares of common stock outstanding during each period. Diluted net income per share includes the effect, if any, from the potential exercise or conversion of securities, such as convertible preferred stock and stock options, which would result in the issuance of incremental shares of common stock. The computation of diluted net loss per shares does not include the conversion of securities that would have an anti-dilutive effect. The basic and diluted computations of net loss per share for the Company are the same because the effects of the Company’s convertible securities would be anti-dilutive (see Note 17 for further detail).</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During the year ended December 31, 2022, in part because in the current year we achieved three years of cumulative pretax income, which is a positive indication of the Company’s ability to generate sufficient future taxable income, the Company determined that there was sufficient positive evidence to conclude that it is more likely than not that additional deferred taxes are realizable and, therefore, released the valuation allowance accordingly. Our accounting for deferred tax consequences represents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best estimate of those future events. The Company presents deferred income taxes on the Consolidated Balance Sheet on a jurisdictional basis as either a net noncurrent asset or liability.</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sustainable, based solely on its technical merits and consideration of the relevant taxing authority’s widely understood administrative practices and precedents. Recognized income tax positions are measured at the largest amount that is greater than 50% likely of being realized. Changes in recognition or measurement are reflected in the period in which a change in judgment occurs. At December 31, 2022 and 2021, the Company did not have any unrecognized uncertain tax positions. The Company’s policy is to include any interest and penalties as a component of income tax expense.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color w:val="auto"/>
        </w:rPr>
        <w:t>ASU 2020-04, Reference Rate Reform (Topic 848)</w:t>
      </w:r>
      <w:r>
        <w:rPr>
          <w:rFonts w:ascii="Arial" w:cs="Arial" w:eastAsia="Arial" w:hAnsi="Arial"/>
          <w:sz w:val="18"/>
          <w:szCs w:val="18"/>
          <w:color w:val="auto"/>
        </w:rPr>
        <w:t>. In March 2020, the FASB issued ASU No. 2020-04,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Reference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Rate Reform (Topic 848)</w:t>
      </w:r>
      <w:r>
        <w:rPr>
          <w:rFonts w:ascii="Arial" w:cs="Arial" w:eastAsia="Arial" w:hAnsi="Arial"/>
          <w:sz w:val="18"/>
          <w:szCs w:val="18"/>
          <w:color w:val="auto"/>
        </w:rPr>
        <w:t>, which provides guidance related to reference rate reform. The pronouncement provides 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could initially be applied to applicable contract modifications through December 31, 2022, which was extended to December 31, 2024 upon the FASB issuing ASU No. 2022-06,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 Deferral of the Sunset Date of Topic 848. The Company is currently evaluating the impact of the transition from LIBOR to alternative reference rates but does not expect a significant impact to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Amortized</w:t>
            </w: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w:t>
            </w: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Gains</w:t>
            </w:r>
          </w:p>
        </w:tc>
        <w:tc>
          <w:tcPr>
            <w:tcW w:w="940" w:type="dxa"/>
            <w:vAlign w:val="bottom"/>
          </w:tcPr>
          <w:p>
            <w:pPr>
              <w:jc w:val="right"/>
              <w:ind w:right="134"/>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26,553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U.S. government securities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3,658</w:t>
            </w: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short-term investments</w:t>
            </w:r>
          </w:p>
        </w:tc>
        <w:tc>
          <w:tcPr>
            <w:tcW w:w="16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U.S. government securities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investments</w:t>
            </w:r>
          </w:p>
        </w:tc>
        <w:tc>
          <w:tcPr>
            <w:tcW w:w="16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consolidated balance sheet. The investments classified as noncurrent have original maturity dates ranging from 1-2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December 31, 2022 or December 31, 2021.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December 31, 2022</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Borders>
              <w:bottom w:val="single" w:sz="8" w:color="auto"/>
            </w:tcBorders>
          </w:tcPr>
          <w:p>
            <w:pPr>
              <w:spacing w:after="0"/>
              <w:rPr>
                <w:sz w:val="14"/>
                <w:szCs w:val="14"/>
                <w:color w:val="auto"/>
              </w:rPr>
            </w:pPr>
          </w:p>
        </w:tc>
      </w:tr>
      <w:tr>
        <w:trPr>
          <w:trHeight w:val="209"/>
        </w:trPr>
        <w:tc>
          <w:tcPr>
            <w:tcW w:w="2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r>
      <w:tr>
        <w:trPr>
          <w:trHeight w:val="196"/>
        </w:trPr>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Cash equivalents</w:t>
            </w:r>
          </w:p>
        </w:tc>
        <w:tc>
          <w:tcPr>
            <w:tcW w:w="7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184,977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184,977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156,782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156,782</w:t>
            </w:r>
          </w:p>
        </w:tc>
        <w:tc>
          <w:tcPr>
            <w:tcW w:w="2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70,608</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196"/>
        </w:trPr>
        <w:tc>
          <w:tcPr>
            <w:tcW w:w="274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6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286,876</w:t>
            </w:r>
          </w:p>
        </w:tc>
        <w:tc>
          <w:tcPr>
            <w:tcW w:w="1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184,977</w:t>
            </w:r>
          </w:p>
        </w:tc>
        <w:tc>
          <w:tcPr>
            <w:tcW w:w="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101,899</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156,782</w:t>
            </w:r>
          </w:p>
        </w:tc>
        <w:tc>
          <w:tcPr>
            <w:tcW w:w="2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156,782</w:t>
            </w: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tcPr>
          <w:p>
            <w:pPr>
              <w:ind w:left="660"/>
              <w:spacing w:after="0" w:line="196" w:lineRule="exact"/>
              <w:rPr>
                <w:sz w:val="20"/>
                <w:szCs w:val="20"/>
                <w:color w:val="auto"/>
              </w:rPr>
            </w:pPr>
            <w:r>
              <w:rPr>
                <w:rFonts w:ascii="Arial" w:cs="Arial" w:eastAsia="Arial" w:hAnsi="Arial"/>
                <w:sz w:val="18"/>
                <w:szCs w:val="18"/>
                <w:color w:val="auto"/>
              </w:rPr>
              <w:t>—</w:t>
            </w:r>
          </w:p>
        </w:tc>
      </w:tr>
      <w:tr>
        <w:trPr>
          <w:trHeight w:val="20"/>
        </w:trPr>
        <w:tc>
          <w:tcPr>
            <w:tcW w:w="2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estimated the fair value of the warrant liability using the Black-Scholes option-pricing model at each balance sheet date or when specific events occurred. As discussed in Note 16, in connection with the Company’s IPO the warrant fair value was updated on August 19, 2020 with the change in fair value recorded in current period earnings as other expense in the consolidated statement of operations and reclassified to equity. During the year ended December 31, 2020, a loss of $3,109 was recorded in other expense in the consolidated statements of operations due to the change in the fair value of the warrant liability.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range of assumptions used to determine the fair value of the warrant liability through August 19, 2020 were 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54.2% - 68.8 %</w:t>
            </w: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0.17% - 1.56 %</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Lack of marketability discount</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0.0 %</w:t>
            </w: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1 - 4.5</w:t>
            </w:r>
          </w:p>
        </w:tc>
      </w:tr>
      <w:tr>
        <w:trPr>
          <w:trHeight w:val="457"/>
        </w:trPr>
        <w:tc>
          <w:tcPr>
            <w:tcW w:w="5660" w:type="dxa"/>
            <w:vAlign w:val="bottom"/>
          </w:tcPr>
          <w:p>
            <w:pPr>
              <w:spacing w:after="0"/>
              <w:rPr>
                <w:sz w:val="20"/>
                <w:szCs w:val="20"/>
                <w:color w:val="auto"/>
              </w:rPr>
            </w:pPr>
            <w:r>
              <w:rPr>
                <w:rFonts w:ascii="Arial" w:cs="Arial" w:eastAsia="Arial" w:hAnsi="Arial"/>
                <w:sz w:val="18"/>
                <w:szCs w:val="18"/>
                <w:b w:val="1"/>
                <w:bCs w:val="1"/>
                <w:color w:val="auto"/>
              </w:rPr>
              <w:t>6. INVENTORY</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1"/>
        </w:trPr>
        <w:tc>
          <w:tcPr>
            <w:tcW w:w="5660" w:type="dxa"/>
            <w:vAlign w:val="bottom"/>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4"/>
        </w:trPr>
        <w:tc>
          <w:tcPr>
            <w:tcW w:w="5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24"/>
                <w:szCs w:val="24"/>
                <w:color w:val="auto"/>
              </w:rPr>
            </w:pPr>
          </w:p>
        </w:tc>
      </w:tr>
      <w:tr>
        <w:trPr>
          <w:trHeight w:val="146"/>
        </w:trPr>
        <w:tc>
          <w:tcPr>
            <w:tcW w:w="5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20" w:type="dxa"/>
            <w:vAlign w:val="bottom"/>
            <w:gridSpan w:val="2"/>
          </w:tcPr>
          <w:p>
            <w:pPr>
              <w:jc w:val="right"/>
              <w:ind w:right="35"/>
              <w:spacing w:after="0" w:line="147"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right"/>
              <w:ind w:right="32"/>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66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838</w:t>
            </w:r>
          </w:p>
        </w:tc>
        <w:tc>
          <w:tcPr>
            <w:tcW w:w="2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986</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1,787</w:t>
            </w:r>
          </w:p>
        </w:tc>
      </w:tr>
      <w:tr>
        <w:trPr>
          <w:trHeight w:val="202"/>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8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2,108</w:t>
            </w: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Inventory, gross</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4,916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4,881</w:t>
            </w: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excess inventory</w:t>
            </w:r>
          </w:p>
        </w:tc>
        <w:tc>
          <w:tcPr>
            <w:tcW w:w="18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Total inventory, net</w:t>
            </w:r>
          </w:p>
        </w:tc>
        <w:tc>
          <w:tcPr>
            <w:tcW w:w="1800" w:type="dxa"/>
            <w:vAlign w:val="bottom"/>
          </w:tcPr>
          <w:p>
            <w:pPr>
              <w:spacing w:after="0"/>
              <w:rPr>
                <w:sz w:val="17"/>
                <w:szCs w:val="17"/>
                <w:color w:val="auto"/>
              </w:rPr>
            </w:pPr>
          </w:p>
        </w:tc>
        <w:tc>
          <w:tcPr>
            <w:tcW w:w="260" w:type="dxa"/>
            <w:vAlign w:val="bottom"/>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4,297</w:t>
            </w:r>
          </w:p>
        </w:tc>
        <w:tc>
          <w:tcPr>
            <w:tcW w:w="240" w:type="dxa"/>
            <w:vAlign w:val="bottom"/>
            <w:gridSpan w:val="2"/>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4,432</w:t>
            </w:r>
          </w:p>
        </w:tc>
      </w:tr>
      <w:tr>
        <w:trPr>
          <w:trHeight w:val="20"/>
        </w:trPr>
        <w:tc>
          <w:tcPr>
            <w:tcW w:w="5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$75,000 under the provisions of the 2017 LCA (defined below) which the Company capitalized as an intangible asset. The Company determined a useful life of 10 years for such intangible asset, and, as of December 31, 2022 the remaining useful life was 6.8 years.</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w:t>
      </w:r>
      <w:r>
        <w:rPr>
          <w:rFonts w:ascii="Arial" w:cs="Arial" w:eastAsia="Arial" w:hAnsi="Arial"/>
          <w:sz w:val="13"/>
          <w:szCs w:val="13"/>
          <w:color w:val="auto"/>
        </w:rPr>
        <w:t>®</w:t>
      </w:r>
      <w:r>
        <w:rPr>
          <w:rFonts w:ascii="Arial" w:cs="Arial" w:eastAsia="Arial" w:hAnsi="Arial"/>
          <w:sz w:val="18"/>
          <w:szCs w:val="18"/>
          <w:color w:val="auto"/>
        </w:rPr>
        <w:t xml:space="preserve">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such intangible asset, and, as of December 31, 2022 the remaining useful life was 6.8 years.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such intangible asset, and, as of December 31, 2022, the remaining useful life was 6.8 years.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Amortization expense was $22,966, $ 18,424 and $9,843 for the years ended December 31, 2022, 2021 and 2020, respectively, and is recorded in general and administrative expenses in the consolidated statements of operations and comprehensive income (loss).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the future annual amortization expense for the unamortized intangible assets to be 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360" w:type="dxa"/>
            <w:vAlign w:val="bottom"/>
          </w:tcPr>
          <w:p>
            <w:pPr>
              <w:ind w:left="120"/>
              <w:spacing w:after="0" w:line="202" w:lineRule="exact"/>
              <w:rPr>
                <w:sz w:val="20"/>
                <w:szCs w:val="20"/>
                <w:color w:val="auto"/>
              </w:rPr>
            </w:pPr>
            <w:r>
              <w:rPr>
                <w:rFonts w:ascii="Arial" w:cs="Arial" w:eastAsia="Arial" w:hAnsi="Arial"/>
                <w:sz w:val="18"/>
                <w:szCs w:val="18"/>
                <w:color w:val="auto"/>
              </w:rPr>
              <w:t>2024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36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41,728</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160,953</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660"/>
              <w:spacing w:after="0"/>
              <w:rPr>
                <w:sz w:val="20"/>
                <w:szCs w:val="20"/>
                <w:color w:val="auto"/>
              </w:rPr>
            </w:pPr>
            <w:r>
              <w:rPr>
                <w:rFonts w:ascii="Arial" w:cs="Arial" w:eastAsia="Arial" w:hAnsi="Arial"/>
                <w:sz w:val="18"/>
                <w:szCs w:val="18"/>
                <w:color w:val="auto"/>
              </w:rPr>
              <w:t>The gross carrying amount and net book value of the intangible asset is as follows:</w:t>
            </w: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7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7"/>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2"/>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Carrying Amount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(54,047)</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(31,081)</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Book Value</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160,953</w:t>
            </w: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143,919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LICENSE AGREEMENTS AND ASSET PURCHASE AGREEMENTS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$ 2,000 payment was paid in October 2020 and a $100,000 milestone payment was paid in January 2021. A final $ 40,000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$77,107, $ 50,957 and $25,580 for the years ended December 31, 2022, 2021 and 2020, respectively, for sales-based, trademark and tiered royalties recognized as cost of product sold. As of December 31, 2022 and 2021, the Company had accrued $25,367 and $16,396, respectively, for sales-based, trademark and tiered royalties.</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 July 31, 2022, Harmony entered into a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milestones for new indications and formulations as agreed upon by both parties. The 2022 LCA also requires a fixed trademark royalty and a tiered royalty based on net sales upon commercialization, which will be payable to Bioprojet on a quarterly basis. Upon the closing of the 2022 LCA on September 28, 2022, the $30,000 licensing fee was recorded in research and development within the consolidated statement of operations and comprehensive income (loss) for the year ended December 31, 2022.</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Additionally, there are payments due under the APA upon the achievement of certain milestones including $ 1,750 for preclinical milestones, $19,000 for development milestones, $44,000 for regulatory milestones and $110,000 for sales milestones.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14"/>
                <w:szCs w:val="14"/>
                <w:color w:val="auto"/>
              </w:rPr>
            </w:pPr>
          </w:p>
        </w:tc>
      </w:tr>
      <w:tr>
        <w:trPr>
          <w:trHeight w:val="146"/>
        </w:trPr>
        <w:tc>
          <w:tcPr>
            <w:tcW w:w="5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4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1080" w:type="dxa"/>
            <w:vAlign w:val="bottom"/>
            <w:gridSpan w:val="2"/>
          </w:tcPr>
          <w:p>
            <w:pPr>
              <w:jc w:val="right"/>
              <w:ind w:right="12"/>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68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third parties</w:t>
            </w: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25,367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16,396</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27,860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17,141</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1,983</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1,163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1,645</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8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r>
      <w:tr>
        <w:trPr>
          <w:trHeight w:val="196"/>
        </w:trPr>
        <w:tc>
          <w:tcPr>
            <w:tcW w:w="5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59,942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40,249</w:t>
            </w:r>
          </w:p>
        </w:tc>
      </w:tr>
      <w:tr>
        <w:trPr>
          <w:trHeight w:val="20"/>
        </w:trPr>
        <w:tc>
          <w:tcPr>
            <w:tcW w:w="5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Agreements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was initially available to draw down through August 9, 2022. In August 2022, the Company entered into an agreement to extend the expiration date of the DDTL to August 9, 2023, for which the Company will pay a ticking fee at a rate of 1% per annum on the undrawn portion of the DDTL, which commenced on August 10, 2022.</w:t>
      </w:r>
    </w:p>
    <w:p>
      <w:pPr>
        <w:spacing w:after="0" w:line="179" w:lineRule="exact"/>
        <w:rPr>
          <w:sz w:val="20"/>
          <w:szCs w:val="20"/>
          <w:color w:val="auto"/>
        </w:rPr>
      </w:pPr>
    </w:p>
    <w:p>
      <w:pPr>
        <w:jc w:val="both"/>
        <w:ind w:firstLine="698"/>
        <w:spacing w:after="0" w:line="244" w:lineRule="auto"/>
        <w:rPr>
          <w:sz w:val="20"/>
          <w:szCs w:val="20"/>
          <w:color w:val="auto"/>
        </w:rPr>
      </w:pPr>
      <w:r>
        <w:rPr>
          <w:rFonts w:ascii="Arial" w:cs="Arial" w:eastAsia="Arial" w:hAnsi="Arial"/>
          <w:sz w:val="18"/>
          <w:szCs w:val="18"/>
          <w:color w:val="auto"/>
        </w:rPr>
        <w:t>The repayment schedule for the Initial Term Loan consists of quarterly $500 principal payments, which commenced on December 31, 2021 and increasing to quarterly $5,000 principal payments beginning on March 31, 2024, with a $145,500 payment due on the maturity date of August 9, 2026 (“Maturity Date”). Interest is payable quarterly, which commenced on November 9, 2021, and continues through the Maturity Date. The Initial Term Loan bears interest at a per annum rate equal to LIBOR, subject to a 1.00% floor, plus 6.50%.</w:t>
      </w:r>
    </w:p>
    <w:p>
      <w:pPr>
        <w:spacing w:after="0" w:line="176" w:lineRule="exact"/>
        <w:rPr>
          <w:sz w:val="20"/>
          <w:szCs w:val="20"/>
          <w:color w:val="auto"/>
        </w:rPr>
      </w:pPr>
    </w:p>
    <w:p>
      <w:pPr>
        <w:jc w:val="both"/>
        <w:ind w:firstLine="725"/>
        <w:spacing w:after="0" w:line="244" w:lineRule="auto"/>
        <w:rPr>
          <w:sz w:val="20"/>
          <w:szCs w:val="20"/>
          <w:color w:val="auto"/>
        </w:rPr>
      </w:pPr>
      <w:r>
        <w:rPr>
          <w:rFonts w:ascii="Arial" w:cs="Arial" w:eastAsia="Arial" w:hAnsi="Arial"/>
          <w:sz w:val="18"/>
          <w:szCs w:val="18"/>
          <w:color w:val="auto"/>
        </w:rPr>
        <w:t>Net cash received from the Initial Term Loan was $191,849, net of debt issuance costs of $8,151. The debt issuance costs related to the Initial Term Loan are being amortized as additional interest expense over the five-year loan term of the Blackstone Credit Agreement. In addition, the Company paid $1,000 in debt issuance costs relating the DDTL, which are recorded in other current assets within the consolidated balance sheet. The fair value of the Initial Term Loan as of December 31, 2022 was $155,198.</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OrbiMed Credit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January 2020, the Company entered into a credit agreement with OrbiMed for an aggregate amount of $ 200,000 (the “OrbiMed Loan”), with a maturity date of January 2026. Borrowings under the OrbiMed Loan were collateralized by all of the Company’s assets, excluding the intellectual property licensed through the License Agreement. The OrbiMed Loan had an interest rate equal to the sum of (i) the greater of (a) 1-month LIBOR or (b) 2.00% per annum, plus (ii) 11.00% per annum, paid in cash monthly in arrears on the last day of each month starting in January 2020. At the time of prepayment or repayment of all or any portion of the principal of the OrbiMed Loan, the Company was required to pay an exit fee of 7.0% of the principal amount of the OrbiMed Loan prepaid, repaid, or required to be prepaid or repaid. The Company recorded the exit fee as a liability and debt discount at the origination of the term loan.</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connection with the OrbiMed Loan, the Company extinguished its $200,000 multi-draw loan agreement with CRG Servicing LLC (the “CRG Loan”), which required a payoff amount of $120,893 consisting of principal repayment, interest, and exit fees. In connection with extinguishment of the CRG Loan, the Company recognized a loss on extinguishment of $22,639 within the Company’s consolidated statement of operations for the year ended December 31, 2020.</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connection with the Blackstone Credit Agreement, the Company extinguished the OrbiMed Loan, which required a payoff amount of $222,666 consisting of principal repayment, interest, exit fees and a prepayment premium. The Company recognized a loss on extinguishment of $26,146 relating to the OrbiMed Loan within the Company’s consolidated statement of operation for the year ended December 31, 2021.</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principal</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197,500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199,500</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1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(5,853)</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(7,516)</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net carrying value</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191,647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191,984</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1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196"/>
        </w:trPr>
        <w:tc>
          <w:tcPr>
            <w:tcW w:w="6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1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189,647</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189,984</w:t>
            </w:r>
          </w:p>
        </w:tc>
      </w:tr>
      <w:tr>
        <w:trPr>
          <w:trHeight w:val="20"/>
        </w:trPr>
        <w:tc>
          <w:tcPr>
            <w:tcW w:w="6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Future minimum payments relating to long term debt, net as of December 31, 2022 for the periods indicated below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34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2024</w:t>
            </w:r>
          </w:p>
        </w:tc>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2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2026</w:t>
            </w:r>
          </w:p>
        </w:tc>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155,500</w:t>
            </w: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2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24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2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197,500</w:t>
            </w:r>
          </w:p>
        </w:tc>
      </w:tr>
      <w:tr>
        <w:trPr>
          <w:trHeight w:val="20"/>
        </w:trPr>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Interest expense related to the Company’s long term debt, net, is included in interest expense, net in the consolidated statements of operations and comprehensive income (loss) and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tcBorders>
              <w:bottom w:val="single" w:sz="8" w:color="CCEEFF"/>
            </w:tcBorders>
          </w:tcPr>
          <w:p>
            <w:pPr>
              <w:spacing w:after="0"/>
              <w:rPr>
                <w:sz w:val="13"/>
                <w:szCs w:val="13"/>
                <w:color w:val="auto"/>
              </w:rPr>
            </w:pPr>
          </w:p>
        </w:tc>
        <w:tc>
          <w:tcPr>
            <w:tcW w:w="27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17,132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21,955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26,203</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27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1,663</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2,238</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term loan interest expense</w:t>
            </w:r>
          </w:p>
        </w:tc>
        <w:tc>
          <w:tcPr>
            <w:tcW w:w="2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18,795</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24,193</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28,615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760" w:type="dxa"/>
            <w:vAlign w:val="bottom"/>
            <w:vMerge w:val="restart"/>
          </w:tcPr>
          <w:p>
            <w:pPr>
              <w:jc w:val="right"/>
              <w:ind w:right="1550"/>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0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In December 2020, the Company entered into an operating lease for approximately thirteen thousand square feet of additional office space in Plymouth Meeting, PA, which expires in May 2024. The terms of the lease payments provide for rental payments on a monthly basis and on a graduated scale. The Company also leases a fleet of automobiles that are used by its sales representatives and are classified as operating leases.</w:t>
      </w:r>
    </w:p>
    <w:p>
      <w:pPr>
        <w:spacing w:after="0" w:line="176" w:lineRule="exact"/>
        <w:rPr>
          <w:sz w:val="20"/>
          <w:szCs w:val="20"/>
          <w:color w:val="auto"/>
        </w:rPr>
      </w:pPr>
    </w:p>
    <w:p>
      <w:pPr>
        <w:jc w:val="both"/>
        <w:ind w:firstLine="69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recorded operating lease costs of $1,526 and $1,197 for the years ended December 31, 2022 and 2021, respectively, and recorded rent expense of $686 for the year ended December 31, 2020.</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of December 31, 2022, the weighted-average remaining lease term for operating leases was 1.6 years and the weighted-average discount rate for operating leases was 3.8%.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Borders>
              <w:bottom w:val="single" w:sz="8" w:color="CCEEFF"/>
            </w:tcBorders>
          </w:tcPr>
          <w:p>
            <w:pPr>
              <w:ind w:left="1760"/>
              <w:spacing w:after="0"/>
              <w:rPr>
                <w:sz w:val="20"/>
                <w:szCs w:val="20"/>
                <w:color w:val="auto"/>
              </w:rPr>
            </w:pPr>
            <w:r>
              <w:rPr>
                <w:rFonts w:ascii="Arial" w:cs="Arial" w:eastAsia="Arial" w:hAnsi="Arial"/>
                <w:sz w:val="14"/>
                <w:szCs w:val="14"/>
                <w:b w:val="1"/>
                <w:bCs w:val="1"/>
                <w:color w:val="auto"/>
              </w:rPr>
              <w:t>Leases</w:t>
            </w:r>
          </w:p>
        </w:tc>
        <w:tc>
          <w:tcPr>
            <w:tcW w:w="3500" w:type="dxa"/>
            <w:vAlign w:val="bottom"/>
            <w:tcBorders>
              <w:bottom w:val="single" w:sz="8" w:color="CCEEFF"/>
            </w:tcBorders>
          </w:tcPr>
          <w:p>
            <w:pPr>
              <w:ind w:left="150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3500" w:type="dxa"/>
            <w:vAlign w:val="bottom"/>
          </w:tcPr>
          <w:p>
            <w:pPr>
              <w:ind w:left="44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2,312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3,298</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Operating lease liability, current portion</w:t>
            </w:r>
          </w:p>
        </w:tc>
        <w:tc>
          <w:tcPr>
            <w:tcW w:w="350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1,527</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long-term</w:t>
            </w:r>
          </w:p>
        </w:tc>
        <w:tc>
          <w:tcPr>
            <w:tcW w:w="3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975</w:t>
            </w: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2,233</w:t>
            </w:r>
          </w:p>
        </w:tc>
      </w:tr>
      <w:tr>
        <w:trPr>
          <w:trHeight w:val="196"/>
        </w:trPr>
        <w:tc>
          <w:tcPr>
            <w:tcW w:w="356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35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2,589</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3,760</w:t>
            </w:r>
          </w:p>
        </w:tc>
      </w:tr>
      <w:tr>
        <w:trPr>
          <w:trHeight w:val="20"/>
        </w:trPr>
        <w:tc>
          <w:tcPr>
            <w:tcW w:w="35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1,716</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1,126</w:t>
            </w:r>
          </w:p>
        </w:tc>
      </w:tr>
      <w:tr>
        <w:trPr>
          <w:trHeight w:val="204"/>
        </w:trPr>
        <w:tc>
          <w:tcPr>
            <w:tcW w:w="6480" w:type="dxa"/>
            <w:vAlign w:val="bottom"/>
          </w:tcPr>
          <w:p>
            <w:pPr>
              <w:spacing w:after="0" w:line="204" w:lineRule="exact"/>
              <w:rPr>
                <w:sz w:val="20"/>
                <w:szCs w:val="20"/>
                <w:color w:val="auto"/>
              </w:rPr>
            </w:pPr>
            <w:r>
              <w:rPr>
                <w:rFonts w:ascii="Arial" w:cs="Arial" w:eastAsia="Arial" w:hAnsi="Arial"/>
                <w:sz w:val="18"/>
                <w:szCs w:val="18"/>
                <w:color w:val="auto"/>
              </w:rPr>
              <w:t>Right of use assets obtained in exchange for operating lease obligations (1)</w:t>
            </w:r>
          </w:p>
        </w:tc>
        <w:tc>
          <w:tcPr>
            <w:tcW w:w="18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4" w:lineRule="exact"/>
              <w:rPr>
                <w:sz w:val="20"/>
                <w:szCs w:val="20"/>
                <w:color w:val="auto"/>
              </w:rPr>
            </w:pPr>
            <w:r>
              <w:rPr>
                <w:rFonts w:ascii="Arial" w:cs="Arial" w:eastAsia="Arial" w:hAnsi="Arial"/>
                <w:sz w:val="18"/>
                <w:szCs w:val="18"/>
                <w:color w:val="auto"/>
              </w:rPr>
              <w:t>485</w:t>
            </w:r>
          </w:p>
        </w:tc>
        <w:tc>
          <w:tcPr>
            <w:tcW w:w="220" w:type="dxa"/>
            <w:vAlign w:val="bottom"/>
          </w:tcPr>
          <w:p>
            <w:pPr>
              <w:spacing w:after="0"/>
              <w:rPr>
                <w:sz w:val="17"/>
                <w:szCs w:val="17"/>
                <w:color w:val="auto"/>
              </w:rPr>
            </w:pPr>
          </w:p>
        </w:tc>
        <w:tc>
          <w:tcPr>
            <w:tcW w:w="28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4" w:lineRule="exact"/>
              <w:rPr>
                <w:sz w:val="20"/>
                <w:szCs w:val="20"/>
                <w:color w:val="auto"/>
              </w:rPr>
            </w:pPr>
            <w:r>
              <w:rPr>
                <w:rFonts w:ascii="Arial" w:cs="Arial" w:eastAsia="Arial" w:hAnsi="Arial"/>
                <w:sz w:val="18"/>
                <w:szCs w:val="18"/>
                <w:color w:val="auto"/>
              </w:rPr>
              <w:t>4,480</w:t>
            </w:r>
          </w:p>
        </w:tc>
      </w:tr>
    </w:tbl>
    <w:p>
      <w:pPr>
        <w:ind w:left="680"/>
        <w:spacing w:after="0"/>
        <w:rPr>
          <w:sz w:val="20"/>
          <w:szCs w:val="20"/>
          <w:color w:val="auto"/>
        </w:rPr>
      </w:pPr>
      <w:r>
        <w:rPr>
          <w:rFonts w:ascii="Arial" w:cs="Arial" w:eastAsia="Arial" w:hAnsi="Arial"/>
          <w:sz w:val="16"/>
          <w:szCs w:val="16"/>
          <w:color w:val="auto"/>
        </w:rPr>
        <w:t>(1)  Including the balance recognized on January 1, 2021, upon adoption of ASU No. 2016-02.</w:t>
      </w:r>
    </w:p>
    <w:p>
      <w:pPr>
        <w:spacing w:after="0" w:line="20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December 31, 2022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3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2023</w:t>
            </w:r>
          </w:p>
        </w:tc>
        <w:tc>
          <w:tcPr>
            <w:tcW w:w="358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1,679</w:t>
            </w: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2024</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2,671</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196"/>
        </w:trPr>
        <w:tc>
          <w:tcPr>
            <w:tcW w:w="5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w:t>
            </w:r>
          </w:p>
        </w:tc>
      </w:tr>
      <w:tr>
        <w:trPr>
          <w:trHeight w:val="20"/>
        </w:trPr>
        <w:tc>
          <w:tcPr>
            <w:tcW w:w="5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60" w:right="6260" w:hanging="652"/>
        <w:spacing w:after="0" w:line="531" w:lineRule="auto"/>
        <w:tabs>
          <w:tab w:leader="none" w:pos="31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As of December 31, 2022, there were no material claims or suits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CONVERTIBLE PREFERRED STOCK</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issued to former holders of the Company’s convertible preferred stock.</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Series A Preferred Stock</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September 2017, the Company issued 270,000,000 shares of Series A convertible preferred stock for a purchase price of $ 1.00 per share, or $270,000 in the aggregate. On January 8, 2018, the Company issued an additional 15,000,000 shares of Series A convertible preferred stock for a purchase price of $1.00 per share, or $15,000 in the aggregate. Each outstanding share of Series A convertible preferred stock accrued dividends at 10% per annum of the Series A original issue price, subject to adjustment for stock splits, combinations, recapitalizations, stock dividends and similar transactions. Preferred dividends on the Series A convertible preferred stock were cumulative and were compounded annually.</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Series B Preferred Stock</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January 2018, the Company issued 8,000,000 shares of Series B convertible preferred stock for a purchase price of $1.25 per share, or $10,000 in the aggregate. Each outstanding share of Series B convertible preferred stock accrued dividends at 10% per annum of the Series B original issue price, subject to adjustment for stock splits, combinations, recapitalizations, stock dividends and similar transactions. Preferred dividends on the Series B convertible preferred stock were cumulative and were compounded annually.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Series C Preferred Stock</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2019, the Company issued 25,510,205 shares of Series C convertible preferred stock for a purchase price of $1.96 per share, or $50,000 in the aggregate. Each outstanding share of Series C convertible preferred stock accrued dividends at 10% per annum of the Series C original issue price, subject to adjustment for stock splits, combinations, recapitalizations, stock dividends and similar transactions. Preferred dividends on the Series C convertible preferred stock were cumulative and were compounded annually.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holders of Series A, Series B, and Series C convertible preferred stock were entitled to receive, when and if declared by the board of directors of the Company, cumulative dividends equal to a 10% per annum of Series A, Series B, and Series C convertible preferred stock. In addition, the holders of the outstanding shares of Series A, Series B, and Series C convertible preferred stock were entitled to receive, when and if declared by the board of directors of the Company, a dividend at least equal to any dividend payable on the Company’s common stock as if all convertible preferred stock had been converted to common stock. No dividends were declared as of December 31, 2019. As part of the Company’s IPO, the Company’s accrued cumulative dividend was paid out to holders of Series A, Series B, and Series C convertible preferred stock in shares of the Company’s common stock and reflects the reverse stock split in connection with the mandatory conversion of the Series A, Series B, and Series C convertible preferred stock into shares of the Company’s common stock.</w:t>
      </w:r>
    </w:p>
    <w:p>
      <w:pPr>
        <w:spacing w:after="0" w:line="183" w:lineRule="exact"/>
        <w:rPr>
          <w:sz w:val="20"/>
          <w:szCs w:val="20"/>
          <w:color w:val="auto"/>
        </w:rPr>
      </w:pPr>
    </w:p>
    <w:p>
      <w:pPr>
        <w:jc w:val="center"/>
        <w:ind w:right="7340"/>
        <w:spacing w:after="0"/>
        <w:rPr>
          <w:sz w:val="20"/>
          <w:szCs w:val="20"/>
          <w:color w:val="auto"/>
        </w:rPr>
      </w:pPr>
      <w:r>
        <w:rPr>
          <w:rFonts w:ascii="Arial" w:cs="Arial" w:eastAsia="Arial" w:hAnsi="Arial"/>
          <w:sz w:val="17"/>
          <w:szCs w:val="17"/>
          <w:b w:val="1"/>
          <w:bCs w:val="1"/>
          <w:color w:val="auto"/>
        </w:rPr>
        <w:t>14. STOCKHOLDERS’ EQUITY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2020, the Company implemented a 1-for-8.215 reverse stock split of the Company’s common stock. All share and per share data shown in the accompanying financial statements and related notes have been retroactively revised to reflect the reverse stock split with the exception of the preferred stock. Shares of common stock underlying outstanding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In August 2020, the Company completed its IPO of common stock, in which it sold 6,151,162 shares, including 802,325 shares pursuant to the underwriters’ over-allotment option. The shares were sold at an IPO price of $24.00 per share for net proceeds of approximately $135,435, after deducting underwriting discounts and commissions and offering expenses of approximately $12,193 incurred by the Company.</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connection with the Blackstone Credit Agreement, in August 2021, the Company sold an aggregate of 1,048,951 shares of our common stock, par value $ 0.00001 per share, for an aggregate cash consideration of $30,000, or $28.60 per share. This sale did not involve a public offering and was therefore exempt from registration under Section 4(a)(2) of the Securities Act of 1933, as amended, and Regulation D thereunder as a transaction not involving any public offering.</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September 2021, the Company issued 221,511 shares of common stock in connection with the OrbiMed warrant (see Note 16).</w:t>
      </w:r>
    </w:p>
    <w:p>
      <w:pPr>
        <w:spacing w:after="0" w:line="154" w:lineRule="exact"/>
        <w:rPr>
          <w:sz w:val="20"/>
          <w:szCs w:val="20"/>
          <w:color w:val="auto"/>
        </w:rPr>
      </w:pPr>
    </w:p>
    <w:p>
      <w:pPr>
        <w:ind w:left="660" w:right="4120" w:hanging="652"/>
        <w:spacing w:after="0" w:line="485" w:lineRule="auto"/>
        <w:tabs>
          <w:tab w:leader="none" w:pos="31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firstLine="648"/>
        <w:spacing w:after="0" w:line="244"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December 31, 2022, there were 4,746,884 shares of common stock available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(“SARs”), or restricted stock.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Following the adoption of the 2020 Plan, no further grants have been, or will be, made under the 2017 Plan. However, the 2017 Plan will continue to govern the terms and conditions of outstanding awards granted under it.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 ended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Weighted-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8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820" w:type="dxa"/>
            <w:vAlign w:val="bottom"/>
          </w:tcPr>
          <w:p>
            <w:pPr>
              <w:spacing w:after="0"/>
              <w:rPr>
                <w:sz w:val="14"/>
                <w:szCs w:val="14"/>
                <w:color w:val="auto"/>
              </w:rPr>
            </w:pPr>
          </w:p>
        </w:tc>
        <w:tc>
          <w:tcPr>
            <w:tcW w:w="1060" w:type="dxa"/>
            <w:vAlign w:val="bottom"/>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2021</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5,716,597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1,719,579</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49.52</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(761,414)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10.27</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(213,815)</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30.46</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2022</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6,460,947</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w:t>
            </w: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SARs activity for the year ended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8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820" w:type="dxa"/>
            <w:vAlign w:val="bottom"/>
          </w:tcPr>
          <w:p>
            <w:pPr>
              <w:spacing w:after="0"/>
              <w:rPr>
                <w:sz w:val="14"/>
                <w:szCs w:val="14"/>
                <w:color w:val="auto"/>
              </w:rPr>
            </w:pPr>
          </w:p>
        </w:tc>
        <w:tc>
          <w:tcPr>
            <w:tcW w:w="1060" w:type="dxa"/>
            <w:vAlign w:val="bottom"/>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2021</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49,294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(2,435)</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8.22</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2022</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6.32</w:t>
            </w: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for the year ended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8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820" w:type="dxa"/>
            <w:vAlign w:val="bottom"/>
          </w:tcPr>
          <w:p>
            <w:pPr>
              <w:spacing w:after="0"/>
              <w:rPr>
                <w:sz w:val="14"/>
                <w:szCs w:val="14"/>
                <w:color w:val="auto"/>
              </w:rPr>
            </w:pPr>
          </w:p>
        </w:tc>
        <w:tc>
          <w:tcPr>
            <w:tcW w:w="1060" w:type="dxa"/>
            <w:vAlign w:val="bottom"/>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2021</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spacing w:after="0"/>
              <w:rPr>
                <w:sz w:val="17"/>
                <w:szCs w:val="17"/>
                <w:color w:val="auto"/>
              </w:rPr>
            </w:pP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2022</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w:t>
            </w: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As of December 31, 2022 and 2021, stock awards issued under the 2017 and 2020 Plans of 1,818,045 and 1,285,432 common shares, respectively, were vested.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As of</w:t>
            </w:r>
          </w:p>
        </w:tc>
        <w:tc>
          <w:tcPr>
            <w:tcW w:w="1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6060" w:type="dxa"/>
            <w:vAlign w:val="bottom"/>
          </w:tcPr>
          <w:p>
            <w:pPr>
              <w:spacing w:after="0"/>
              <w:rPr>
                <w:sz w:val="12"/>
                <w:szCs w:val="12"/>
                <w:color w:val="auto"/>
              </w:rPr>
            </w:pPr>
          </w:p>
        </w:tc>
        <w:tc>
          <w:tcPr>
            <w:tcW w:w="1400" w:type="dxa"/>
            <w:vAlign w:val="bottom"/>
            <w:gridSpan w:val="2"/>
          </w:tcPr>
          <w:p>
            <w:pPr>
              <w:jc w:val="right"/>
              <w:ind w:right="290"/>
              <w:spacing w:after="0" w:line="147"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110"/>
              <w:spacing w:after="0" w:line="147" w:lineRule="exact"/>
              <w:rPr>
                <w:sz w:val="20"/>
                <w:szCs w:val="20"/>
                <w:color w:val="auto"/>
              </w:rPr>
            </w:pPr>
            <w:r>
              <w:rPr>
                <w:rFonts w:ascii="Arial" w:cs="Arial" w:eastAsia="Arial" w:hAnsi="Arial"/>
                <w:sz w:val="14"/>
                <w:szCs w:val="14"/>
                <w:b w:val="1"/>
                <w:bCs w:val="1"/>
                <w:color w:val="auto"/>
              </w:rPr>
              <w:t>December 31,</w:t>
            </w:r>
          </w:p>
        </w:tc>
        <w:tc>
          <w:tcPr>
            <w:tcW w:w="1160" w:type="dxa"/>
            <w:vAlign w:val="bottom"/>
          </w:tcPr>
          <w:p>
            <w:pPr>
              <w:jc w:val="right"/>
              <w:ind w:right="59"/>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 yield</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72.57 - 77.08 %</w:t>
            </w:r>
          </w:p>
        </w:tc>
        <w:tc>
          <w:tcPr>
            <w:tcW w:w="24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60.00 % 55.00 - 95.80 %</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1.99 - 4.05 %</w:t>
            </w:r>
          </w:p>
        </w:tc>
        <w:tc>
          <w:tcPr>
            <w:tcW w:w="24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0.66 - 1.44 %   0.32 - 0.56 %</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Lack of marketability discount</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0.00 %</w:t>
            </w:r>
          </w:p>
        </w:tc>
        <w:tc>
          <w:tcPr>
            <w:tcW w:w="24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0.00 %  0.00 - 20.48 %</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3.1 - 6.3</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4.1 - 6.3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5.4 - 6.5</w:t>
            </w:r>
          </w:p>
        </w:tc>
        <w:tc>
          <w:tcPr>
            <w:tcW w:w="160" w:type="dxa"/>
            <w:vAlign w:val="bottom"/>
            <w:shd w:val="clear" w:color="auto" w:fill="CCEEFF"/>
          </w:tcPr>
          <w:p>
            <w:pPr>
              <w:spacing w:after="0"/>
              <w:rPr>
                <w:sz w:val="17"/>
                <w:szCs w:val="17"/>
                <w:color w:val="auto"/>
              </w:rPr>
            </w:pPr>
          </w:p>
        </w:tc>
      </w:tr>
    </w:tbl>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the 2020 Plan was $18.88, $12.82 and $10.06 in 2022, 2021 and 2020, respectively.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Stock-based compensation expense was $26,905, $16,105 and $5,190 for the years ended December 31, 2022, 2021 and 2020, respectively, and is recorded in the consolidated statements of operations and comprehensive income (loss) in the following line items: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r>
      <w:tr>
        <w:trPr>
          <w:trHeight w:val="155"/>
        </w:trPr>
        <w:tc>
          <w:tcPr>
            <w:tcW w:w="67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2,614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586</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3,886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3,103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703</w:t>
            </w: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20,405</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10,881</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3,901</w:t>
            </w:r>
          </w:p>
        </w:tc>
      </w:tr>
      <w:tr>
        <w:trPr>
          <w:trHeight w:val="196"/>
        </w:trPr>
        <w:tc>
          <w:tcPr>
            <w:tcW w:w="67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26,905</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16,105</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5,190</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Stock-based compensation expense, net related to options and RSUs issued under the 2017 Plan and 2020 Plan is included in stockholder’s equity, and a liability for SARs is included in other non-current liabilities, in the Company’s consolidated balance sheet. As of December 31, 2022, the total unrecognized stock-based compensation expense related to options and RSUs was $83,558. Such amount will be recognized in the Company’s consolidated statement of operations over a weighted average period of 2.9 years.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2021 Employee Stock Purchase Plan (“ESPP”) was adopted by the Company’s Board of Directors in April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For the years ended December 31, 2022 and 2021, there were 21,943 and 11,010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issued under the ESPP, respectively. The discount on the ESPP was $363 and $173 for the years ended December 31, 2022 and December 31, 2021, respectively, and is recorded within stock-based compensation expense.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WARRANTS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connection with the OrbiMed Loan, the Company issued Warrants to OrbiMed Royalty &amp; Credit Opportunities, LP on January 9, 2020. Pursuant to the Warrants, OrbiMed Royalty &amp; Credit Opportunities, LP, may purchase up to 410,239 shares of the Company’s Common Stock for an initial exercise price of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on January 9, 2020 and was initially recorded as a warrant liability which was included in warrant liability in the consolidated balance sheet. The portion of the OrbiMed Loan proceeds allocated to the warrant liability resulted in a debt discount, which is presented in the consolidated balance sheets as a direct deduction from the carrying value of the debt and is being amortized as additional interest expense over the six-year loan term of the OrbiMed Loan. In connection with the Blackstone Credit Agreement, the OrbiMed Loan was repaid in fully and the unamortized debt discount related to the Warrants was included in the loss on debt extinguishment (see Note 12). In September 2021, OrbiMed exercised its option to purchase shares of the Company’s common stock pursuant to the Warrants, which resulted in the net settlement of 221,511 shares of the Company’s common stock issued to OrbiMed.</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the IPO, the financial instrument underlying the warrants was converted from the Company’s Series C Preferred Stock to the Company’s Common Stock. As a result of this conversion the Warrants were re-evaluated under ASC 480 Distinguishing Liabilities from Equity and ASC 815 Derivatives and Hedging and reclassified to equity.</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Basic earnings per share is calculated by diving net income by the weighted average number of shares of common stock outstanding. For the years ended December 31, 2022 and 2021, respectively, the Company calculated Diluted net income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and restricted stock units.</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For the year ended December 31, 2020, the Company used the two-class method to compute net loss per common share because the Company has issued securities (convertible preferred stock) that entitled the holder to participate in dividends and earnings of the Company. Under this method, net income is reduced by the amount of any dividends earned and the accretion of convertible preferred stock to its redemption value during the period. The remaining earnings (undistributed earnings) are allocated to common stock and each series of convertible preferred stock to the extent that each preferred security may share in the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reported a net loss for the year ended December 31, 2020, and the weighted average number of shares utilized for basic and diluted net loss per share attributable to common stockholders are the same for this period because all convertible preferred stock and stock options have been excluded from the computation of diluted weighted-average shares outstanding because such securities would have an antidilutive impact. Additionally, the fair value adjustment for the warrants was excluded from the computation of diluted net loss for the year ended December 31, 2020 since the additional income would have an antidilutive impact.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(loss)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27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181,468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34,597</w:t>
            </w:r>
          </w:p>
        </w:tc>
        <w:tc>
          <w:tcPr>
            <w:tcW w:w="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(36,944)</w:t>
            </w:r>
          </w:p>
        </w:tc>
        <w:tc>
          <w:tcPr>
            <w:tcW w:w="0" w:type="dxa"/>
            <w:vAlign w:val="bottom"/>
          </w:tcPr>
          <w:p>
            <w:pPr>
              <w:spacing w:after="0"/>
              <w:rPr>
                <w:sz w:val="1"/>
                <w:szCs w:val="1"/>
                <w:color w:val="auto"/>
              </w:rPr>
            </w:pPr>
          </w:p>
        </w:tc>
      </w:tr>
      <w:tr>
        <w:trPr>
          <w:trHeight w:val="203"/>
        </w:trPr>
        <w:tc>
          <w:tcPr>
            <w:tcW w:w="61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Accumulation of dividends on preferred stock</w:t>
            </w:r>
          </w:p>
        </w:tc>
        <w:tc>
          <w:tcPr>
            <w:tcW w:w="120" w:type="dxa"/>
            <w:vAlign w:val="bottom"/>
          </w:tcPr>
          <w:p>
            <w:pPr>
              <w:spacing w:after="0"/>
              <w:rPr>
                <w:sz w:val="17"/>
                <w:szCs w:val="17"/>
                <w:color w:val="auto"/>
              </w:rPr>
            </w:pPr>
          </w:p>
        </w:tc>
        <w:tc>
          <w:tcPr>
            <w:tcW w:w="116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(26,904)</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income (loss) available to common shareholders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181,468</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34,597</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(63,848)</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(loss) per common share - basic</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0.60</w:t>
            </w:r>
          </w:p>
        </w:tc>
        <w:tc>
          <w:tcPr>
            <w:tcW w:w="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61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income (loss) per common share - diluted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2"/>
        </w:trPr>
        <w:tc>
          <w:tcPr>
            <w:tcW w:w="61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59,173,121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57,531,540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25,772,419</w:t>
            </w:r>
          </w:p>
        </w:tc>
        <w:tc>
          <w:tcPr>
            <w:tcW w:w="0" w:type="dxa"/>
            <w:vAlign w:val="bottom"/>
          </w:tcPr>
          <w:p>
            <w:pPr>
              <w:spacing w:after="0"/>
              <w:rPr>
                <w:sz w:val="1"/>
                <w:szCs w:val="1"/>
                <w:color w:val="auto"/>
              </w:rPr>
            </w:pPr>
          </w:p>
        </w:tc>
      </w:tr>
      <w:tr>
        <w:trPr>
          <w:trHeight w:val="239"/>
        </w:trPr>
        <w:tc>
          <w:tcPr>
            <w:tcW w:w="6160" w:type="dxa"/>
            <w:vAlign w:val="bottom"/>
            <w:gridSpan w:val="2"/>
          </w:tcPr>
          <w:p>
            <w:pPr>
              <w:ind w:left="120"/>
              <w:spacing w:after="0"/>
              <w:rPr>
                <w:sz w:val="20"/>
                <w:szCs w:val="20"/>
                <w:color w:val="auto"/>
              </w:rPr>
            </w:pPr>
            <w:r>
              <w:rPr>
                <w:rFonts w:ascii="Arial" w:cs="Arial" w:eastAsia="Arial" w:hAnsi="Arial"/>
                <w:sz w:val="18"/>
                <w:szCs w:val="18"/>
                <w:color w:val="auto"/>
              </w:rPr>
              <w:t>Weighted average number of shares of common stock - diluted</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61,097,045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59,205,213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25,772,419</w:t>
            </w:r>
          </w:p>
        </w:tc>
        <w:tc>
          <w:tcPr>
            <w:tcW w:w="0" w:type="dxa"/>
            <w:vAlign w:val="bottom"/>
          </w:tcPr>
          <w:p>
            <w:pPr>
              <w:spacing w:after="0"/>
              <w:rPr>
                <w:sz w:val="1"/>
                <w:szCs w:val="1"/>
                <w:color w:val="auto"/>
              </w:rPr>
            </w:pPr>
          </w:p>
        </w:tc>
      </w:tr>
      <w:tr>
        <w:trPr>
          <w:trHeight w:val="350"/>
        </w:trPr>
        <w:tc>
          <w:tcPr>
            <w:tcW w:w="9920" w:type="dxa"/>
            <w:vAlign w:val="bottom"/>
            <w:gridSpan w:val="13"/>
          </w:tcPr>
          <w:p>
            <w:pPr>
              <w:ind w:left="660"/>
              <w:spacing w:after="0"/>
              <w:rPr>
                <w:sz w:val="20"/>
                <w:szCs w:val="20"/>
                <w:color w:val="auto"/>
              </w:rPr>
            </w:pPr>
            <w:r>
              <w:rPr>
                <w:rFonts w:ascii="Arial" w:cs="Arial" w:eastAsia="Arial" w:hAnsi="Arial"/>
                <w:sz w:val="18"/>
                <w:szCs w:val="18"/>
                <w:color w:val="auto"/>
              </w:rPr>
              <w:t>Securities outstanding that were included in the computation above, utilizing the treasury stock method are as</w:t>
            </w:r>
          </w:p>
        </w:tc>
        <w:tc>
          <w:tcPr>
            <w:tcW w:w="0" w:type="dxa"/>
            <w:vAlign w:val="bottom"/>
          </w:tcPr>
          <w:p>
            <w:pPr>
              <w:spacing w:after="0"/>
              <w:rPr>
                <w:sz w:val="1"/>
                <w:szCs w:val="1"/>
                <w:color w:val="auto"/>
              </w:rPr>
            </w:pPr>
          </w:p>
        </w:tc>
      </w:tr>
      <w:tr>
        <w:trPr>
          <w:trHeight w:val="239"/>
        </w:trPr>
        <w:tc>
          <w:tcPr>
            <w:tcW w:w="6160" w:type="dxa"/>
            <w:vAlign w:val="bottom"/>
            <w:gridSpan w:val="2"/>
          </w:tcPr>
          <w:p>
            <w:pPr>
              <w:spacing w:after="0"/>
              <w:rPr>
                <w:sz w:val="20"/>
                <w:szCs w:val="20"/>
                <w:color w:val="auto"/>
              </w:rPr>
            </w:pPr>
            <w:r>
              <w:rPr>
                <w:rFonts w:ascii="Arial" w:cs="Arial" w:eastAsia="Arial" w:hAnsi="Arial"/>
                <w:sz w:val="18"/>
                <w:szCs w:val="18"/>
                <w:color w:val="auto"/>
              </w:rPr>
              <w:t>follows: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1,923,924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1,536,825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7"/>
                <w:szCs w:val="17"/>
                <w:color w:val="auto"/>
              </w:rPr>
            </w:pPr>
          </w:p>
        </w:tc>
        <w:tc>
          <w:tcPr>
            <w:tcW w:w="116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136,848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1,923,924</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1,673,673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Potential common shares issuable upon conversion of preferred stock, exercise of stock options, and exercise of warrants that were excluded from the computation of diluted weighted-average shares outstanding as well as the warrant fair value adjustments excluded from the numerator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4,640,231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4,289,066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5,260,126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410,239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4,640,231</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4,289,066</w:t>
            </w:r>
          </w:p>
        </w:tc>
        <w:tc>
          <w:tcPr>
            <w:tcW w:w="1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5,670,365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Adjustment for warrants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provision for income taxes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28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10,011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6,487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2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9,573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2,852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(96,366)</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(6,508)</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(76,782)</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2,831</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8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9,161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2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10,423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6,508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(96,366)</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(6,508)</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8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(76,782)</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2,831</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40" w:type="dxa"/>
            <w:vAlign w:val="bottom"/>
            <w:vMerge w:val="restart"/>
          </w:tcPr>
          <w:p>
            <w:pPr>
              <w:jc w:val="right"/>
              <w:ind w:right="870"/>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2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reasons for the difference between the statutory federal income tax rate and the Company’s effective income tax rate as of December 31, 2022, 2021 and 2020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540" w:type="dxa"/>
            <w:vAlign w:val="bottom"/>
            <w:gridSpan w:val="5"/>
          </w:tcPr>
          <w:p>
            <w:pPr>
              <w:ind w:left="7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65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income tax rate</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(4.9)</w:t>
            </w:r>
          </w:p>
        </w:tc>
        <w:tc>
          <w:tcPr>
            <w:tcW w:w="10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8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w:t>
            </w:r>
          </w:p>
        </w:tc>
        <w:tc>
          <w:tcPr>
            <w:tcW w:w="11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(14.1)</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11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(4.8)</w:t>
            </w:r>
          </w:p>
        </w:tc>
        <w:tc>
          <w:tcPr>
            <w:tcW w:w="13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(0.3)</w:t>
            </w:r>
          </w:p>
        </w:tc>
        <w:tc>
          <w:tcPr>
            <w:tcW w:w="10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(3.6)</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1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(70.2)</w:t>
            </w:r>
          </w:p>
        </w:tc>
        <w:tc>
          <w:tcPr>
            <w:tcW w:w="10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(17.3)</w:t>
            </w:r>
          </w:p>
        </w:tc>
        <w:tc>
          <w:tcPr>
            <w:tcW w:w="300" w:type="dxa"/>
            <w:vAlign w:val="bottom"/>
          </w:tcPr>
          <w:p>
            <w:pPr>
              <w:spacing w:after="0"/>
              <w:rPr>
                <w:sz w:val="17"/>
                <w:szCs w:val="17"/>
                <w:color w:val="auto"/>
              </w:rPr>
            </w:pPr>
          </w:p>
        </w:tc>
        <w:tc>
          <w:tcPr>
            <w:tcW w:w="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(6.0)</w:t>
            </w:r>
          </w:p>
        </w:tc>
      </w:tr>
      <w:tr>
        <w:trPr>
          <w:trHeight w:val="196"/>
        </w:trPr>
        <w:tc>
          <w:tcPr>
            <w:tcW w:w="65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(73.3)</w:t>
            </w:r>
          </w:p>
        </w:tc>
        <w:tc>
          <w:tcPr>
            <w:tcW w:w="28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6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Significant components of the Company’s deferred tax assets and liabilities as of December 31, 2022 and 2021,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5"/>
        </w:trPr>
        <w:tc>
          <w:tcPr>
            <w:tcW w:w="4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3"/>
                <w:szCs w:val="13"/>
                <w:color w:val="auto"/>
              </w:rPr>
            </w:pPr>
          </w:p>
        </w:tc>
      </w:tr>
      <w:tr>
        <w:trPr>
          <w:trHeight w:val="156"/>
        </w:trPr>
        <w:tc>
          <w:tcPr>
            <w:tcW w:w="45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Liabilities</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Liabilities</w:t>
            </w: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Acquired in-process research and development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45,938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42,460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29,739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Disallowed interest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7,635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Lease obligations, net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6,294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rebates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8,802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1,096</w:t>
            </w:r>
          </w:p>
        </w:tc>
      </w:tr>
      <w:tr>
        <w:trPr>
          <w:trHeight w:val="196"/>
        </w:trPr>
        <w:tc>
          <w:tcPr>
            <w:tcW w:w="45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86,761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97,462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1,096</w:t>
            </w: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deferred tax asset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85,943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96,366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(96,366)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5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85,943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2022 and December 31, 2021, our deferred tax assets were primarily the result of acquired in-process research and development costs, operating loss carryforwards, capitalized research and development costs, disallowed interest, inventory, and accrued rebates. A valuation allowance of $96,366 was recorded against our net deferred tax asset balance as of December 31, 2021. We recorded a tax benefit of $74,474 as a discrete item in the year ended December, 2022 related to the release of a valuation allowance on certain deferred tax assets, net, which had accumulated through December 31, 2021. We also recorded a tax benefit of $21,892 as a component to our current year effective tax rate in the year ended December 31, 2022, related to deferred tax assets, net, which were utilized in the current period.</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each reporting date, the Company considers new evidence, both positive and negative, that could affect its view of the future realization of deferred tax assets. During the year ended December 31, 2022, in part because in the current year we achieved three years of cumulative pretax income, which is a positive indication of the Company’s ability to generate sufficient future taxable income, the Company determined that there was sufficient positive evidence to conclude that it is more likely than not that additional deferred taxes are realizable and, therefore, released the valuation allowance accordingly. Changes in the valuation allowance for deferred tax assets during the years ended December 31, 2022, 2021 and 2020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56"/>
        </w:trPr>
        <w:tc>
          <w:tcPr>
            <w:tcW w:w="472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the beginning of the year</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(96,366)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(102,874)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(100,656)</w:t>
            </w:r>
          </w:p>
        </w:tc>
      </w:tr>
      <w:tr>
        <w:trPr>
          <w:trHeight w:val="203"/>
        </w:trPr>
        <w:tc>
          <w:tcPr>
            <w:tcW w:w="4720" w:type="dxa"/>
            <w:vAlign w:val="bottom"/>
          </w:tcPr>
          <w:p>
            <w:pPr>
              <w:ind w:left="120"/>
              <w:spacing w:after="0" w:line="202" w:lineRule="exact"/>
              <w:rPr>
                <w:sz w:val="20"/>
                <w:szCs w:val="20"/>
                <w:color w:val="auto"/>
              </w:rPr>
            </w:pPr>
            <w:r>
              <w:rPr>
                <w:rFonts w:ascii="Arial" w:cs="Arial" w:eastAsia="Arial" w:hAnsi="Arial"/>
                <w:sz w:val="18"/>
                <w:szCs w:val="18"/>
                <w:color w:val="auto"/>
              </w:rPr>
              <w:t>Decreases recorded as a benefit to income tax provision</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96,366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6,508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Increases recorded to income tax provision</w:t>
            </w:r>
          </w:p>
        </w:tc>
        <w:tc>
          <w:tcPr>
            <w:tcW w:w="13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(2,218)</w:t>
            </w: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Valuation allowance at the end of the year</w:t>
            </w:r>
          </w:p>
        </w:tc>
        <w:tc>
          <w:tcPr>
            <w:tcW w:w="13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(96,366)</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(102,874)</w:t>
            </w:r>
          </w:p>
        </w:tc>
      </w:tr>
      <w:tr>
        <w:trPr>
          <w:trHeight w:val="645"/>
        </w:trPr>
        <w:tc>
          <w:tcPr>
            <w:tcW w:w="4720" w:type="dxa"/>
            <w:vAlign w:val="bottom"/>
          </w:tcPr>
          <w:p>
            <w:pPr>
              <w:spacing w:after="0"/>
              <w:rPr>
                <w:sz w:val="24"/>
                <w:szCs w:val="24"/>
                <w:color w:val="auto"/>
              </w:rPr>
            </w:pPr>
          </w:p>
        </w:tc>
        <w:tc>
          <w:tcPr>
            <w:tcW w:w="1340" w:type="dxa"/>
            <w:vAlign w:val="bottom"/>
          </w:tcPr>
          <w:p>
            <w:pPr>
              <w:jc w:val="right"/>
              <w:ind w:right="870"/>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3"/>
        </w:trPr>
        <w:tc>
          <w:tcPr>
            <w:tcW w:w="4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of December 31, 2022 and 2021, the Company has approximately $0 and $98,069, respectively, of federal net operating loss ("NOL") carryforward available to offset future federal taxable income. The Company also has approximately $95,230 and $120,074 of state NOL carryforwards as of December 31, 2022 and 2021, respectively, available to offset future state taxable income. All of the Company’s tax years remain open to examination by federal and state taxing authorities. The Company’s state NOLs begin to expire in 2037. Utilization of the net operating loss carryforwards may be subject to a substantial limitation due to state provisions. These changes may limit the amount of net operating loss and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and 2021, the Company has federal tax credits of $0 and $168,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RETIREMENT PLAN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formed a 401(k) defined contribution savings plan (the “401(k) Plan”) in January 2021. The 401(k) Plan is for the benefit of all qualifying employees and permits voluntary contributions by employees limited by the IRS-imposed maximum. Employer contributions were $1,705 and $2,479 for 2022 and 2021,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RELATED-PARTY TRANSACTIONS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The related party is an entity that shares common ownership with the Company. In addition, the Chairman of the Company’s board of directors was the President and owner of the entity. For the years ended December 31, 2022, 2021 and 2020, the Company incurred $284, $284 and $7,384, respectively, in management fee expense and other expenses to this related party, which are included in general and administrative expense in the consolidated statements of operations and comprehensive income (loss). The Company terminated the Management Services Agreement upon the consummation of its IPO. The Company is also party to a right of use agreement with the related party whereby it has access to and the right to use certain office space leased by the related party in Chicago, Illinois. In addition, the Company had participated in certain transactions with separate related parties that also share common ownership with the Company, primarily related to combined employee health plans. In August 2021, the Company paid a $ 2,300 advisory fee to Paragon in connection with the Blackstone Credit Agreement. $2,000 of this payment was recorded in debt issuance costs as a component of long-term debt, net and $300 was recorded in common stock issuance costs as a component of additional paid-in capital, within the consolidated balance sheet as of December 31, 2022. As of December 31, 2022 and 2021, there were no amounts due to or due from related parties included within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21.VALUATION AND QUALIFYING ACCOUNTS – ACCOUNTS RECEIVABLE, NET</w:t>
      </w:r>
    </w:p>
    <w:p>
      <w:pPr>
        <w:spacing w:after="0" w:line="21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Changes in the valuation allowance for accounts receivable, net during the years ended December 31, 2022, 2021 and 2020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r>
      <w:tr>
        <w:trPr>
          <w:trHeight w:val="156"/>
        </w:trPr>
        <w:tc>
          <w:tcPr>
            <w:tcW w:w="59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r>
      <w:tr>
        <w:trPr>
          <w:trHeight w:val="164"/>
        </w:trPr>
        <w:tc>
          <w:tcPr>
            <w:tcW w:w="590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Allowance for distribution fees, discounts and chargebacks at the</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02"/>
        </w:trPr>
        <w:tc>
          <w:tcPr>
            <w:tcW w:w="5900" w:type="dxa"/>
            <w:vAlign w:val="bottom"/>
          </w:tcPr>
          <w:p>
            <w:pPr>
              <w:ind w:left="120"/>
              <w:spacing w:after="0" w:line="202" w:lineRule="exact"/>
              <w:rPr>
                <w:sz w:val="20"/>
                <w:szCs w:val="20"/>
                <w:color w:val="auto"/>
              </w:rPr>
            </w:pPr>
            <w:r>
              <w:rPr>
                <w:rFonts w:ascii="Arial" w:cs="Arial" w:eastAsia="Arial" w:hAnsi="Arial"/>
                <w:sz w:val="18"/>
                <w:szCs w:val="18"/>
                <w:color w:val="auto"/>
              </w:rPr>
              <w:t>Additions due to current period provision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14,806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12,174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4,439</w:t>
            </w:r>
          </w:p>
        </w:tc>
      </w:tr>
      <w:tr>
        <w:trPr>
          <w:trHeight w:val="184"/>
        </w:trPr>
        <w:tc>
          <w:tcPr>
            <w:tcW w:w="59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Deductions due to payment of distribution fees, discounts and</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1"/>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chargebacks</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r>
      <w:tr>
        <w:trPr>
          <w:trHeight w:val="164"/>
        </w:trPr>
        <w:tc>
          <w:tcPr>
            <w:tcW w:w="5900" w:type="dxa"/>
            <w:vAlign w:val="bottom"/>
          </w:tcPr>
          <w:p>
            <w:pPr>
              <w:spacing w:after="0" w:line="163" w:lineRule="exact"/>
              <w:rPr>
                <w:sz w:val="20"/>
                <w:szCs w:val="20"/>
                <w:color w:val="auto"/>
              </w:rPr>
            </w:pPr>
            <w:r>
              <w:rPr>
                <w:rFonts w:ascii="Arial" w:cs="Arial" w:eastAsia="Arial" w:hAnsi="Arial"/>
                <w:sz w:val="18"/>
                <w:szCs w:val="18"/>
                <w:color w:val="auto"/>
              </w:rPr>
              <w:t>Allowance for distribution fees, discounts and chargebacks at the end of</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1"/>
        </w:trPr>
        <w:tc>
          <w:tcPr>
            <w:tcW w:w="5900" w:type="dxa"/>
            <w:vAlign w:val="bottom"/>
          </w:tcPr>
          <w:p>
            <w:pPr>
              <w:spacing w:after="0"/>
              <w:rPr>
                <w:sz w:val="20"/>
                <w:szCs w:val="20"/>
                <w:color w:val="auto"/>
              </w:rPr>
            </w:pPr>
            <w:r>
              <w:rPr>
                <w:rFonts w:ascii="Arial" w:cs="Arial" w:eastAsia="Arial" w:hAnsi="Arial"/>
                <w:sz w:val="18"/>
                <w:szCs w:val="18"/>
                <w:color w:val="auto"/>
              </w:rPr>
              <w:t>the year</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848"/>
        </w:trPr>
        <w:tc>
          <w:tcPr>
            <w:tcW w:w="5900" w:type="dxa"/>
            <w:vAlign w:val="bottom"/>
          </w:tcPr>
          <w:p>
            <w:pPr>
              <w:ind w:left="482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543"/>
        </w:trPr>
        <w:tc>
          <w:tcPr>
            <w:tcW w:w="5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Management of the Company is responsible for establishing and maintaining adequate internal control over the Company’s financial reporting, as defined in Rule 13a-15(f)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in the United States of America. Our independent registered public accounting firm, Deloitte &amp; Touche LLP, has issued an attestation report on our internal control over financial reporting that is included in this Annual Report on Form 10-K.</w:t>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2022, our management assessed the effectiveness of our internal control over financial reporting using the criteria set forth by the Committee of Sponsoring Organizations of the Treadway Commission in Internal Control-Integrated Framework (2013). Based on this assessment, management, under the supervision and with the participation of our principal executive officer and principal financial officer, concluded that, as of December 31, 2022, our internal control over financial reporting was effective. Our independent registered public accounting firm, Deloitte &amp; Touche LLP, has audited the effectiveness of our internal control over financial reporting as of December 31, 2022, as stated in their report which is included in this Annual Report on Form 10-K.</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have audited the internal control over financial reporting of Harmony Biosciences, Inc. and subsidiary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21, 2023, expressed an unqualified opinion on those financial statements and included an explanatory paragraph regarding the Company’s adoption of a new accounting standard.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Disclosures Regarding Foreign Jurisdictions that Prevent Inspections.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Stockholders and is incorporated by reference. The Proxy Statement will be filed with the SEC within 120 days of the fiscal year ended December 31, 2022.</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https://ir.harmonybiosciences.com. We will post any amendments to our code of business conduct and ethics other than technical, administrative or other non-substantive amendments, or waivers of its requirements, on our website or in a Form 8-K filed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Stockholders and is incorporated herein by reference. The Proxy Statement will be filed with the SEC within 120 days of the fiscal year ended December 31,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Stockholders and is incorporated herein by reference. The Proxy Statement will be filed with the SEC within 120 days of the fiscal year ended December 31,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Stockholders and is incorporated herein by reference. The Proxy Statement will be filed with the SEC within 120 days of the fiscal year ended December 31,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Stockholders and is incorporated herein by reference. The Proxy Statement will be filed with the SEC within 120 days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“Part II—Item 8. Financial Statements and Supplementary Data.—Index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those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56"/>
        </w:trPr>
        <w:tc>
          <w:tcPr>
            <w:tcW w:w="20" w:type="dxa"/>
            <w:vAlign w:val="bottom"/>
          </w:tcPr>
          <w:p>
            <w:pPr>
              <w:spacing w:after="0"/>
              <w:rPr>
                <w:sz w:val="13"/>
                <w:szCs w:val="13"/>
                <w:color w:val="auto"/>
              </w:rPr>
            </w:pPr>
          </w:p>
        </w:tc>
        <w:tc>
          <w:tcPr>
            <w:tcW w:w="13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gridSpan w:val="25"/>
          </w:tcPr>
          <w:p>
            <w:pPr>
              <w:ind w:left="880"/>
              <w:spacing w:after="0" w:line="155" w:lineRule="exact"/>
              <w:rPr>
                <w:sz w:val="20"/>
                <w:szCs w:val="20"/>
                <w:color w:val="auto"/>
              </w:rPr>
            </w:pPr>
            <w:r>
              <w:rPr>
                <w:rFonts w:ascii="Arial" w:cs="Arial" w:eastAsia="Arial" w:hAnsi="Arial"/>
                <w:sz w:val="14"/>
                <w:szCs w:val="14"/>
                <w:b w:val="1"/>
                <w:bCs w:val="1"/>
                <w:color w:val="auto"/>
              </w:rPr>
              <w:t>Exhibit Description</w:t>
            </w:r>
          </w:p>
        </w:tc>
        <w:tc>
          <w:tcPr>
            <w:tcW w:w="740" w:type="dxa"/>
            <w:vAlign w:val="bottom"/>
          </w:tcPr>
          <w:p>
            <w:pPr>
              <w:jc w:val="center"/>
              <w:ind w:left="132"/>
              <w:spacing w:after="0" w:line="155" w:lineRule="exact"/>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Date</w:t>
            </w: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Herewith</w:t>
            </w:r>
          </w:p>
        </w:tc>
      </w:tr>
      <w:tr>
        <w:trPr>
          <w:trHeight w:val="169"/>
        </w:trPr>
        <w:tc>
          <w:tcPr>
            <w:tcW w:w="20" w:type="dxa"/>
            <w:vAlign w:val="bottom"/>
          </w:tcPr>
          <w:p>
            <w:pPr>
              <w:spacing w:after="0"/>
              <w:rPr>
                <w:sz w:val="14"/>
                <w:szCs w:val="14"/>
                <w:color w:val="auto"/>
              </w:rPr>
            </w:pPr>
          </w:p>
        </w:tc>
        <w:tc>
          <w:tcPr>
            <w:tcW w:w="11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3900" w:type="dxa"/>
            <w:vAlign w:val="bottom"/>
            <w:tcBorders>
              <w:top w:val="single" w:sz="8" w:color="auto"/>
            </w:tcBorders>
            <w:gridSpan w:val="26"/>
          </w:tcPr>
          <w:p>
            <w:pPr>
              <w:spacing w:after="0" w:line="169" w:lineRule="exact"/>
              <w:rPr>
                <w:rFonts w:ascii="Arial" w:cs="Arial" w:eastAsia="Arial" w:hAnsi="Arial"/>
                <w:sz w:val="18"/>
                <w:szCs w:val="18"/>
                <w:color w:val="0000EE"/>
              </w:rPr>
            </w:pPr>
            <w:hyperlink r:id="rId132">
              <w:r>
                <w:rPr>
                  <w:rFonts w:ascii="Arial" w:cs="Arial" w:eastAsia="Arial" w:hAnsi="Arial"/>
                  <w:sz w:val="18"/>
                  <w:szCs w:val="18"/>
                  <w:color w:val="0000EE"/>
                </w:rPr>
                <w:t>Amended and Restated Certificate of</w:t>
              </w:r>
            </w:hyperlink>
          </w:p>
        </w:tc>
        <w:tc>
          <w:tcPr>
            <w:tcW w:w="180" w:type="dxa"/>
            <w:vAlign w:val="bottom"/>
          </w:tcPr>
          <w:p>
            <w:pPr>
              <w:spacing w:after="0"/>
              <w:rPr>
                <w:sz w:val="14"/>
                <w:szCs w:val="14"/>
                <w:color w:val="auto"/>
              </w:rPr>
            </w:pPr>
          </w:p>
        </w:tc>
        <w:tc>
          <w:tcPr>
            <w:tcW w:w="740" w:type="dxa"/>
            <w:vAlign w:val="bottom"/>
            <w:tcBorders>
              <w:top w:val="single" w:sz="8" w:color="auto"/>
            </w:tcBorders>
          </w:tcPr>
          <w:p>
            <w:pPr>
              <w:jc w:val="center"/>
              <w:ind w:left="132"/>
              <w:spacing w:after="0" w:line="169" w:lineRule="exact"/>
              <w:rPr>
                <w:sz w:val="20"/>
                <w:szCs w:val="20"/>
                <w:color w:val="auto"/>
              </w:rPr>
            </w:pPr>
            <w:r>
              <w:rPr>
                <w:rFonts w:ascii="Arial" w:cs="Arial" w:eastAsia="Arial" w:hAnsi="Arial"/>
                <w:sz w:val="18"/>
                <w:szCs w:val="18"/>
                <w:color w:val="auto"/>
                <w:w w:val="99"/>
              </w:rPr>
              <w:t>8-K</w:t>
            </w: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August 21,</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152"/>
              <w:spacing w:after="0" w:line="169"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tcBorders>
              <w:top w:val="single" w:sz="8" w:color="0000EE"/>
            </w:tcBorders>
            <w:gridSpan w:val="6"/>
          </w:tcPr>
          <w:p>
            <w:pPr>
              <w:spacing w:after="0" w:line="182" w:lineRule="exact"/>
              <w:rPr>
                <w:rFonts w:ascii="Arial" w:cs="Arial" w:eastAsia="Arial" w:hAnsi="Arial"/>
                <w:sz w:val="18"/>
                <w:szCs w:val="18"/>
                <w:color w:val="0000EE"/>
                <w:w w:val="96"/>
              </w:rPr>
            </w:pPr>
            <w:hyperlink r:id="rId132">
              <w:r>
                <w:rPr>
                  <w:rFonts w:ascii="Arial" w:cs="Arial" w:eastAsia="Arial" w:hAnsi="Arial"/>
                  <w:sz w:val="18"/>
                  <w:szCs w:val="18"/>
                  <w:color w:val="0000EE"/>
                  <w:w w:val="96"/>
                </w:rPr>
                <w:t>Incorporation of Harmony Biosciences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19"/>
          </w:tcPr>
          <w:p>
            <w:pPr>
              <w:jc w:val="center"/>
              <w:ind w:right="140"/>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Holdings,</w:t>
              </w:r>
            </w:hyperlink>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6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Inc.</w:t>
              </w:r>
            </w:hyperlink>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33">
              <w:r>
                <w:rPr>
                  <w:rFonts w:ascii="Arial" w:cs="Arial" w:eastAsia="Arial" w:hAnsi="Arial"/>
                  <w:sz w:val="18"/>
                  <w:szCs w:val="18"/>
                  <w:color w:val="0000EE"/>
                </w:rPr>
                <w:t>Amended and Restated Bylaws.</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34">
              <w:r>
                <w:rPr>
                  <w:rFonts w:ascii="Arial" w:cs="Arial" w:eastAsia="Arial" w:hAnsi="Arial"/>
                  <w:sz w:val="18"/>
                  <w:szCs w:val="18"/>
                  <w:color w:val="0000EE"/>
                </w:rPr>
                <w:t>Form of Common Stock Certificate.</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7"/>
              </w:rPr>
              <w:t>S-1/A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rPr>
              <w:t>August 6,</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35">
              <w:r>
                <w:rPr>
                  <w:rFonts w:ascii="Arial" w:cs="Arial" w:eastAsia="Arial" w:hAnsi="Arial"/>
                  <w:sz w:val="18"/>
                  <w:szCs w:val="18"/>
                  <w:color w:val="0000EE"/>
                </w:rPr>
                <w:t>Description of Registrant’s Securities.</w:t>
              </w:r>
            </w:hyperlink>
          </w:p>
        </w:tc>
        <w:tc>
          <w:tcPr>
            <w:tcW w:w="740" w:type="dxa"/>
            <w:vAlign w:val="bottom"/>
          </w:tcPr>
          <w:p>
            <w:pPr>
              <w:jc w:val="center"/>
              <w:ind w:left="152"/>
              <w:spacing w:after="0"/>
              <w:rPr>
                <w:sz w:val="20"/>
                <w:szCs w:val="20"/>
                <w:color w:val="auto"/>
              </w:rPr>
            </w:pPr>
            <w:r>
              <w:rPr>
                <w:rFonts w:ascii="Arial" w:cs="Arial" w:eastAsia="Arial" w:hAnsi="Arial"/>
                <w:sz w:val="18"/>
                <w:szCs w:val="18"/>
                <w:color w:val="auto"/>
                <w:w w:val="99"/>
              </w:rPr>
              <w:t>10-K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March 25,</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36">
              <w:r>
                <w:rPr>
                  <w:rFonts w:ascii="Arial" w:cs="Arial" w:eastAsia="Arial" w:hAnsi="Arial"/>
                  <w:sz w:val="18"/>
                  <w:szCs w:val="18"/>
                  <w:color w:val="0000EE"/>
                </w:rPr>
                <w:t>Credit Agreement, dated as of August 9, 2021,</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10-Q</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10,</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6"/>
              </w:rPr>
            </w:pPr>
            <w:hyperlink r:id="rId136">
              <w:r>
                <w:rPr>
                  <w:rFonts w:ascii="Arial" w:cs="Arial" w:eastAsia="Arial" w:hAnsi="Arial"/>
                  <w:sz w:val="18"/>
                  <w:szCs w:val="18"/>
                  <w:color w:val="0000EE"/>
                  <w:w w:val="96"/>
                </w:rPr>
                <w:t>among Harmony Biosciences, Inc., as Borrower,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gridSpan w:val="23"/>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Harmony Biosciences, LLC, as Guarantor, the</w:t>
              </w:r>
            </w:hyperlink>
          </w:p>
        </w:tc>
        <w:tc>
          <w:tcPr>
            <w:tcW w:w="4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8"/>
              </w:rPr>
            </w:pPr>
            <w:hyperlink r:id="rId136">
              <w:r>
                <w:rPr>
                  <w:rFonts w:ascii="Arial" w:cs="Arial" w:eastAsia="Arial" w:hAnsi="Arial"/>
                  <w:sz w:val="18"/>
                  <w:szCs w:val="18"/>
                  <w:color w:val="0000EE"/>
                  <w:w w:val="98"/>
                </w:rPr>
                <w:t>Guarantors from time to time party thereto, the</w:t>
              </w:r>
            </w:hyperlink>
          </w:p>
        </w:tc>
        <w:tc>
          <w:tcPr>
            <w:tcW w:w="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00" w:type="dxa"/>
            <w:vAlign w:val="bottom"/>
            <w:gridSpan w:val="18"/>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Lenders from time to time party thereto, and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Wilmington Trust, National Association, as</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136">
              <w:r>
                <w:rPr>
                  <w:rFonts w:ascii="Arial" w:cs="Arial" w:eastAsia="Arial" w:hAnsi="Arial"/>
                  <w:sz w:val="18"/>
                  <w:szCs w:val="18"/>
                  <w:color w:val="0000EE"/>
                  <w:w w:val="98"/>
                </w:rPr>
                <w:t>Administrative Agent.</w:t>
              </w:r>
            </w:hyperlink>
          </w:p>
        </w:tc>
        <w:tc>
          <w:tcPr>
            <w:tcW w:w="1660" w:type="dxa"/>
            <w:vAlign w:val="bottom"/>
            <w:tcBorders>
              <w:top w:val="single" w:sz="8" w:color="0000EE"/>
            </w:tcBorders>
            <w:gridSpan w:val="9"/>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37">
              <w:r>
                <w:rPr>
                  <w:rFonts w:ascii="Arial" w:cs="Arial" w:eastAsia="Arial" w:hAnsi="Arial"/>
                  <w:sz w:val="18"/>
                  <w:szCs w:val="18"/>
                  <w:color w:val="0000EE"/>
                </w:rPr>
                <w:t>Pledge and Security Agreement, dated as of</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10-Q</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10,</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2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August 9, 2021, among Harmony Biosciences,</w:t>
              </w:r>
            </w:hyperlink>
          </w:p>
        </w:tc>
        <w:tc>
          <w:tcPr>
            <w:tcW w:w="1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20" w:type="dxa"/>
            <w:vAlign w:val="bottom"/>
            <w:gridSpan w:val="19"/>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Inc. and Harmony Biosciences, LLC, as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tcBorders>
              <w:top w:val="single" w:sz="8" w:color="0000EE"/>
            </w:tcBorders>
            <w:gridSpan w:val="10"/>
          </w:tcPr>
          <w:p>
            <w:pPr>
              <w:spacing w:after="0" w:line="182" w:lineRule="exact"/>
              <w:rPr>
                <w:rFonts w:ascii="Arial" w:cs="Arial" w:eastAsia="Arial" w:hAnsi="Arial"/>
                <w:sz w:val="18"/>
                <w:szCs w:val="18"/>
                <w:color w:val="0000EE"/>
                <w:w w:val="97"/>
              </w:rPr>
            </w:pPr>
            <w:hyperlink r:id="rId137">
              <w:r>
                <w:rPr>
                  <w:rFonts w:ascii="Arial" w:cs="Arial" w:eastAsia="Arial" w:hAnsi="Arial"/>
                  <w:sz w:val="18"/>
                  <w:szCs w:val="18"/>
                  <w:color w:val="0000EE"/>
                  <w:w w:val="97"/>
                </w:rPr>
                <w:t>Grantors, the Grantors from time to time</w:t>
              </w:r>
            </w:hyperlink>
          </w:p>
        </w:tc>
        <w:tc>
          <w:tcPr>
            <w:tcW w:w="940" w:type="dxa"/>
            <w:vAlign w:val="bottom"/>
            <w:gridSpan w:val="17"/>
          </w:tcPr>
          <w:p>
            <w:pPr>
              <w:jc w:val="center"/>
              <w:ind w:right="340"/>
              <w:spacing w:after="0" w:line="182" w:lineRule="exact"/>
              <w:rPr>
                <w:rFonts w:ascii="Arial" w:cs="Arial" w:eastAsia="Arial" w:hAnsi="Arial"/>
                <w:sz w:val="18"/>
                <w:szCs w:val="18"/>
                <w:color w:val="0000EE"/>
                <w:w w:val="99"/>
              </w:rPr>
            </w:pPr>
            <w:hyperlink r:id="rId137">
              <w:r>
                <w:rPr>
                  <w:rFonts w:ascii="Arial" w:cs="Arial" w:eastAsia="Arial" w:hAnsi="Arial"/>
                  <w:sz w:val="18"/>
                  <w:szCs w:val="18"/>
                  <w:color w:val="0000EE"/>
                  <w:w w:val="99"/>
                </w:rPr>
                <w:t>party</w:t>
              </w:r>
            </w:hyperlink>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thereto, and Wilmington Trust, National</w:t>
              </w:r>
            </w:hyperlink>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37">
              <w:r>
                <w:rPr>
                  <w:rFonts w:ascii="Arial" w:cs="Arial" w:eastAsia="Arial" w:hAnsi="Arial"/>
                  <w:sz w:val="18"/>
                  <w:szCs w:val="18"/>
                  <w:color w:val="0000EE"/>
                  <w:w w:val="99"/>
                </w:rPr>
                <w:t>Association, as Administrative Agent.</w:t>
              </w:r>
            </w:hyperlink>
          </w:p>
        </w:tc>
        <w:tc>
          <w:tcPr>
            <w:tcW w:w="160" w:type="dxa"/>
            <w:vAlign w:val="bottom"/>
            <w:tcBorders>
              <w:top w:val="single" w:sz="8" w:color="0000EE"/>
            </w:tcBorders>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34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4080" w:type="dxa"/>
            <w:vAlign w:val="bottom"/>
            <w:gridSpan w:val="27"/>
          </w:tcPr>
          <w:p>
            <w:pPr>
              <w:spacing w:after="0"/>
              <w:rPr>
                <w:sz w:val="20"/>
                <w:szCs w:val="20"/>
                <w:color w:val="auto"/>
              </w:rPr>
            </w:pPr>
            <w:r>
              <w:rPr>
                <w:rFonts w:ascii="Arial" w:cs="Arial" w:eastAsia="Arial" w:hAnsi="Arial"/>
                <w:sz w:val="18"/>
                <w:szCs w:val="18"/>
                <w:color w:val="0000EE"/>
              </w:rPr>
              <w:t>Harmony Biosciences Holdings, Inc. 2020</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Incentive Award Plan, as amended by the</w:t>
            </w:r>
          </w:p>
        </w:tc>
        <w:tc>
          <w:tcPr>
            <w:tcW w:w="760" w:type="dxa"/>
            <w:vAlign w:val="bottom"/>
            <w:gridSpan w:val="16"/>
          </w:tcPr>
          <w:p>
            <w:pPr>
              <w:ind w:left="40"/>
              <w:spacing w:after="0" w:line="182" w:lineRule="exact"/>
              <w:rPr>
                <w:sz w:val="20"/>
                <w:szCs w:val="20"/>
                <w:color w:val="auto"/>
              </w:rPr>
            </w:pPr>
            <w:r>
              <w:rPr>
                <w:rFonts w:ascii="Arial" w:cs="Arial" w:eastAsia="Arial" w:hAnsi="Arial"/>
                <w:sz w:val="18"/>
                <w:szCs w:val="18"/>
                <w:color w:val="0000EE"/>
              </w:rPr>
              <w:t>First</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Amendment to the Plan, dated March 24, 2022</w:t>
            </w:r>
          </w:p>
        </w:tc>
        <w:tc>
          <w:tcPr>
            <w:tcW w:w="20" w:type="dxa"/>
            <w:vAlign w:val="bottom"/>
            <w:tcBorders>
              <w:bottom w:val="single" w:sz="8" w:color="0000EE"/>
            </w:tcBorders>
          </w:tcPr>
          <w:p>
            <w:pPr>
              <w:jc w:val="right"/>
              <w:spacing w:after="0"/>
              <w:rPr>
                <w:sz w:val="20"/>
                <w:szCs w:val="20"/>
                <w:color w:val="auto"/>
              </w:rPr>
            </w:pPr>
            <w:r>
              <w:rPr>
                <w:rFonts w:ascii="Arial" w:cs="Arial" w:eastAsia="Arial" w:hAnsi="Arial"/>
                <w:sz w:val="1"/>
                <w:szCs w:val="1"/>
                <w:color w:val="auto"/>
                <w:w w:val="4294967279"/>
              </w:rPr>
              <w:t>.</w:t>
            </w:r>
          </w:p>
        </w:tc>
        <w:tc>
          <w:tcPr>
            <w:tcW w:w="10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4080" w:type="dxa"/>
            <w:vAlign w:val="bottom"/>
            <w:gridSpan w:val="27"/>
          </w:tcPr>
          <w:p>
            <w:pPr>
              <w:spacing w:after="0"/>
              <w:rPr>
                <w:rFonts w:ascii="Arial" w:cs="Arial" w:eastAsia="Arial" w:hAnsi="Arial"/>
                <w:sz w:val="18"/>
                <w:szCs w:val="18"/>
                <w:color w:val="0000EE"/>
              </w:rPr>
            </w:pPr>
            <w:hyperlink r:id="rId138">
              <w:r>
                <w:rPr>
                  <w:rFonts w:ascii="Arial" w:cs="Arial" w:eastAsia="Arial" w:hAnsi="Arial"/>
                  <w:sz w:val="18"/>
                  <w:szCs w:val="18"/>
                  <w:color w:val="0000EE"/>
                </w:rPr>
                <w:t>Form of Option Agreement under Harmony</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S-8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Biosciences Holdings, Inc. 2020 Incentive</w:t>
              </w:r>
            </w:hyperlink>
          </w:p>
        </w:tc>
        <w:tc>
          <w:tcPr>
            <w:tcW w:w="660" w:type="dxa"/>
            <w:vAlign w:val="bottom"/>
            <w:gridSpan w:val="14"/>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Award</w:t>
              </w:r>
            </w:hyperlink>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Plan.</w:t>
              </w:r>
            </w:hyperlink>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65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gridSpan w:val="2"/>
          </w:tcPr>
          <w:p>
            <w:pPr>
              <w:spacing w:after="0"/>
              <w:rPr>
                <w:sz w:val="24"/>
                <w:szCs w:val="24"/>
                <w:color w:val="auto"/>
              </w:rPr>
            </w:pPr>
          </w:p>
        </w:tc>
        <w:tc>
          <w:tcPr>
            <w:tcW w:w="3440" w:type="dxa"/>
            <w:vAlign w:val="bottom"/>
            <w:gridSpan w:val="21"/>
          </w:tcPr>
          <w:p>
            <w:pPr>
              <w:jc w:val="right"/>
              <w:ind w:right="6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3"/>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5"/>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3920" w:type="dxa"/>
            <w:vAlign w:val="bottom"/>
            <w:gridSpan w:val="39"/>
          </w:tcPr>
          <w:p>
            <w:pPr>
              <w:spacing w:after="0"/>
              <w:rPr>
                <w:rFonts w:ascii="Arial" w:cs="Arial" w:eastAsia="Arial" w:hAnsi="Arial"/>
                <w:sz w:val="18"/>
                <w:szCs w:val="18"/>
                <w:color w:val="0000EE"/>
              </w:rPr>
            </w:pPr>
            <w:hyperlink r:id="rId139">
              <w:r>
                <w:rPr>
                  <w:rFonts w:ascii="Arial" w:cs="Arial" w:eastAsia="Arial" w:hAnsi="Arial"/>
                  <w:sz w:val="18"/>
                  <w:szCs w:val="18"/>
                  <w:color w:val="0000EE"/>
                </w:rPr>
                <w:t>Form of Restricted Stock Unit Agreement under</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Harmony Biosciences Holdings, Inc.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r:id="rId139">
              <w:r>
                <w:rPr>
                  <w:rFonts w:ascii="Arial" w:cs="Arial" w:eastAsia="Arial" w:hAnsi="Arial"/>
                  <w:sz w:val="18"/>
                  <w:szCs w:val="18"/>
                  <w:color w:val="0000EE"/>
                  <w:w w:val="98"/>
                </w:rPr>
                <w:t>Incentive Award Plan.</w:t>
              </w:r>
            </w:hyperlink>
          </w:p>
        </w:tc>
        <w:tc>
          <w:tcPr>
            <w:tcW w:w="160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3920" w:type="dxa"/>
            <w:vAlign w:val="bottom"/>
            <w:gridSpan w:val="39"/>
          </w:tcPr>
          <w:p>
            <w:pPr>
              <w:spacing w:after="0"/>
              <w:rPr>
                <w:rFonts w:ascii="Arial" w:cs="Arial" w:eastAsia="Arial" w:hAnsi="Arial"/>
                <w:sz w:val="18"/>
                <w:szCs w:val="18"/>
                <w:color w:val="0000EE"/>
              </w:rPr>
            </w:pPr>
            <w:hyperlink r:id="rId140">
              <w:r>
                <w:rPr>
                  <w:rFonts w:ascii="Arial" w:cs="Arial" w:eastAsia="Arial" w:hAnsi="Arial"/>
                  <w:sz w:val="18"/>
                  <w:szCs w:val="18"/>
                  <w:color w:val="0000EE"/>
                </w:rPr>
                <w:t>Harmony Biosciences Holdings, Inc. 2020</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40">
              <w:r>
                <w:rPr>
                  <w:rFonts w:ascii="Arial" w:cs="Arial" w:eastAsia="Arial" w:hAnsi="Arial"/>
                  <w:sz w:val="18"/>
                  <w:szCs w:val="18"/>
                  <w:color w:val="0000EE"/>
                </w:rPr>
                <w:t>Employee Stock Purchase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99"/>
              </w:rPr>
            </w:pPr>
            <w:hyperlink r:id="rId141">
              <w:r>
                <w:rPr>
                  <w:rFonts w:ascii="Arial" w:cs="Arial" w:eastAsia="Arial" w:hAnsi="Arial"/>
                  <w:sz w:val="18"/>
                  <w:szCs w:val="18"/>
                  <w:color w:val="0000EE"/>
                  <w:w w:val="99"/>
                </w:rPr>
                <w:t>Amended and Restated Employment</w:t>
              </w:r>
            </w:hyperlink>
          </w:p>
        </w:tc>
        <w:tc>
          <w:tcPr>
            <w:tcW w:w="980" w:type="dxa"/>
            <w:vAlign w:val="bottom"/>
            <w:gridSpan w:val="28"/>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Agreement, dated August 11, 2020, by and</w:t>
              </w:r>
            </w:hyperlink>
          </w:p>
        </w:tc>
        <w:tc>
          <w:tcPr>
            <w:tcW w:w="500" w:type="dxa"/>
            <w:vAlign w:val="bottom"/>
            <w:gridSpan w:val="18"/>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9"/>
          </w:tcPr>
          <w:p>
            <w:pPr>
              <w:spacing w:after="0" w:line="182" w:lineRule="exact"/>
              <w:rPr>
                <w:rFonts w:ascii="Arial" w:cs="Arial" w:eastAsia="Arial" w:hAnsi="Arial"/>
                <w:sz w:val="18"/>
                <w:szCs w:val="18"/>
                <w:color w:val="0000EE"/>
              </w:rPr>
            </w:pPr>
            <w:hyperlink r:id="rId141">
              <w:r>
                <w:rPr>
                  <w:rFonts w:ascii="Arial" w:cs="Arial" w:eastAsia="Arial" w:hAnsi="Arial"/>
                  <w:sz w:val="18"/>
                  <w:szCs w:val="18"/>
                  <w:color w:val="0000EE"/>
                </w:rPr>
                <w:t>between Harmony Biosciences, LLC and John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41">
              <w:r>
                <w:rPr>
                  <w:rFonts w:ascii="Arial" w:cs="Arial" w:eastAsia="Arial" w:hAnsi="Arial"/>
                  <w:sz w:val="18"/>
                  <w:szCs w:val="18"/>
                  <w:color w:val="0000EE"/>
                </w:rPr>
                <w:t>C. Jacobs.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10.7.2</w:t>
            </w:r>
          </w:p>
        </w:tc>
        <w:tc>
          <w:tcPr>
            <w:tcW w:w="40" w:type="dxa"/>
            <w:vAlign w:val="bottom"/>
          </w:tcPr>
          <w:p>
            <w:pPr>
              <w:spacing w:after="0"/>
              <w:rPr>
                <w:sz w:val="24"/>
                <w:szCs w:val="24"/>
                <w:color w:val="auto"/>
              </w:rPr>
            </w:pPr>
          </w:p>
        </w:tc>
        <w:tc>
          <w:tcPr>
            <w:tcW w:w="3920" w:type="dxa"/>
            <w:vAlign w:val="bottom"/>
            <w:gridSpan w:val="39"/>
          </w:tcPr>
          <w:p>
            <w:pPr>
              <w:spacing w:after="0"/>
              <w:rPr>
                <w:sz w:val="20"/>
                <w:szCs w:val="20"/>
                <w:color w:val="auto"/>
              </w:rPr>
            </w:pPr>
            <w:r>
              <w:rPr>
                <w:rFonts w:ascii="Arial" w:cs="Arial" w:eastAsia="Arial" w:hAnsi="Arial"/>
                <w:sz w:val="18"/>
                <w:szCs w:val="18"/>
                <w:color w:val="0000EE"/>
              </w:rPr>
              <w:t>Acknowledgment and Release Agreement,</w:t>
            </w: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dated January 20, 2023, by and between</w:t>
            </w: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6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Harmony Biosciences Holdings, Inc. and</w:t>
            </w:r>
          </w:p>
        </w:tc>
        <w:tc>
          <w:tcPr>
            <w:tcW w:w="20" w:type="dxa"/>
            <w:vAlign w:val="bottom"/>
          </w:tcPr>
          <w:p>
            <w:pPr>
              <w:spacing w:after="0"/>
              <w:rPr>
                <w:sz w:val="15"/>
                <w:szCs w:val="15"/>
                <w:color w:val="auto"/>
              </w:rPr>
            </w:pPr>
          </w:p>
        </w:tc>
        <w:tc>
          <w:tcPr>
            <w:tcW w:w="640" w:type="dxa"/>
            <w:vAlign w:val="bottom"/>
            <w:gridSpan w:val="25"/>
          </w:tcPr>
          <w:p>
            <w:pPr>
              <w:spacing w:after="0" w:line="182" w:lineRule="exact"/>
              <w:rPr>
                <w:sz w:val="20"/>
                <w:szCs w:val="20"/>
                <w:color w:val="auto"/>
              </w:rPr>
            </w:pPr>
            <w:r>
              <w:rPr>
                <w:rFonts w:ascii="Arial" w:cs="Arial" w:eastAsia="Arial" w:hAnsi="Arial"/>
                <w:sz w:val="18"/>
                <w:szCs w:val="18"/>
                <w:color w:val="0000EE"/>
                <w:w w:val="99"/>
              </w:rPr>
              <w:t>John C.</w:t>
            </w: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6"/>
              </w:rPr>
              <w:t>Jacobs.</w:t>
            </w:r>
          </w:p>
        </w:tc>
        <w:tc>
          <w:tcPr>
            <w:tcW w:w="3280" w:type="dxa"/>
            <w:vAlign w:val="bottom"/>
            <w:tcBorders>
              <w:top w:val="single" w:sz="8" w:color="0000EE"/>
            </w:tcBorders>
            <w:gridSpan w:val="36"/>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3920" w:type="dxa"/>
            <w:vAlign w:val="bottom"/>
            <w:gridSpan w:val="39"/>
          </w:tcPr>
          <w:p>
            <w:pPr>
              <w:spacing w:after="0"/>
              <w:rPr>
                <w:rFonts w:ascii="Arial" w:cs="Arial" w:eastAsia="Arial" w:hAnsi="Arial"/>
                <w:sz w:val="18"/>
                <w:szCs w:val="18"/>
                <w:color w:val="0000EE"/>
              </w:rPr>
            </w:pPr>
            <w:hyperlink r:id="rId142">
              <w:r>
                <w:rPr>
                  <w:rFonts w:ascii="Arial" w:cs="Arial" w:eastAsia="Arial" w:hAnsi="Arial"/>
                  <w:sz w:val="18"/>
                  <w:szCs w:val="18"/>
                  <w:color w:val="0000EE"/>
                </w:rPr>
                <w:t>Form of Indemnification Agreement between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7"/>
              </w:rPr>
            </w:pPr>
            <w:hyperlink r:id="rId142">
              <w:r>
                <w:rPr>
                  <w:rFonts w:ascii="Arial" w:cs="Arial" w:eastAsia="Arial" w:hAnsi="Arial"/>
                  <w:sz w:val="18"/>
                  <w:szCs w:val="18"/>
                  <w:color w:val="0000EE"/>
                  <w:w w:val="97"/>
                </w:rPr>
                <w:t>Harmony Biosciences, LLC and each director</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0" w:type="dxa"/>
            <w:vAlign w:val="bottom"/>
            <w:gridSpan w:val="25"/>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and executive officer.</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3560" w:type="dxa"/>
            <w:vAlign w:val="bottom"/>
            <w:tcBorders>
              <w:bottom w:val="single" w:sz="8" w:color="0000EE"/>
            </w:tcBorders>
            <w:gridSpan w:val="24"/>
          </w:tcPr>
          <w:p>
            <w:pPr>
              <w:spacing w:after="0"/>
              <w:rPr>
                <w:rFonts w:ascii="Arial" w:cs="Arial" w:eastAsia="Arial" w:hAnsi="Arial"/>
                <w:sz w:val="18"/>
                <w:szCs w:val="18"/>
                <w:color w:val="0000EE"/>
                <w:w w:val="99"/>
              </w:rPr>
            </w:pPr>
            <w:hyperlink r:id="rId143">
              <w:r>
                <w:rPr>
                  <w:rFonts w:ascii="Arial" w:cs="Arial" w:eastAsia="Arial" w:hAnsi="Arial"/>
                  <w:sz w:val="18"/>
                  <w:szCs w:val="18"/>
                  <w:color w:val="0000EE"/>
                  <w:w w:val="99"/>
                </w:rPr>
                <w:t>Harmony Biosciences, LLC Separation Plan.</w:t>
              </w:r>
            </w:hyperlink>
          </w:p>
        </w:tc>
        <w:tc>
          <w:tcPr>
            <w:tcW w:w="360" w:type="dxa"/>
            <w:vAlign w:val="bottom"/>
            <w:gridSpan w:val="15"/>
          </w:tcPr>
          <w:p>
            <w:pPr>
              <w:spacing w:after="0"/>
              <w:rPr>
                <w:sz w:val="24"/>
                <w:szCs w:val="24"/>
                <w:color w:val="auto"/>
              </w:rPr>
            </w:pPr>
          </w:p>
        </w:tc>
      </w:tr>
      <w:tr>
        <w:trPr>
          <w:trHeight w:val="561"/>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24"/>
                <w:szCs w:val="24"/>
                <w:color w:val="auto"/>
              </w:rPr>
            </w:pPr>
          </w:p>
        </w:tc>
        <w:tc>
          <w:tcPr>
            <w:tcW w:w="3920" w:type="dxa"/>
            <w:vAlign w:val="bottom"/>
            <w:gridSpan w:val="39"/>
          </w:tcPr>
          <w:p>
            <w:pPr>
              <w:spacing w:after="0"/>
              <w:rPr>
                <w:rFonts w:ascii="Arial" w:cs="Arial" w:eastAsia="Arial" w:hAnsi="Arial"/>
                <w:sz w:val="18"/>
                <w:szCs w:val="18"/>
                <w:color w:val="0000EE"/>
              </w:rPr>
            </w:pPr>
            <w:hyperlink r:id="rId144">
              <w:r>
                <w:rPr>
                  <w:rFonts w:ascii="Arial" w:cs="Arial" w:eastAsia="Arial" w:hAnsi="Arial"/>
                  <w:sz w:val="18"/>
                  <w:szCs w:val="18"/>
                  <w:color w:val="0000EE"/>
                </w:rPr>
                <w:t>Harmony Biosciences Holdings, Inc. Amended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and Restated 2017 Equity Incentive Plan.</w:t>
              </w:r>
            </w:hyperlink>
          </w:p>
        </w:tc>
        <w:tc>
          <w:tcPr>
            <w:tcW w:w="42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3920" w:type="dxa"/>
            <w:vAlign w:val="bottom"/>
            <w:gridSpan w:val="39"/>
          </w:tcPr>
          <w:p>
            <w:pPr>
              <w:spacing w:after="0"/>
              <w:rPr>
                <w:rFonts w:ascii="Arial" w:cs="Arial" w:eastAsia="Arial" w:hAnsi="Arial"/>
                <w:sz w:val="18"/>
                <w:szCs w:val="18"/>
                <w:color w:val="0000EE"/>
              </w:rPr>
            </w:pPr>
            <w:hyperlink r:id="rId145">
              <w:r>
                <w:rPr>
                  <w:rFonts w:ascii="Arial" w:cs="Arial" w:eastAsia="Arial" w:hAnsi="Arial"/>
                  <w:sz w:val="18"/>
                  <w:szCs w:val="18"/>
                  <w:color w:val="0000EE"/>
                </w:rPr>
                <w:t>Harmony Biosciences Holdings, Inc. Non-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Employee Director Compensation Program.</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10.12.1</w:t>
            </w:r>
          </w:p>
        </w:tc>
        <w:tc>
          <w:tcPr>
            <w:tcW w:w="40" w:type="dxa"/>
            <w:vAlign w:val="bottom"/>
          </w:tcPr>
          <w:p>
            <w:pPr>
              <w:spacing w:after="0"/>
              <w:rPr>
                <w:sz w:val="24"/>
                <w:szCs w:val="24"/>
                <w:color w:val="auto"/>
              </w:rPr>
            </w:pPr>
          </w:p>
        </w:tc>
        <w:tc>
          <w:tcPr>
            <w:tcW w:w="3920" w:type="dxa"/>
            <w:vAlign w:val="bottom"/>
            <w:gridSpan w:val="39"/>
          </w:tcPr>
          <w:p>
            <w:pPr>
              <w:spacing w:after="0"/>
              <w:rPr>
                <w:rFonts w:ascii="Arial" w:cs="Arial" w:eastAsia="Arial" w:hAnsi="Arial"/>
                <w:sz w:val="18"/>
                <w:szCs w:val="18"/>
                <w:color w:val="0000EE"/>
              </w:rPr>
            </w:pPr>
            <w:hyperlink r:id="rId146">
              <w:r>
                <w:rPr>
                  <w:rFonts w:ascii="Arial" w:cs="Arial" w:eastAsia="Arial" w:hAnsi="Arial"/>
                  <w:sz w:val="18"/>
                  <w:szCs w:val="18"/>
                  <w:color w:val="0000EE"/>
                </w:rPr>
                <w:t>Offer Letter, dated October 10, 2017, by and</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9"/>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between Harmony Biosciences, LLC and Jeffrey</w:t>
              </w:r>
            </w:hyperlink>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Dayno.</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10.12.2</w:t>
            </w:r>
          </w:p>
        </w:tc>
        <w:tc>
          <w:tcPr>
            <w:tcW w:w="40" w:type="dxa"/>
            <w:vAlign w:val="bottom"/>
          </w:tcPr>
          <w:p>
            <w:pPr>
              <w:spacing w:after="0"/>
              <w:rPr>
                <w:sz w:val="24"/>
                <w:szCs w:val="24"/>
                <w:color w:val="auto"/>
              </w:rPr>
            </w:pPr>
          </w:p>
        </w:tc>
        <w:tc>
          <w:tcPr>
            <w:tcW w:w="3920" w:type="dxa"/>
            <w:vAlign w:val="bottom"/>
            <w:gridSpan w:val="39"/>
          </w:tcPr>
          <w:p>
            <w:pPr>
              <w:spacing w:after="0"/>
              <w:rPr>
                <w:sz w:val="20"/>
                <w:szCs w:val="20"/>
                <w:color w:val="auto"/>
              </w:rPr>
            </w:pPr>
            <w:r>
              <w:rPr>
                <w:rFonts w:ascii="Arial" w:cs="Arial" w:eastAsia="Arial" w:hAnsi="Arial"/>
                <w:sz w:val="18"/>
                <w:szCs w:val="18"/>
                <w:color w:val="0000EE"/>
              </w:rPr>
              <w:t>Promotion Letter Agreement, dated January 23,</w:t>
            </w: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tcBorders>
              <w:top w:val="single" w:sz="8" w:color="0000EE"/>
            </w:tcBorders>
            <w:gridSpan w:val="35"/>
          </w:tcPr>
          <w:p>
            <w:pPr>
              <w:spacing w:after="0" w:line="182" w:lineRule="exact"/>
              <w:rPr>
                <w:sz w:val="20"/>
                <w:szCs w:val="20"/>
                <w:color w:val="auto"/>
              </w:rPr>
            </w:pPr>
            <w:r>
              <w:rPr>
                <w:rFonts w:ascii="Arial" w:cs="Arial" w:eastAsia="Arial" w:hAnsi="Arial"/>
                <w:sz w:val="18"/>
                <w:szCs w:val="18"/>
                <w:color w:val="0000EE"/>
              </w:rPr>
              <w:t>2023, by and between Harmony Biosciences</w:t>
            </w: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0000EE"/>
              </w:rPr>
              <w:t>Holdings, Inc. and Jeffrey M. Dayno, M.D</w:t>
            </w:r>
            <w:r>
              <w:rPr>
                <w:rFonts w:ascii="Arial" w:cs="Arial" w:eastAsia="Arial" w:hAnsi="Arial"/>
                <w:sz w:val="18"/>
                <w:szCs w:val="18"/>
                <w:color w:val="000000"/>
              </w:rPr>
              <w:t>.</w:t>
            </w: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24"/>
                <w:szCs w:val="24"/>
                <w:color w:val="auto"/>
              </w:rPr>
            </w:pPr>
          </w:p>
        </w:tc>
        <w:tc>
          <w:tcPr>
            <w:tcW w:w="3920" w:type="dxa"/>
            <w:vAlign w:val="bottom"/>
            <w:gridSpan w:val="39"/>
          </w:tcPr>
          <w:p>
            <w:pPr>
              <w:spacing w:after="0"/>
              <w:rPr>
                <w:rFonts w:ascii="Arial" w:cs="Arial" w:eastAsia="Arial" w:hAnsi="Arial"/>
                <w:sz w:val="18"/>
                <w:szCs w:val="18"/>
                <w:color w:val="0000EE"/>
              </w:rPr>
            </w:pPr>
            <w:hyperlink r:id="rId147">
              <w:r>
                <w:rPr>
                  <w:rFonts w:ascii="Arial" w:cs="Arial" w:eastAsia="Arial" w:hAnsi="Arial"/>
                  <w:sz w:val="18"/>
                  <w:szCs w:val="18"/>
                  <w:color w:val="0000EE"/>
                </w:rPr>
                <w:t>Offer Letter, dated September 8, 2017, by and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between Harmony Biosciences, LLC and</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47">
              <w:r>
                <w:rPr>
                  <w:rFonts w:ascii="Arial" w:cs="Arial" w:eastAsia="Arial" w:hAnsi="Arial"/>
                  <w:sz w:val="18"/>
                  <w:szCs w:val="18"/>
                  <w:color w:val="0000EE"/>
                  <w:w w:val="98"/>
                </w:rPr>
                <w:t>Andrew Serafin.</w:t>
              </w:r>
            </w:hyperlink>
          </w:p>
        </w:tc>
        <w:tc>
          <w:tcPr>
            <w:tcW w:w="1960" w:type="dxa"/>
            <w:vAlign w:val="bottom"/>
            <w:tcBorders>
              <w:top w:val="single" w:sz="8" w:color="0000EE"/>
            </w:tcBorders>
            <w:gridSpan w:val="8"/>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3520" w:type="dxa"/>
            <w:vAlign w:val="bottom"/>
            <w:tcBorders>
              <w:bottom w:val="single" w:sz="8" w:color="0000EE"/>
            </w:tcBorders>
            <w:gridSpan w:val="22"/>
          </w:tcPr>
          <w:p>
            <w:pPr>
              <w:spacing w:after="0"/>
              <w:rPr>
                <w:rFonts w:ascii="Arial" w:cs="Arial" w:eastAsia="Arial" w:hAnsi="Arial"/>
                <w:sz w:val="18"/>
                <w:szCs w:val="18"/>
                <w:color w:val="0000EE"/>
                <w:w w:val="99"/>
              </w:rPr>
            </w:pPr>
            <w:hyperlink r:id="rId148">
              <w:r>
                <w:rPr>
                  <w:rFonts w:ascii="Arial" w:cs="Arial" w:eastAsia="Arial" w:hAnsi="Arial"/>
                  <w:sz w:val="18"/>
                  <w:szCs w:val="18"/>
                  <w:color w:val="0000EE"/>
                  <w:w w:val="99"/>
                </w:rPr>
                <w:t>License and Commercialization Agreement,</w:t>
              </w:r>
            </w:hyperlink>
          </w:p>
        </w:tc>
        <w:tc>
          <w:tcPr>
            <w:tcW w:w="400" w:type="dxa"/>
            <w:vAlign w:val="bottom"/>
            <w:gridSpan w:val="17"/>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9"/>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dated July 28, 2017, by and between Bioprojet</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Société Civile de Recherche and Harmony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48">
              <w:r>
                <w:rPr>
                  <w:rFonts w:ascii="Arial" w:cs="Arial" w:eastAsia="Arial" w:hAnsi="Arial"/>
                  <w:sz w:val="18"/>
                  <w:szCs w:val="18"/>
                  <w:color w:val="0000EE"/>
                  <w:w w:val="98"/>
                </w:rPr>
                <w:t>Biosciences, LLC.</w:t>
              </w:r>
            </w:hyperlink>
          </w:p>
        </w:tc>
        <w:tc>
          <w:tcPr>
            <w:tcW w:w="1940" w:type="dxa"/>
            <w:vAlign w:val="bottom"/>
            <w:tcBorders>
              <w:top w:val="single" w:sz="8" w:color="0000EE"/>
            </w:tcBorders>
            <w:gridSpan w:val="14"/>
          </w:tcPr>
          <w:p>
            <w:pPr>
              <w:spacing w:after="0"/>
              <w:rPr>
                <w:sz w:val="15"/>
                <w:szCs w:val="15"/>
                <w:color w:val="auto"/>
              </w:rPr>
            </w:pPr>
          </w:p>
        </w:tc>
        <w:tc>
          <w:tcPr>
            <w:tcW w:w="240" w:type="dxa"/>
            <w:vAlign w:val="bottom"/>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3920" w:type="dxa"/>
            <w:vAlign w:val="bottom"/>
            <w:gridSpan w:val="39"/>
          </w:tcPr>
          <w:p>
            <w:pPr>
              <w:spacing w:after="0"/>
              <w:rPr>
                <w:rFonts w:ascii="Arial" w:cs="Arial" w:eastAsia="Arial" w:hAnsi="Arial"/>
                <w:sz w:val="18"/>
                <w:szCs w:val="18"/>
                <w:color w:val="0000EE"/>
              </w:rPr>
            </w:pPr>
            <w:hyperlink r:id="rId149">
              <w:r>
                <w:rPr>
                  <w:rFonts w:ascii="Arial" w:cs="Arial" w:eastAsia="Arial" w:hAnsi="Arial"/>
                  <w:sz w:val="18"/>
                  <w:szCs w:val="18"/>
                  <w:color w:val="0000EE"/>
                </w:rPr>
                <w:t>Amendment No. 1 to License and</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9"/>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Commercialization Agreement, dated August 27,</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2018, by and between Bioprojet Société Civile</w:t>
              </w:r>
            </w:hyperlink>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28"/>
          </w:tcPr>
          <w:p>
            <w:pPr>
              <w:spacing w:after="0" w:line="182" w:lineRule="exact"/>
              <w:rPr>
                <w:rFonts w:ascii="Arial" w:cs="Arial" w:eastAsia="Arial" w:hAnsi="Arial"/>
                <w:sz w:val="18"/>
                <w:szCs w:val="18"/>
                <w:color w:val="0000EE"/>
                <w:w w:val="97"/>
              </w:rPr>
            </w:pPr>
            <w:hyperlink r:id="rId149">
              <w:r>
                <w:rPr>
                  <w:rFonts w:ascii="Arial" w:cs="Arial" w:eastAsia="Arial" w:hAnsi="Arial"/>
                  <w:sz w:val="18"/>
                  <w:szCs w:val="18"/>
                  <w:color w:val="0000EE"/>
                  <w:w w:val="97"/>
                </w:rPr>
                <w:t>de Recherche and Harmony Biosciences, LLC.</w:t>
              </w:r>
            </w:hyperlink>
          </w:p>
        </w:tc>
        <w:tc>
          <w:tcPr>
            <w:tcW w:w="80" w:type="dxa"/>
            <w:vAlign w:val="bottom"/>
            <w:tcBorders>
              <w:bottom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4"/>
                <w:szCs w:val="24"/>
                <w:color w:val="auto"/>
              </w:rPr>
            </w:pPr>
          </w:p>
        </w:tc>
        <w:tc>
          <w:tcPr>
            <w:tcW w:w="3920" w:type="dxa"/>
            <w:vAlign w:val="bottom"/>
            <w:gridSpan w:val="39"/>
          </w:tcPr>
          <w:p>
            <w:pPr>
              <w:spacing w:after="0"/>
              <w:rPr>
                <w:rFonts w:ascii="Arial" w:cs="Arial" w:eastAsia="Arial" w:hAnsi="Arial"/>
                <w:sz w:val="18"/>
                <w:szCs w:val="18"/>
                <w:color w:val="0000EE"/>
              </w:rPr>
            </w:pPr>
            <w:hyperlink r:id="rId150">
              <w:r>
                <w:rPr>
                  <w:rFonts w:ascii="Arial" w:cs="Arial" w:eastAsia="Arial" w:hAnsi="Arial"/>
                  <w:sz w:val="18"/>
                  <w:szCs w:val="18"/>
                  <w:color w:val="0000EE"/>
                </w:rPr>
                <w:t>Trademark License Agreement, dated August</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1140" w:type="dxa"/>
            <w:vAlign w:val="bottom"/>
            <w:gridSpan w:val="10"/>
            <w:shd w:val="clear" w:color="auto" w:fill="0000EE"/>
          </w:tcPr>
          <w:p>
            <w:pPr>
              <w:spacing w:after="0" w:line="20" w:lineRule="exact"/>
              <w:rPr>
                <w:sz w:val="1"/>
                <w:szCs w:val="1"/>
                <w:color w:val="auto"/>
              </w:rPr>
            </w:pPr>
          </w:p>
        </w:tc>
        <w:tc>
          <w:tcPr>
            <w:tcW w:w="260" w:type="dxa"/>
            <w:vAlign w:val="bottom"/>
            <w:gridSpan w:val="8"/>
            <w:shd w:val="clear" w:color="auto" w:fill="0000EE"/>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9"/>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23, 2018, by and among Bioprojet Europe, Ltd.,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Bioprojet Société Civile de Recherche and</w:t>
              </w:r>
            </w:hyperlink>
          </w:p>
        </w:tc>
        <w:tc>
          <w:tcPr>
            <w:tcW w:w="14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50">
              <w:r>
                <w:rPr>
                  <w:rFonts w:ascii="Arial" w:cs="Arial" w:eastAsia="Arial" w:hAnsi="Arial"/>
                  <w:sz w:val="18"/>
                  <w:szCs w:val="18"/>
                  <w:color w:val="0000EE"/>
                  <w:w w:val="99"/>
                </w:rPr>
                <w:t>Harmony Biosciences, LLC.</w:t>
              </w:r>
            </w:hyperlink>
          </w:p>
        </w:tc>
        <w:tc>
          <w:tcPr>
            <w:tcW w:w="1140" w:type="dxa"/>
            <w:vAlign w:val="bottom"/>
            <w:tcBorders>
              <w:top w:val="single" w:sz="8" w:color="0000EE"/>
            </w:tcBorders>
            <w:gridSpan w:val="10"/>
          </w:tcPr>
          <w:p>
            <w:pPr>
              <w:spacing w:after="0"/>
              <w:rPr>
                <w:sz w:val="15"/>
                <w:szCs w:val="15"/>
                <w:color w:val="auto"/>
              </w:rPr>
            </w:pPr>
          </w:p>
        </w:tc>
        <w:tc>
          <w:tcPr>
            <w:tcW w:w="560" w:type="dxa"/>
            <w:vAlign w:val="bottom"/>
            <w:gridSpan w:val="21"/>
          </w:tcPr>
          <w:p>
            <w:pPr>
              <w:spacing w:after="0"/>
              <w:rPr>
                <w:sz w:val="15"/>
                <w:szCs w:val="15"/>
                <w:color w:val="auto"/>
              </w:rPr>
            </w:pPr>
          </w:p>
        </w:tc>
      </w:tr>
      <w:tr>
        <w:trPr>
          <w:trHeight w:val="659"/>
        </w:trPr>
        <w:tc>
          <w:tcPr>
            <w:tcW w:w="1280" w:type="dxa"/>
            <w:vAlign w:val="bottom"/>
          </w:tcPr>
          <w:p>
            <w:pPr>
              <w:spacing w:after="0"/>
              <w:rPr>
                <w:sz w:val="24"/>
                <w:szCs w:val="24"/>
                <w:color w:val="auto"/>
              </w:rPr>
            </w:pPr>
          </w:p>
        </w:tc>
        <w:tc>
          <w:tcPr>
            <w:tcW w:w="3840" w:type="dxa"/>
            <w:vAlign w:val="bottom"/>
            <w:gridSpan w:val="35"/>
          </w:tcPr>
          <w:p>
            <w:pPr>
              <w:jc w:val="right"/>
              <w:ind w:right="2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August 11,</w:t>
            </w:r>
          </w:p>
        </w:tc>
        <w:tc>
          <w:tcPr>
            <w:tcW w:w="660" w:type="dxa"/>
            <w:vAlign w:val="bottom"/>
          </w:tcPr>
          <w:p>
            <w:pPr>
              <w:jc w:val="center"/>
              <w:ind w:left="213"/>
              <w:spacing w:after="0"/>
              <w:rPr>
                <w:sz w:val="20"/>
                <w:szCs w:val="20"/>
                <w:color w:val="auto"/>
              </w:rPr>
            </w:pPr>
            <w:r>
              <w:rPr>
                <w:rFonts w:ascii="Arial" w:cs="Arial" w:eastAsia="Arial" w:hAnsi="Arial"/>
                <w:sz w:val="18"/>
                <w:szCs w:val="18"/>
                <w:color w:val="auto"/>
              </w:rPr>
              <w:t>10.6</w:t>
            </w:r>
          </w:p>
        </w:tc>
      </w:tr>
      <w:tr>
        <w:trPr>
          <w:trHeight w:val="239"/>
        </w:trPr>
        <w:tc>
          <w:tcPr>
            <w:tcW w:w="7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660" w:type="dxa"/>
            <w:vAlign w:val="bottom"/>
          </w:tcPr>
          <w:p>
            <w:pPr>
              <w:spacing w:after="0"/>
              <w:rPr>
                <w:sz w:val="20"/>
                <w:szCs w:val="20"/>
                <w:color w:val="auto"/>
              </w:rPr>
            </w:pPr>
          </w:p>
        </w:tc>
      </w:tr>
      <w:tr>
        <w:trPr>
          <w:trHeight w:val="571"/>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August 11,</w:t>
            </w:r>
          </w:p>
        </w:tc>
        <w:tc>
          <w:tcPr>
            <w:tcW w:w="660" w:type="dxa"/>
            <w:vAlign w:val="bottom"/>
          </w:tcPr>
          <w:p>
            <w:pPr>
              <w:jc w:val="center"/>
              <w:ind w:left="213"/>
              <w:spacing w:after="0"/>
              <w:rPr>
                <w:sz w:val="20"/>
                <w:szCs w:val="20"/>
                <w:color w:val="auto"/>
              </w:rPr>
            </w:pPr>
            <w:r>
              <w:rPr>
                <w:rFonts w:ascii="Arial" w:cs="Arial" w:eastAsia="Arial" w:hAnsi="Arial"/>
                <w:sz w:val="18"/>
                <w:szCs w:val="18"/>
                <w:color w:val="auto"/>
              </w:rPr>
              <w:t>10.7</w:t>
            </w:r>
          </w:p>
        </w:tc>
      </w:tr>
      <w:tr>
        <w:trPr>
          <w:trHeight w:val="239"/>
        </w:trPr>
        <w:tc>
          <w:tcPr>
            <w:tcW w:w="7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660" w:type="dxa"/>
            <w:vAlign w:val="bottom"/>
          </w:tcPr>
          <w:p>
            <w:pPr>
              <w:spacing w:after="0"/>
              <w:rPr>
                <w:sz w:val="20"/>
                <w:szCs w:val="20"/>
                <w:color w:val="auto"/>
              </w:rPr>
            </w:pPr>
          </w:p>
        </w:tc>
      </w:tr>
      <w:tr>
        <w:trPr>
          <w:trHeight w:val="360"/>
        </w:trPr>
        <w:tc>
          <w:tcPr>
            <w:tcW w:w="720" w:type="dxa"/>
            <w:vAlign w:val="bottom"/>
          </w:tcPr>
          <w:p>
            <w:pPr>
              <w:ind w:left="20"/>
              <w:spacing w:after="0"/>
              <w:rPr>
                <w:sz w:val="20"/>
                <w:szCs w:val="20"/>
                <w:color w:val="auto"/>
              </w:rPr>
            </w:pPr>
            <w:r>
              <w:rPr>
                <w:rFonts w:ascii="Arial" w:cs="Arial" w:eastAsia="Arial" w:hAnsi="Arial"/>
                <w:sz w:val="16"/>
                <w:szCs w:val="16"/>
                <w:color w:val="auto"/>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660" w:type="dxa"/>
            <w:vAlign w:val="bottom"/>
          </w:tcPr>
          <w:p>
            <w:pPr>
              <w:jc w:val="center"/>
              <w:ind w:left="213"/>
              <w:spacing w:after="0"/>
              <w:rPr>
                <w:sz w:val="20"/>
                <w:szCs w:val="20"/>
                <w:color w:val="auto"/>
              </w:rPr>
            </w:pPr>
            <w:r>
              <w:rPr>
                <w:rFonts w:ascii="Arial" w:cs="Arial" w:eastAsia="Arial" w:hAnsi="Arial"/>
                <w:sz w:val="16"/>
                <w:szCs w:val="16"/>
                <w:color w:val="auto"/>
              </w:rPr>
              <w:t>10.8</w:t>
            </w:r>
          </w:p>
        </w:tc>
      </w:tr>
      <w:tr>
        <w:trPr>
          <w:trHeight w:val="215"/>
        </w:trPr>
        <w:tc>
          <w:tcPr>
            <w:tcW w:w="7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2020</w:t>
            </w:r>
          </w:p>
        </w:tc>
        <w:tc>
          <w:tcPr>
            <w:tcW w:w="6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40" w:type="dxa"/>
            <w:vAlign w:val="bottom"/>
          </w:tcPr>
          <w:p>
            <w:pPr>
              <w:spacing w:after="0"/>
              <w:rPr>
                <w:sz w:val="20"/>
                <w:szCs w:val="20"/>
                <w:color w:val="auto"/>
              </w:rPr>
            </w:pPr>
            <w:r>
              <w:rPr>
                <w:rFonts w:ascii="Arial" w:cs="Arial" w:eastAsia="Arial" w:hAnsi="Arial"/>
                <w:sz w:val="16"/>
                <w:szCs w:val="16"/>
                <w:color w:val="auto"/>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640" w:type="dxa"/>
            <w:vAlign w:val="bottom"/>
          </w:tcPr>
          <w:p>
            <w:pPr>
              <w:jc w:val="center"/>
              <w:ind w:left="159"/>
              <w:spacing w:after="0"/>
              <w:rPr>
                <w:sz w:val="20"/>
                <w:szCs w:val="20"/>
                <w:color w:val="auto"/>
              </w:rPr>
            </w:pPr>
            <w:r>
              <w:rPr>
                <w:rFonts w:ascii="Arial" w:cs="Arial" w:eastAsia="Arial" w:hAnsi="Arial"/>
                <w:sz w:val="16"/>
                <w:szCs w:val="16"/>
                <w:color w:val="auto"/>
                <w:w w:val="99"/>
              </w:rPr>
              <w:t>10.12</w:t>
            </w:r>
          </w:p>
        </w:tc>
      </w:tr>
      <w:tr>
        <w:trPr>
          <w:trHeight w:val="215"/>
        </w:trPr>
        <w:tc>
          <w:tcPr>
            <w:tcW w:w="6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8"/>
                <w:szCs w:val="18"/>
                <w:color w:val="auto"/>
              </w:rPr>
            </w:pPr>
          </w:p>
        </w:tc>
      </w:tr>
      <w:tr>
        <w:trPr>
          <w:trHeight w:val="595"/>
        </w:trPr>
        <w:tc>
          <w:tcPr>
            <w:tcW w:w="640" w:type="dxa"/>
            <w:vAlign w:val="bottom"/>
          </w:tcPr>
          <w:p>
            <w:pPr>
              <w:spacing w:after="0"/>
              <w:rPr>
                <w:sz w:val="20"/>
                <w:szCs w:val="20"/>
                <w:color w:val="auto"/>
              </w:rPr>
            </w:pPr>
            <w:r>
              <w:rPr>
                <w:rFonts w:ascii="Arial" w:cs="Arial" w:eastAsia="Arial" w:hAnsi="Arial"/>
                <w:sz w:val="16"/>
                <w:szCs w:val="16"/>
                <w:color w:val="auto"/>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640" w:type="dxa"/>
            <w:vAlign w:val="bottom"/>
          </w:tcPr>
          <w:p>
            <w:pPr>
              <w:jc w:val="center"/>
              <w:ind w:left="159"/>
              <w:spacing w:after="0"/>
              <w:rPr>
                <w:sz w:val="20"/>
                <w:szCs w:val="20"/>
                <w:color w:val="auto"/>
              </w:rPr>
            </w:pPr>
            <w:r>
              <w:rPr>
                <w:rFonts w:ascii="Arial" w:cs="Arial" w:eastAsia="Arial" w:hAnsi="Arial"/>
                <w:sz w:val="16"/>
                <w:szCs w:val="16"/>
                <w:color w:val="auto"/>
                <w:w w:val="99"/>
              </w:rPr>
              <w:t>10.13</w:t>
            </w:r>
          </w:p>
        </w:tc>
      </w:tr>
      <w:tr>
        <w:trPr>
          <w:trHeight w:val="215"/>
        </w:trPr>
        <w:tc>
          <w:tcPr>
            <w:tcW w:w="6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8"/>
                <w:szCs w:val="18"/>
                <w:color w:val="auto"/>
              </w:rPr>
            </w:pPr>
          </w:p>
        </w:tc>
      </w:tr>
      <w:tr>
        <w:trPr>
          <w:trHeight w:val="366"/>
        </w:trPr>
        <w:tc>
          <w:tcPr>
            <w:tcW w:w="640" w:type="dxa"/>
            <w:vAlign w:val="bottom"/>
          </w:tcPr>
          <w:p>
            <w:pPr>
              <w:spacing w:after="0"/>
              <w:rPr>
                <w:sz w:val="20"/>
                <w:szCs w:val="20"/>
                <w:color w:val="auto"/>
              </w:rPr>
            </w:pPr>
            <w:r>
              <w:rPr>
                <w:rFonts w:ascii="Arial" w:cs="Arial" w:eastAsia="Arial" w:hAnsi="Arial"/>
                <w:sz w:val="16"/>
                <w:szCs w:val="16"/>
                <w:color w:val="auto"/>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640" w:type="dxa"/>
            <w:vAlign w:val="bottom"/>
          </w:tcPr>
          <w:p>
            <w:pPr>
              <w:jc w:val="center"/>
              <w:ind w:left="159"/>
              <w:spacing w:after="0"/>
              <w:rPr>
                <w:sz w:val="20"/>
                <w:szCs w:val="20"/>
                <w:color w:val="auto"/>
              </w:rPr>
            </w:pPr>
            <w:r>
              <w:rPr>
                <w:rFonts w:ascii="Arial" w:cs="Arial" w:eastAsia="Arial" w:hAnsi="Arial"/>
                <w:sz w:val="16"/>
                <w:szCs w:val="16"/>
                <w:color w:val="auto"/>
              </w:rPr>
              <w:t>10.3</w:t>
            </w:r>
          </w:p>
        </w:tc>
      </w:tr>
      <w:tr>
        <w:trPr>
          <w:trHeight w:val="215"/>
        </w:trPr>
        <w:tc>
          <w:tcPr>
            <w:tcW w:w="6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8"/>
                <w:szCs w:val="18"/>
                <w:color w:val="auto"/>
              </w:rPr>
            </w:pPr>
          </w:p>
        </w:tc>
      </w:tr>
      <w:tr>
        <w:trPr>
          <w:trHeight w:val="393"/>
        </w:trPr>
        <w:tc>
          <w:tcPr>
            <w:tcW w:w="640" w:type="dxa"/>
            <w:vAlign w:val="bottom"/>
          </w:tcPr>
          <w:p>
            <w:pPr>
              <w:ind w:left="20"/>
              <w:spacing w:after="0"/>
              <w:rPr>
                <w:sz w:val="20"/>
                <w:szCs w:val="20"/>
                <w:color w:val="auto"/>
              </w:rPr>
            </w:pPr>
            <w:r>
              <w:rPr>
                <w:rFonts w:ascii="Arial" w:cs="Arial" w:eastAsia="Arial" w:hAnsi="Arial"/>
                <w:sz w:val="16"/>
                <w:szCs w:val="16"/>
                <w:color w:val="auto"/>
              </w:rPr>
              <w:t>10-Q</w:t>
            </w:r>
          </w:p>
        </w:tc>
        <w:tc>
          <w:tcPr>
            <w:tcW w:w="1500" w:type="dxa"/>
            <w:vAlign w:val="bottom"/>
          </w:tcPr>
          <w:p>
            <w:pPr>
              <w:jc w:val="center"/>
              <w:spacing w:after="0"/>
              <w:rPr>
                <w:sz w:val="20"/>
                <w:szCs w:val="20"/>
                <w:color w:val="auto"/>
              </w:rPr>
            </w:pPr>
            <w:r>
              <w:rPr>
                <w:rFonts w:ascii="Arial" w:cs="Arial" w:eastAsia="Arial" w:hAnsi="Arial"/>
                <w:sz w:val="16"/>
                <w:szCs w:val="16"/>
                <w:color w:val="auto"/>
              </w:rPr>
              <w:t>November 12,</w:t>
            </w:r>
          </w:p>
        </w:tc>
        <w:tc>
          <w:tcPr>
            <w:tcW w:w="640" w:type="dxa"/>
            <w:vAlign w:val="bottom"/>
          </w:tcPr>
          <w:p>
            <w:pPr>
              <w:jc w:val="center"/>
              <w:ind w:left="159"/>
              <w:spacing w:after="0"/>
              <w:rPr>
                <w:sz w:val="20"/>
                <w:szCs w:val="20"/>
                <w:color w:val="auto"/>
              </w:rPr>
            </w:pPr>
            <w:r>
              <w:rPr>
                <w:rFonts w:ascii="Arial" w:cs="Arial" w:eastAsia="Arial" w:hAnsi="Arial"/>
                <w:sz w:val="16"/>
                <w:szCs w:val="16"/>
                <w:color w:val="auto"/>
              </w:rPr>
              <w:t>10.9</w:t>
            </w:r>
          </w:p>
        </w:tc>
      </w:tr>
      <w:tr>
        <w:trPr>
          <w:trHeight w:val="215"/>
        </w:trPr>
        <w:tc>
          <w:tcPr>
            <w:tcW w:w="6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8"/>
                <w:szCs w:val="18"/>
                <w:color w:val="auto"/>
              </w:rPr>
            </w:pPr>
          </w:p>
        </w:tc>
      </w:tr>
      <w:tr>
        <w:trPr>
          <w:trHeight w:val="393"/>
        </w:trPr>
        <w:tc>
          <w:tcPr>
            <w:tcW w:w="640" w:type="dxa"/>
            <w:vAlign w:val="bottom"/>
          </w:tcPr>
          <w:p>
            <w:pPr>
              <w:spacing w:after="0"/>
              <w:rPr>
                <w:sz w:val="20"/>
                <w:szCs w:val="20"/>
                <w:color w:val="auto"/>
              </w:rPr>
            </w:pPr>
            <w:r>
              <w:rPr>
                <w:rFonts w:ascii="Arial" w:cs="Arial" w:eastAsia="Arial" w:hAnsi="Arial"/>
                <w:sz w:val="16"/>
                <w:szCs w:val="16"/>
                <w:color w:val="auto"/>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640" w:type="dxa"/>
            <w:vAlign w:val="bottom"/>
          </w:tcPr>
          <w:p>
            <w:pPr>
              <w:jc w:val="center"/>
              <w:ind w:left="159"/>
              <w:spacing w:after="0"/>
              <w:rPr>
                <w:sz w:val="20"/>
                <w:szCs w:val="20"/>
                <w:color w:val="auto"/>
              </w:rPr>
            </w:pPr>
            <w:r>
              <w:rPr>
                <w:rFonts w:ascii="Arial" w:cs="Arial" w:eastAsia="Arial" w:hAnsi="Arial"/>
                <w:sz w:val="16"/>
                <w:szCs w:val="16"/>
                <w:color w:val="auto"/>
              </w:rPr>
              <w:t>10.9</w:t>
            </w:r>
          </w:p>
        </w:tc>
      </w:tr>
      <w:tr>
        <w:trPr>
          <w:trHeight w:val="215"/>
        </w:trPr>
        <w:tc>
          <w:tcPr>
            <w:tcW w:w="6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8"/>
                <w:szCs w:val="18"/>
                <w:color w:val="auto"/>
              </w:rPr>
            </w:pPr>
          </w:p>
        </w:tc>
      </w:tr>
    </w:tbl>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0" w:type="dxa"/>
            <w:vAlign w:val="bottom"/>
          </w:tcPr>
          <w:p>
            <w:pPr>
              <w:jc w:val="center"/>
              <w:ind w:right="179"/>
              <w:spacing w:after="0"/>
              <w:rPr>
                <w:sz w:val="20"/>
                <w:szCs w:val="20"/>
                <w:color w:val="auto"/>
              </w:rPr>
            </w:pPr>
            <w:r>
              <w:rPr>
                <w:rFonts w:ascii="Arial" w:cs="Arial" w:eastAsia="Arial" w:hAnsi="Arial"/>
                <w:sz w:val="16"/>
                <w:szCs w:val="16"/>
                <w:color w:val="auto"/>
                <w:w w:val="99"/>
              </w:rPr>
              <w:t>S-1/A</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66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15"/>
        </w:trPr>
        <w:tc>
          <w:tcPr>
            <w:tcW w:w="6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2020</w:t>
            </w:r>
          </w:p>
        </w:tc>
        <w:tc>
          <w:tcPr>
            <w:tcW w:w="660" w:type="dxa"/>
            <w:vAlign w:val="bottom"/>
          </w:tcPr>
          <w:p>
            <w:pPr>
              <w:spacing w:after="0"/>
              <w:rPr>
                <w:sz w:val="18"/>
                <w:szCs w:val="18"/>
                <w:color w:val="auto"/>
              </w:rPr>
            </w:pPr>
          </w:p>
        </w:tc>
      </w:tr>
      <w:tr>
        <w:trPr>
          <w:trHeight w:val="621"/>
        </w:trPr>
        <w:tc>
          <w:tcPr>
            <w:tcW w:w="660" w:type="dxa"/>
            <w:vAlign w:val="bottom"/>
          </w:tcPr>
          <w:p>
            <w:pPr>
              <w:jc w:val="center"/>
              <w:ind w:right="199"/>
              <w:spacing w:after="0"/>
              <w:rPr>
                <w:sz w:val="20"/>
                <w:szCs w:val="20"/>
                <w:color w:val="auto"/>
              </w:rPr>
            </w:pPr>
            <w:r>
              <w:rPr>
                <w:rFonts w:ascii="Arial" w:cs="Arial" w:eastAsia="Arial" w:hAnsi="Arial"/>
                <w:sz w:val="16"/>
                <w:szCs w:val="16"/>
                <w:color w:val="auto"/>
              </w:rPr>
              <w:t>S-1</w:t>
            </w:r>
          </w:p>
        </w:tc>
        <w:tc>
          <w:tcPr>
            <w:tcW w:w="1460" w:type="dxa"/>
            <w:vAlign w:val="bottom"/>
          </w:tcPr>
          <w:p>
            <w:pPr>
              <w:jc w:val="center"/>
              <w:spacing w:after="0"/>
              <w:rPr>
                <w:sz w:val="20"/>
                <w:szCs w:val="20"/>
                <w:color w:val="auto"/>
              </w:rPr>
            </w:pPr>
            <w:r>
              <w:rPr>
                <w:rFonts w:ascii="Arial" w:cs="Arial" w:eastAsia="Arial" w:hAnsi="Arial"/>
                <w:sz w:val="16"/>
                <w:szCs w:val="16"/>
                <w:color w:val="auto"/>
              </w:rPr>
              <w:t>July 27, 2020</w:t>
            </w:r>
          </w:p>
        </w:tc>
        <w:tc>
          <w:tcPr>
            <w:tcW w:w="660" w:type="dxa"/>
            <w:vAlign w:val="bottom"/>
          </w:tcPr>
          <w:p>
            <w:pPr>
              <w:jc w:val="right"/>
              <w:spacing w:after="0"/>
              <w:rPr>
                <w:sz w:val="20"/>
                <w:szCs w:val="20"/>
                <w:color w:val="auto"/>
              </w:rPr>
            </w:pPr>
            <w:r>
              <w:rPr>
                <w:rFonts w:ascii="Arial" w:cs="Arial" w:eastAsia="Arial" w:hAnsi="Arial"/>
                <w:sz w:val="16"/>
                <w:szCs w:val="16"/>
                <w:color w:val="auto"/>
              </w:rPr>
              <w:t>10.10</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tabs>
          <w:tab w:leader="none" w:pos="900" w:val="left"/>
          <w:tab w:leader="none" w:pos="238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July 27, 2020</w:t>
      </w:r>
      <w:r>
        <w:rPr>
          <w:sz w:val="20"/>
          <w:szCs w:val="20"/>
          <w:color w:val="auto"/>
        </w:rPr>
        <w:tab/>
      </w:r>
      <w:r>
        <w:rPr>
          <w:rFonts w:ascii="Arial" w:cs="Arial" w:eastAsia="Arial" w:hAnsi="Arial"/>
          <w:sz w:val="15"/>
          <w:szCs w:val="15"/>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tabs>
          <w:tab w:leader="none" w:pos="900" w:val="left"/>
          <w:tab w:leader="none" w:pos="238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July 27, 2020</w:t>
      </w:r>
      <w:r>
        <w:rPr>
          <w:sz w:val="20"/>
          <w:szCs w:val="20"/>
          <w:color w:val="auto"/>
        </w:rPr>
        <w:tab/>
      </w:r>
      <w:r>
        <w:rPr>
          <w:rFonts w:ascii="Arial" w:cs="Arial" w:eastAsia="Arial" w:hAnsi="Arial"/>
          <w:sz w:val="15"/>
          <w:szCs w:val="15"/>
          <w:color w:val="auto"/>
        </w:rPr>
        <w:t>10.12</w:t>
      </w:r>
    </w:p>
    <w:p>
      <w:pPr>
        <w:sectPr>
          <w:pgSz w:w="11900" w:h="16838" w:orient="portrait"/>
          <w:cols w:equalWidth="0" w:num="2">
            <w:col w:w="5220" w:space="460"/>
            <w:col w:w="3820"/>
          </w:cols>
          <w:pgMar w:left="980" w:top="648" w:right="14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3960" w:type="dxa"/>
            <w:vAlign w:val="bottom"/>
            <w:gridSpan w:val="38"/>
          </w:tcPr>
          <w:p>
            <w:pPr>
              <w:spacing w:after="0"/>
              <w:rPr>
                <w:rFonts w:ascii="Arial" w:cs="Arial" w:eastAsia="Arial" w:hAnsi="Arial"/>
                <w:sz w:val="18"/>
                <w:szCs w:val="18"/>
                <w:color w:val="0000EE"/>
              </w:rPr>
            </w:pPr>
            <w:hyperlink r:id="rId152">
              <w:r>
                <w:rPr>
                  <w:rFonts w:ascii="Arial" w:cs="Arial" w:eastAsia="Arial" w:hAnsi="Arial"/>
                  <w:sz w:val="18"/>
                  <w:szCs w:val="18"/>
                  <w:color w:val="0000EE"/>
                </w:rPr>
                <w:t>Management Services Agreement, dated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38"/>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September 22, 2017, by and between Paragon</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Biosciences, LLC and Harmony Biosciences,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LLC.</w:t>
              </w:r>
            </w:hyperlink>
          </w:p>
        </w:tc>
        <w:tc>
          <w:tcPr>
            <w:tcW w:w="3220" w:type="dxa"/>
            <w:vAlign w:val="bottom"/>
            <w:tcBorders>
              <w:top w:val="single" w:sz="8" w:color="0000EE"/>
            </w:tcBorders>
            <w:gridSpan w:val="2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24"/>
                <w:szCs w:val="24"/>
                <w:color w:val="auto"/>
              </w:rPr>
            </w:pPr>
          </w:p>
        </w:tc>
        <w:tc>
          <w:tcPr>
            <w:tcW w:w="3960" w:type="dxa"/>
            <w:vAlign w:val="bottom"/>
            <w:gridSpan w:val="38"/>
          </w:tcPr>
          <w:p>
            <w:pPr>
              <w:spacing w:after="0"/>
              <w:rPr>
                <w:rFonts w:ascii="Arial" w:cs="Arial" w:eastAsia="Arial" w:hAnsi="Arial"/>
                <w:sz w:val="18"/>
                <w:szCs w:val="18"/>
                <w:color w:val="0000EE"/>
              </w:rPr>
            </w:pPr>
            <w:hyperlink r:id="rId153">
              <w:r>
                <w:rPr>
                  <w:rFonts w:ascii="Arial" w:cs="Arial" w:eastAsia="Arial" w:hAnsi="Arial"/>
                  <w:sz w:val="18"/>
                  <w:szCs w:val="18"/>
                  <w:color w:val="0000EE"/>
                </w:rPr>
                <w:t>Right of Use Agreement, dated November 1,</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9"/>
              </w:rPr>
            </w:pPr>
            <w:hyperlink r:id="rId153">
              <w:r>
                <w:rPr>
                  <w:rFonts w:ascii="Arial" w:cs="Arial" w:eastAsia="Arial" w:hAnsi="Arial"/>
                  <w:sz w:val="18"/>
                  <w:szCs w:val="18"/>
                  <w:color w:val="0000EE"/>
                  <w:w w:val="99"/>
                </w:rPr>
                <w:t>2019, by and between Paragon Biosciences,</w:t>
              </w:r>
            </w:hyperlink>
          </w:p>
        </w:tc>
        <w:tc>
          <w:tcPr>
            <w:tcW w:w="20" w:type="dxa"/>
            <w:vAlign w:val="bottom"/>
            <w:tcBorders>
              <w:bottom w:val="single" w:sz="8" w:color="0000EE"/>
            </w:tcBorders>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80" w:type="dxa"/>
            <w:vAlign w:val="bottom"/>
            <w:gridSpan w:val="22"/>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LLC and Harmony Biosciences, LLC.</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24"/>
                <w:szCs w:val="24"/>
                <w:color w:val="auto"/>
              </w:rPr>
            </w:pPr>
          </w:p>
        </w:tc>
        <w:tc>
          <w:tcPr>
            <w:tcW w:w="3960" w:type="dxa"/>
            <w:vAlign w:val="bottom"/>
            <w:gridSpan w:val="38"/>
          </w:tcPr>
          <w:p>
            <w:pPr>
              <w:spacing w:after="0"/>
              <w:rPr>
                <w:rFonts w:ascii="Arial" w:cs="Arial" w:eastAsia="Arial" w:hAnsi="Arial"/>
                <w:sz w:val="18"/>
                <w:szCs w:val="18"/>
                <w:color w:val="0000EE"/>
              </w:rPr>
            </w:pPr>
            <w:hyperlink r:id="rId154">
              <w:r>
                <w:rPr>
                  <w:rFonts w:ascii="Arial" w:cs="Arial" w:eastAsia="Arial" w:hAnsi="Arial"/>
                  <w:sz w:val="18"/>
                  <w:szCs w:val="18"/>
                  <w:color w:val="0000EE"/>
                </w:rPr>
                <w:t>Second Amended and Restated Investors’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Rights Agreement, dated August 9, 2019,</w:t>
              </w:r>
            </w:hyperlink>
          </w:p>
        </w:tc>
        <w:tc>
          <w:tcPr>
            <w:tcW w:w="180" w:type="dxa"/>
            <w:vAlign w:val="bottom"/>
            <w:tcBorders>
              <w:bottom w:val="single" w:sz="8" w:color="0000EE"/>
            </w:tcBorders>
            <w:gridSpan w:val="6"/>
          </w:tcPr>
          <w:p>
            <w:pPr>
              <w:spacing w:after="0" w:line="182" w:lineRule="exact"/>
              <w:rPr>
                <w:rFonts w:ascii="Arial" w:cs="Arial" w:eastAsia="Arial" w:hAnsi="Arial"/>
                <w:sz w:val="18"/>
                <w:szCs w:val="18"/>
                <w:color w:val="0000EE"/>
                <w:w w:val="83"/>
              </w:rPr>
            </w:pPr>
            <w:hyperlink r:id="rId154">
              <w:r>
                <w:rPr>
                  <w:rFonts w:ascii="Arial" w:cs="Arial" w:eastAsia="Arial" w:hAnsi="Arial"/>
                  <w:sz w:val="18"/>
                  <w:szCs w:val="18"/>
                  <w:color w:val="0000EE"/>
                  <w:w w:val="83"/>
                </w:rPr>
                <w:t>by</w:t>
              </w:r>
            </w:hyperlink>
          </w:p>
        </w:tc>
        <w:tc>
          <w:tcPr>
            <w:tcW w:w="4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38"/>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and among the Registrant and the other parties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thereto.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24"/>
                <w:szCs w:val="24"/>
                <w:color w:val="auto"/>
              </w:rPr>
            </w:pPr>
          </w:p>
        </w:tc>
        <w:tc>
          <w:tcPr>
            <w:tcW w:w="3680" w:type="dxa"/>
            <w:vAlign w:val="bottom"/>
            <w:tcBorders>
              <w:bottom w:val="single" w:sz="8" w:color="0000EE"/>
            </w:tcBorders>
            <w:gridSpan w:val="25"/>
          </w:tcPr>
          <w:p>
            <w:pPr>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Offer Letter, dated September 7, 2017, by and</w:t>
              </w:r>
            </w:hyperlink>
          </w:p>
        </w:tc>
        <w:tc>
          <w:tcPr>
            <w:tcW w:w="2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38"/>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between Harmony Biosciences, LLC and Jeffrey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Dierks.</w:t>
              </w:r>
            </w:hyperlink>
          </w:p>
        </w:tc>
        <w:tc>
          <w:tcPr>
            <w:tcW w:w="3300" w:type="dxa"/>
            <w:vAlign w:val="bottom"/>
            <w:tcBorders>
              <w:top w:val="single" w:sz="8" w:color="0000EE"/>
            </w:tcBorders>
            <w:gridSpan w:val="3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24"/>
                <w:szCs w:val="24"/>
                <w:color w:val="auto"/>
              </w:rPr>
            </w:pPr>
          </w:p>
        </w:tc>
        <w:tc>
          <w:tcPr>
            <w:tcW w:w="3960" w:type="dxa"/>
            <w:vAlign w:val="bottom"/>
            <w:gridSpan w:val="38"/>
          </w:tcPr>
          <w:p>
            <w:pPr>
              <w:spacing w:after="0"/>
              <w:rPr>
                <w:rFonts w:ascii="Arial" w:cs="Arial" w:eastAsia="Arial" w:hAnsi="Arial"/>
                <w:sz w:val="18"/>
                <w:szCs w:val="18"/>
                <w:color w:val="0000EE"/>
              </w:rPr>
            </w:pPr>
            <w:hyperlink r:id="rId156">
              <w:r>
                <w:rPr>
                  <w:rFonts w:ascii="Arial" w:cs="Arial" w:eastAsia="Arial" w:hAnsi="Arial"/>
                  <w:sz w:val="18"/>
                  <w:szCs w:val="18"/>
                  <w:color w:val="0000EE"/>
                </w:rPr>
                <w:t>Confidential Separation Agreement and General</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Release, between Harmony Biosciences, LLC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r:id="rId156">
              <w:r>
                <w:rPr>
                  <w:rFonts w:ascii="Arial" w:cs="Arial" w:eastAsia="Arial" w:hAnsi="Arial"/>
                  <w:sz w:val="18"/>
                  <w:szCs w:val="18"/>
                  <w:color w:val="0000EE"/>
                  <w:w w:val="99"/>
                </w:rPr>
                <w:t>and Susan L. Drexler, dated March 4, 2021.</w:t>
              </w:r>
            </w:hyperlink>
          </w:p>
        </w:tc>
        <w:tc>
          <w:tcPr>
            <w:tcW w:w="180" w:type="dxa"/>
            <w:vAlign w:val="bottom"/>
            <w:tcBorders>
              <w:top w:val="single" w:sz="8" w:color="0000EE"/>
            </w:tcBorders>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40" w:type="dxa"/>
            <w:vAlign w:val="bottom"/>
          </w:tcPr>
          <w:p>
            <w:pPr>
              <w:spacing w:after="0"/>
              <w:rPr>
                <w:sz w:val="24"/>
                <w:szCs w:val="24"/>
                <w:color w:val="auto"/>
              </w:rPr>
            </w:pPr>
          </w:p>
        </w:tc>
        <w:tc>
          <w:tcPr>
            <w:tcW w:w="3960" w:type="dxa"/>
            <w:vAlign w:val="bottom"/>
            <w:gridSpan w:val="38"/>
          </w:tcPr>
          <w:p>
            <w:pPr>
              <w:spacing w:after="0"/>
              <w:rPr>
                <w:rFonts w:ascii="Arial" w:cs="Arial" w:eastAsia="Arial" w:hAnsi="Arial"/>
                <w:sz w:val="18"/>
                <w:szCs w:val="18"/>
                <w:color w:val="0000EE"/>
              </w:rPr>
            </w:pPr>
            <w:hyperlink r:id="rId157">
              <w:r>
                <w:rPr>
                  <w:rFonts w:ascii="Arial" w:cs="Arial" w:eastAsia="Arial" w:hAnsi="Arial"/>
                  <w:sz w:val="18"/>
                  <w:szCs w:val="18"/>
                  <w:color w:val="0000EE"/>
                </w:rPr>
                <w:t>Employment Agreement, dated March 4, 2021,</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28"/>
          </w:tcPr>
          <w:p>
            <w:pPr>
              <w:spacing w:after="0" w:line="182" w:lineRule="exact"/>
              <w:rPr>
                <w:rFonts w:ascii="Arial" w:cs="Arial" w:eastAsia="Arial" w:hAnsi="Arial"/>
                <w:sz w:val="18"/>
                <w:szCs w:val="18"/>
                <w:color w:val="0000EE"/>
                <w:w w:val="96"/>
              </w:rPr>
            </w:pPr>
            <w:hyperlink r:id="rId157">
              <w:r>
                <w:rPr>
                  <w:rFonts w:ascii="Arial" w:cs="Arial" w:eastAsia="Arial" w:hAnsi="Arial"/>
                  <w:sz w:val="18"/>
                  <w:szCs w:val="18"/>
                  <w:color w:val="0000EE"/>
                  <w:w w:val="96"/>
                </w:rPr>
                <w:t>between Harmony Biosciences, LLC and Sandip</w:t>
              </w:r>
            </w:hyperlink>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gridSpan w:val="37"/>
          </w:tcPr>
          <w:p>
            <w:pPr>
              <w:spacing w:after="0" w:line="182" w:lineRule="exact"/>
              <w:rPr>
                <w:rFonts w:ascii="Arial" w:cs="Arial" w:eastAsia="Arial" w:hAnsi="Arial"/>
                <w:sz w:val="18"/>
                <w:szCs w:val="18"/>
                <w:color w:val="0000EE"/>
              </w:rPr>
            </w:pPr>
            <w:hyperlink r:id="rId157">
              <w:r>
                <w:rPr>
                  <w:rFonts w:ascii="Arial" w:cs="Arial" w:eastAsia="Arial" w:hAnsi="Arial"/>
                  <w:sz w:val="18"/>
                  <w:szCs w:val="18"/>
                  <w:color w:val="0000EE"/>
                </w:rPr>
                <w:t>Kapadia.</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10.23*</w:t>
            </w:r>
          </w:p>
        </w:tc>
        <w:tc>
          <w:tcPr>
            <w:tcW w:w="40" w:type="dxa"/>
            <w:vAlign w:val="bottom"/>
          </w:tcPr>
          <w:p>
            <w:pPr>
              <w:spacing w:after="0"/>
              <w:rPr>
                <w:sz w:val="24"/>
                <w:szCs w:val="24"/>
                <w:color w:val="auto"/>
              </w:rPr>
            </w:pPr>
          </w:p>
        </w:tc>
        <w:tc>
          <w:tcPr>
            <w:tcW w:w="3960" w:type="dxa"/>
            <w:vAlign w:val="bottom"/>
            <w:gridSpan w:val="38"/>
          </w:tcPr>
          <w:p>
            <w:pPr>
              <w:spacing w:after="0"/>
              <w:rPr>
                <w:rFonts w:ascii="Arial" w:cs="Arial" w:eastAsia="Arial" w:hAnsi="Arial"/>
                <w:sz w:val="18"/>
                <w:szCs w:val="18"/>
                <w:color w:val="0000EE"/>
              </w:rPr>
            </w:pPr>
            <w:hyperlink r:id="rId158">
              <w:r>
                <w:rPr>
                  <w:rFonts w:ascii="Arial" w:cs="Arial" w:eastAsia="Arial" w:hAnsi="Arial"/>
                  <w:sz w:val="18"/>
                  <w:szCs w:val="18"/>
                  <w:color w:val="0000EE"/>
                </w:rPr>
                <w:t>Promotion Increase Award Letter to Jeffrey</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5"/>
                <w:szCs w:val="15"/>
                <w:color w:val="auto"/>
              </w:rPr>
            </w:pPr>
          </w:p>
        </w:tc>
        <w:tc>
          <w:tcPr>
            <w:tcW w:w="34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Dierks, dated June 9, 2021</w:t>
              </w:r>
              <w:r>
                <w:rPr>
                  <w:rFonts w:ascii="Arial" w:cs="Arial" w:eastAsia="Arial" w:hAnsi="Arial"/>
                  <w:sz w:val="18"/>
                  <w:szCs w:val="18"/>
                  <w:color w:val="000000"/>
                </w:rPr>
                <w:t>.</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38"/>
          </w:tcPr>
          <w:p>
            <w:pPr>
              <w:spacing w:after="0" w:line="182" w:lineRule="exact"/>
              <w:rPr>
                <w:sz w:val="20"/>
                <w:szCs w:val="20"/>
                <w:color w:val="auto"/>
              </w:rPr>
            </w:pPr>
            <w:r>
              <w:rPr>
                <w:rFonts w:ascii="Arial" w:cs="Arial" w:eastAsia="Arial" w:hAnsi="Arial"/>
                <w:sz w:val="18"/>
                <w:szCs w:val="18"/>
                <w:color w:val="0000EE"/>
              </w:rPr>
              <w:t>List of Subsidiaries of Harmony Biosciences</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Holdings, Inc.</w:t>
            </w:r>
          </w:p>
        </w:tc>
        <w:tc>
          <w:tcPr>
            <w:tcW w:w="20" w:type="dxa"/>
            <w:vAlign w:val="bottom"/>
          </w:tcPr>
          <w:p>
            <w:pPr>
              <w:spacing w:after="0"/>
              <w:rPr>
                <w:sz w:val="15"/>
                <w:szCs w:val="15"/>
                <w:color w:val="auto"/>
              </w:rPr>
            </w:pPr>
          </w:p>
        </w:tc>
        <w:tc>
          <w:tcPr>
            <w:tcW w:w="2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3960" w:type="dxa"/>
            <w:vAlign w:val="bottom"/>
            <w:gridSpan w:val="38"/>
          </w:tcPr>
          <w:p>
            <w:pPr>
              <w:spacing w:after="0"/>
              <w:rPr>
                <w:sz w:val="20"/>
                <w:szCs w:val="20"/>
                <w:color w:val="auto"/>
              </w:rPr>
            </w:pPr>
            <w:r>
              <w:rPr>
                <w:rFonts w:ascii="Arial" w:cs="Arial" w:eastAsia="Arial" w:hAnsi="Arial"/>
                <w:sz w:val="18"/>
                <w:szCs w:val="18"/>
                <w:color w:val="0000EE"/>
              </w:rPr>
              <w:t>Consent of Independent Registered Public</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8"/>
              </w:rPr>
              <w:t>Accounting Firm</w:t>
            </w:r>
          </w:p>
        </w:tc>
        <w:tc>
          <w:tcPr>
            <w:tcW w:w="2080" w:type="dxa"/>
            <w:vAlign w:val="bottom"/>
            <w:tcBorders>
              <w:top w:val="single" w:sz="8" w:color="0000EE"/>
            </w:tcBorders>
            <w:gridSpan w:val="8"/>
          </w:tcPr>
          <w:p>
            <w:pPr>
              <w:spacing w:after="0"/>
              <w:rPr>
                <w:sz w:val="15"/>
                <w:szCs w:val="15"/>
                <w:color w:val="auto"/>
              </w:rPr>
            </w:pPr>
          </w:p>
        </w:tc>
        <w:tc>
          <w:tcPr>
            <w:tcW w:w="140" w:type="dxa"/>
            <w:vAlign w:val="bottom"/>
            <w:gridSpan w:val="4"/>
          </w:tcPr>
          <w:p>
            <w:pPr>
              <w:spacing w:after="0"/>
              <w:rPr>
                <w:sz w:val="15"/>
                <w:szCs w:val="15"/>
                <w:color w:val="auto"/>
              </w:rPr>
            </w:pPr>
          </w:p>
        </w:tc>
        <w:tc>
          <w:tcPr>
            <w:tcW w:w="2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3960" w:type="dxa"/>
            <w:vAlign w:val="bottom"/>
            <w:gridSpan w:val="38"/>
          </w:tcPr>
          <w:p>
            <w:pPr>
              <w:spacing w:after="0"/>
              <w:rPr>
                <w:sz w:val="20"/>
                <w:szCs w:val="20"/>
                <w:color w:val="auto"/>
              </w:rPr>
            </w:pPr>
            <w:r>
              <w:rPr>
                <w:rFonts w:ascii="Arial" w:cs="Arial" w:eastAsia="Arial" w:hAnsi="Arial"/>
                <w:sz w:val="18"/>
                <w:szCs w:val="18"/>
                <w:color w:val="0000EE"/>
              </w:rPr>
              <w:t>Certification of Chief Executive Officer pursuant</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tcBorders>
              <w:top w:val="single" w:sz="8" w:color="0000EE"/>
            </w:tcBorders>
            <w:gridSpan w:val="32"/>
          </w:tcPr>
          <w:p>
            <w:pPr>
              <w:spacing w:after="0" w:line="182" w:lineRule="exact"/>
              <w:rPr>
                <w:sz w:val="20"/>
                <w:szCs w:val="20"/>
                <w:color w:val="auto"/>
              </w:rPr>
            </w:pPr>
            <w:r>
              <w:rPr>
                <w:rFonts w:ascii="Arial" w:cs="Arial" w:eastAsia="Arial" w:hAnsi="Arial"/>
                <w:sz w:val="18"/>
                <w:szCs w:val="18"/>
                <w:color w:val="0000EE"/>
              </w:rPr>
              <w:t>to Rules 13a-14(a) and 15d-14(a) of the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38"/>
          </w:tcPr>
          <w:p>
            <w:pPr>
              <w:spacing w:after="0" w:line="182" w:lineRule="exact"/>
              <w:rPr>
                <w:sz w:val="20"/>
                <w:szCs w:val="20"/>
                <w:color w:val="auto"/>
              </w:rPr>
            </w:pPr>
            <w:r>
              <w:rPr>
                <w:rFonts w:ascii="Arial" w:cs="Arial" w:eastAsia="Arial" w:hAnsi="Arial"/>
                <w:sz w:val="18"/>
                <w:szCs w:val="18"/>
                <w:color w:val="0000EE"/>
              </w:rPr>
              <w:t>Securities Exchange Act of 1934, as amended,</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0000EE"/>
              </w:rPr>
              <w:t>as adopted pursuant to Section 302 of the</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1040" w:type="dxa"/>
            <w:vAlign w:val="bottom"/>
            <w:tcBorders>
              <w:top w:val="single" w:sz="8" w:color="0000EE"/>
            </w:tcBorders>
            <w:gridSpan w:val="4"/>
          </w:tcPr>
          <w:p>
            <w:pPr>
              <w:spacing w:after="0"/>
              <w:rPr>
                <w:sz w:val="15"/>
                <w:szCs w:val="15"/>
                <w:color w:val="auto"/>
              </w:rPr>
            </w:pPr>
          </w:p>
        </w:tc>
        <w:tc>
          <w:tcPr>
            <w:tcW w:w="180" w:type="dxa"/>
            <w:vAlign w:val="bottom"/>
            <w:gridSpan w:val="6"/>
          </w:tcPr>
          <w:p>
            <w:pPr>
              <w:spacing w:after="0"/>
              <w:rPr>
                <w:sz w:val="15"/>
                <w:szCs w:val="15"/>
                <w:color w:val="auto"/>
              </w:rPr>
            </w:pPr>
          </w:p>
        </w:tc>
        <w:tc>
          <w:tcPr>
            <w:tcW w:w="2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3960" w:type="dxa"/>
            <w:vAlign w:val="bottom"/>
            <w:gridSpan w:val="38"/>
          </w:tcPr>
          <w:p>
            <w:pPr>
              <w:spacing w:after="0"/>
              <w:rPr>
                <w:sz w:val="20"/>
                <w:szCs w:val="20"/>
                <w:color w:val="auto"/>
              </w:rPr>
            </w:pPr>
            <w:r>
              <w:rPr>
                <w:rFonts w:ascii="Arial" w:cs="Arial" w:eastAsia="Arial" w:hAnsi="Arial"/>
                <w:sz w:val="18"/>
                <w:szCs w:val="18"/>
                <w:color w:val="0000EE"/>
              </w:rPr>
              <w:t>Certification of Chief Financial Officer pursuant</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to Rules 13a-14(a) and 15d-14(a) of the</w:t>
            </w: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00" w:type="dxa"/>
            <w:vAlign w:val="bottom"/>
            <w:gridSpan w:val="8"/>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38"/>
          </w:tcPr>
          <w:p>
            <w:pPr>
              <w:spacing w:after="0" w:line="182" w:lineRule="exact"/>
              <w:rPr>
                <w:sz w:val="20"/>
                <w:szCs w:val="20"/>
                <w:color w:val="auto"/>
              </w:rPr>
            </w:pPr>
            <w:r>
              <w:rPr>
                <w:rFonts w:ascii="Arial" w:cs="Arial" w:eastAsia="Arial" w:hAnsi="Arial"/>
                <w:sz w:val="18"/>
                <w:szCs w:val="18"/>
                <w:color w:val="0000EE"/>
              </w:rPr>
              <w:t>Securities Exchange Act of 1934, as amended,</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0000EE"/>
              </w:rPr>
              <w:t>as adopted pursuant to Section 302 of the</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1040" w:type="dxa"/>
            <w:vAlign w:val="bottom"/>
            <w:tcBorders>
              <w:top w:val="single" w:sz="8" w:color="0000EE"/>
            </w:tcBorders>
            <w:gridSpan w:val="4"/>
          </w:tcPr>
          <w:p>
            <w:pPr>
              <w:spacing w:after="0"/>
              <w:rPr>
                <w:sz w:val="15"/>
                <w:szCs w:val="15"/>
                <w:color w:val="auto"/>
              </w:rPr>
            </w:pPr>
          </w:p>
        </w:tc>
        <w:tc>
          <w:tcPr>
            <w:tcW w:w="180" w:type="dxa"/>
            <w:vAlign w:val="bottom"/>
            <w:gridSpan w:val="6"/>
          </w:tcPr>
          <w:p>
            <w:pPr>
              <w:spacing w:after="0"/>
              <w:rPr>
                <w:sz w:val="15"/>
                <w:szCs w:val="15"/>
                <w:color w:val="auto"/>
              </w:rPr>
            </w:pPr>
          </w:p>
        </w:tc>
        <w:tc>
          <w:tcPr>
            <w:tcW w:w="220" w:type="dxa"/>
            <w:vAlign w:val="bottom"/>
            <w:gridSpan w:val="8"/>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3960" w:type="dxa"/>
            <w:vAlign w:val="bottom"/>
            <w:gridSpan w:val="38"/>
          </w:tcPr>
          <w:p>
            <w:pPr>
              <w:spacing w:after="0"/>
              <w:rPr>
                <w:sz w:val="20"/>
                <w:szCs w:val="20"/>
                <w:color w:val="auto"/>
              </w:rPr>
            </w:pPr>
            <w:r>
              <w:rPr>
                <w:rFonts w:ascii="Arial" w:cs="Arial" w:eastAsia="Arial" w:hAnsi="Arial"/>
                <w:sz w:val="18"/>
                <w:szCs w:val="18"/>
                <w:color w:val="0000EE"/>
              </w:rPr>
              <w:t>Certification of Chief Executive Officer pursuant</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tcBorders>
              <w:top w:val="single" w:sz="8" w:color="0000EE"/>
              <w:bottom w:val="single" w:sz="8" w:color="0000EE"/>
            </w:tcBorders>
            <w:gridSpan w:val="33"/>
          </w:tcPr>
          <w:p>
            <w:pPr>
              <w:spacing w:after="0" w:line="182" w:lineRule="exact"/>
              <w:rPr>
                <w:sz w:val="20"/>
                <w:szCs w:val="20"/>
                <w:color w:val="auto"/>
              </w:rPr>
            </w:pPr>
            <w:r>
              <w:rPr>
                <w:rFonts w:ascii="Arial" w:cs="Arial" w:eastAsia="Arial" w:hAnsi="Arial"/>
                <w:sz w:val="18"/>
                <w:szCs w:val="18"/>
                <w:color w:val="0000EE"/>
              </w:rPr>
              <w:t>to 18 U.S.C. Section 1350, as adopted pursuant</w:t>
            </w:r>
          </w:p>
        </w:tc>
        <w:tc>
          <w:tcPr>
            <w:tcW w:w="20" w:type="dxa"/>
            <w:vAlign w:val="bottom"/>
            <w:tcBorders>
              <w:bottom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80" w:type="dxa"/>
            <w:vAlign w:val="bottom"/>
            <w:gridSpan w:val="34"/>
          </w:tcPr>
          <w:p>
            <w:pPr>
              <w:spacing w:after="0" w:line="182" w:lineRule="exact"/>
              <w:rPr>
                <w:sz w:val="20"/>
                <w:szCs w:val="20"/>
                <w:color w:val="auto"/>
              </w:rPr>
            </w:pPr>
            <w:r>
              <w:rPr>
                <w:rFonts w:ascii="Arial" w:cs="Arial" w:eastAsia="Arial" w:hAnsi="Arial"/>
                <w:sz w:val="18"/>
                <w:szCs w:val="18"/>
                <w:color w:val="0000EE"/>
              </w:rPr>
              <w:t>to Section 906 of the Sarbanes-Oxley Act of</w:t>
            </w: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2002.</w:t>
            </w: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4"/>
                <w:szCs w:val="24"/>
                <w:color w:val="auto"/>
              </w:rPr>
            </w:pPr>
          </w:p>
        </w:tc>
        <w:tc>
          <w:tcPr>
            <w:tcW w:w="3960" w:type="dxa"/>
            <w:vAlign w:val="bottom"/>
            <w:gridSpan w:val="38"/>
          </w:tcPr>
          <w:p>
            <w:pPr>
              <w:spacing w:after="0"/>
              <w:rPr>
                <w:sz w:val="20"/>
                <w:szCs w:val="20"/>
                <w:color w:val="auto"/>
              </w:rPr>
            </w:pPr>
            <w:r>
              <w:rPr>
                <w:rFonts w:ascii="Arial" w:cs="Arial" w:eastAsia="Arial" w:hAnsi="Arial"/>
                <w:sz w:val="18"/>
                <w:szCs w:val="18"/>
                <w:color w:val="0000EE"/>
              </w:rPr>
              <w:t>Certification of Chief Financial Officer pursuant</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w w:val="97"/>
              </w:rPr>
              <w:t>to 18 U.S.C. Section 1350, as adopted pursuant</w:t>
            </w:r>
          </w:p>
        </w:tc>
        <w:tc>
          <w:tcPr>
            <w:tcW w:w="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80" w:type="dxa"/>
            <w:vAlign w:val="bottom"/>
            <w:tcBorders>
              <w:top w:val="single" w:sz="8" w:color="0000EE"/>
            </w:tcBorders>
            <w:gridSpan w:val="34"/>
          </w:tcPr>
          <w:p>
            <w:pPr>
              <w:spacing w:after="0" w:line="182" w:lineRule="exact"/>
              <w:rPr>
                <w:sz w:val="20"/>
                <w:szCs w:val="20"/>
                <w:color w:val="auto"/>
              </w:rPr>
            </w:pPr>
            <w:r>
              <w:rPr>
                <w:rFonts w:ascii="Arial" w:cs="Arial" w:eastAsia="Arial" w:hAnsi="Arial"/>
                <w:sz w:val="18"/>
                <w:szCs w:val="18"/>
                <w:color w:val="0000EE"/>
              </w:rPr>
              <w:t>to Section 906 of the Sarbanes-Oxley Act of</w:t>
            </w: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3"/>
              </w:rPr>
              <w:t>2002.</w:t>
            </w: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1"/>
        </w:trPr>
        <w:tc>
          <w:tcPr>
            <w:tcW w:w="1280" w:type="dxa"/>
            <w:vAlign w:val="bottom"/>
          </w:tcPr>
          <w:p>
            <w:pPr>
              <w:spacing w:after="0"/>
              <w:rPr>
                <w:sz w:val="24"/>
                <w:szCs w:val="24"/>
                <w:color w:val="auto"/>
              </w:rPr>
            </w:pPr>
          </w:p>
        </w:tc>
        <w:tc>
          <w:tcPr>
            <w:tcW w:w="3920" w:type="dxa"/>
            <w:vAlign w:val="bottom"/>
            <w:gridSpan w:val="35"/>
          </w:tcPr>
          <w:p>
            <w:pPr>
              <w:jc w:val="right"/>
              <w:ind w:right="8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center"/>
              <w:ind w:right="174"/>
              <w:spacing w:after="0"/>
              <w:rPr>
                <w:sz w:val="20"/>
                <w:szCs w:val="20"/>
                <w:color w:val="auto"/>
              </w:rPr>
            </w:pPr>
            <w:r>
              <w:rPr>
                <w:rFonts w:ascii="Arial" w:cs="Arial" w:eastAsia="Arial" w:hAnsi="Arial"/>
                <w:sz w:val="16"/>
                <w:szCs w:val="16"/>
                <w:color w:val="auto"/>
                <w:w w:val="96"/>
              </w:rPr>
              <w:t>S-1</w:t>
            </w:r>
          </w:p>
        </w:tc>
        <w:tc>
          <w:tcPr>
            <w:tcW w:w="1460" w:type="dxa"/>
            <w:vAlign w:val="bottom"/>
          </w:tcPr>
          <w:p>
            <w:pPr>
              <w:jc w:val="center"/>
              <w:spacing w:after="0"/>
              <w:rPr>
                <w:sz w:val="20"/>
                <w:szCs w:val="20"/>
                <w:color w:val="auto"/>
              </w:rPr>
            </w:pPr>
            <w:r>
              <w:rPr>
                <w:rFonts w:ascii="Arial" w:cs="Arial" w:eastAsia="Arial" w:hAnsi="Arial"/>
                <w:sz w:val="16"/>
                <w:szCs w:val="16"/>
                <w:color w:val="auto"/>
              </w:rPr>
              <w:t>July 27, 2020</w:t>
            </w:r>
          </w:p>
        </w:tc>
        <w:tc>
          <w:tcPr>
            <w:tcW w:w="700" w:type="dxa"/>
            <w:vAlign w:val="bottom"/>
          </w:tcPr>
          <w:p>
            <w:pPr>
              <w:jc w:val="center"/>
              <w:ind w:left="134"/>
              <w:spacing w:after="0"/>
              <w:rPr>
                <w:sz w:val="20"/>
                <w:szCs w:val="20"/>
                <w:color w:val="auto"/>
              </w:rPr>
            </w:pPr>
            <w:r>
              <w:rPr>
                <w:rFonts w:ascii="Arial" w:cs="Arial" w:eastAsia="Arial" w:hAnsi="Arial"/>
                <w:sz w:val="16"/>
                <w:szCs w:val="16"/>
                <w:color w:val="auto"/>
                <w:w w:val="99"/>
              </w:rPr>
              <w:t>10.13</w:t>
            </w:r>
          </w:p>
        </w:tc>
      </w:tr>
      <w:tr>
        <w:trPr>
          <w:trHeight w:val="1013"/>
        </w:trPr>
        <w:tc>
          <w:tcPr>
            <w:tcW w:w="660" w:type="dxa"/>
            <w:vAlign w:val="bottom"/>
          </w:tcPr>
          <w:p>
            <w:pPr>
              <w:jc w:val="center"/>
              <w:ind w:right="174"/>
              <w:spacing w:after="0"/>
              <w:rPr>
                <w:sz w:val="20"/>
                <w:szCs w:val="20"/>
                <w:color w:val="auto"/>
              </w:rPr>
            </w:pPr>
            <w:r>
              <w:rPr>
                <w:rFonts w:ascii="Arial" w:cs="Arial" w:eastAsia="Arial" w:hAnsi="Arial"/>
                <w:sz w:val="16"/>
                <w:szCs w:val="16"/>
                <w:color w:val="auto"/>
                <w:w w:val="96"/>
              </w:rPr>
              <w:t>S-1</w:t>
            </w:r>
          </w:p>
        </w:tc>
        <w:tc>
          <w:tcPr>
            <w:tcW w:w="1460" w:type="dxa"/>
            <w:vAlign w:val="bottom"/>
          </w:tcPr>
          <w:p>
            <w:pPr>
              <w:jc w:val="center"/>
              <w:spacing w:after="0"/>
              <w:rPr>
                <w:sz w:val="20"/>
                <w:szCs w:val="20"/>
                <w:color w:val="auto"/>
              </w:rPr>
            </w:pPr>
            <w:r>
              <w:rPr>
                <w:rFonts w:ascii="Arial" w:cs="Arial" w:eastAsia="Arial" w:hAnsi="Arial"/>
                <w:sz w:val="16"/>
                <w:szCs w:val="16"/>
                <w:color w:val="auto"/>
              </w:rPr>
              <w:t>July 27, 2020</w:t>
            </w:r>
          </w:p>
        </w:tc>
        <w:tc>
          <w:tcPr>
            <w:tcW w:w="700" w:type="dxa"/>
            <w:vAlign w:val="bottom"/>
          </w:tcPr>
          <w:p>
            <w:pPr>
              <w:jc w:val="center"/>
              <w:ind w:left="134"/>
              <w:spacing w:after="0"/>
              <w:rPr>
                <w:sz w:val="20"/>
                <w:szCs w:val="20"/>
                <w:color w:val="auto"/>
              </w:rPr>
            </w:pPr>
            <w:r>
              <w:rPr>
                <w:rFonts w:ascii="Arial" w:cs="Arial" w:eastAsia="Arial" w:hAnsi="Arial"/>
                <w:sz w:val="16"/>
                <w:szCs w:val="16"/>
                <w:color w:val="auto"/>
                <w:w w:val="99"/>
              </w:rPr>
              <w:t>10.14</w:t>
            </w:r>
          </w:p>
        </w:tc>
      </w:tr>
      <w:tr>
        <w:trPr>
          <w:trHeight w:val="810"/>
        </w:trPr>
        <w:tc>
          <w:tcPr>
            <w:tcW w:w="660" w:type="dxa"/>
            <w:vAlign w:val="bottom"/>
          </w:tcPr>
          <w:p>
            <w:pPr>
              <w:jc w:val="center"/>
              <w:ind w:right="174"/>
              <w:spacing w:after="0"/>
              <w:rPr>
                <w:sz w:val="20"/>
                <w:szCs w:val="20"/>
                <w:color w:val="auto"/>
              </w:rPr>
            </w:pPr>
            <w:r>
              <w:rPr>
                <w:rFonts w:ascii="Arial" w:cs="Arial" w:eastAsia="Arial" w:hAnsi="Arial"/>
                <w:sz w:val="16"/>
                <w:szCs w:val="16"/>
                <w:color w:val="auto"/>
                <w:w w:val="96"/>
              </w:rPr>
              <w:t>S-1</w:t>
            </w:r>
          </w:p>
        </w:tc>
        <w:tc>
          <w:tcPr>
            <w:tcW w:w="1460" w:type="dxa"/>
            <w:vAlign w:val="bottom"/>
          </w:tcPr>
          <w:p>
            <w:pPr>
              <w:jc w:val="center"/>
              <w:spacing w:after="0"/>
              <w:rPr>
                <w:sz w:val="20"/>
                <w:szCs w:val="20"/>
                <w:color w:val="auto"/>
              </w:rPr>
            </w:pPr>
            <w:r>
              <w:rPr>
                <w:rFonts w:ascii="Arial" w:cs="Arial" w:eastAsia="Arial" w:hAnsi="Arial"/>
                <w:sz w:val="16"/>
                <w:szCs w:val="16"/>
                <w:color w:val="auto"/>
              </w:rPr>
              <w:t>July 27, 2020</w:t>
            </w:r>
          </w:p>
        </w:tc>
        <w:tc>
          <w:tcPr>
            <w:tcW w:w="700" w:type="dxa"/>
            <w:vAlign w:val="bottom"/>
          </w:tcPr>
          <w:p>
            <w:pPr>
              <w:jc w:val="center"/>
              <w:ind w:left="134"/>
              <w:spacing w:after="0"/>
              <w:rPr>
                <w:sz w:val="20"/>
                <w:szCs w:val="20"/>
                <w:color w:val="auto"/>
              </w:rPr>
            </w:pPr>
            <w:r>
              <w:rPr>
                <w:rFonts w:ascii="Arial" w:cs="Arial" w:eastAsia="Arial" w:hAnsi="Arial"/>
                <w:sz w:val="16"/>
                <w:szCs w:val="16"/>
                <w:color w:val="auto"/>
                <w:w w:val="99"/>
              </w:rPr>
              <w:t>10.15</w:t>
            </w:r>
          </w:p>
        </w:tc>
      </w:tr>
      <w:tr>
        <w:trPr>
          <w:trHeight w:val="996"/>
        </w:trPr>
        <w:tc>
          <w:tcPr>
            <w:tcW w:w="660" w:type="dxa"/>
            <w:vAlign w:val="bottom"/>
          </w:tcPr>
          <w:p>
            <w:pPr>
              <w:jc w:val="center"/>
              <w:ind w:right="154"/>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March 25,</w:t>
            </w:r>
          </w:p>
        </w:tc>
        <w:tc>
          <w:tcPr>
            <w:tcW w:w="700" w:type="dxa"/>
            <w:vAlign w:val="bottom"/>
          </w:tcPr>
          <w:p>
            <w:pPr>
              <w:jc w:val="center"/>
              <w:ind w:left="154"/>
              <w:spacing w:after="0"/>
              <w:rPr>
                <w:sz w:val="20"/>
                <w:szCs w:val="20"/>
                <w:color w:val="auto"/>
              </w:rPr>
            </w:pPr>
            <w:r>
              <w:rPr>
                <w:rFonts w:ascii="Arial" w:cs="Arial" w:eastAsia="Arial" w:hAnsi="Arial"/>
                <w:sz w:val="18"/>
                <w:szCs w:val="18"/>
                <w:color w:val="auto"/>
              </w:rPr>
              <w:t>10.20</w:t>
            </w:r>
          </w:p>
        </w:tc>
      </w:tr>
      <w:tr>
        <w:trPr>
          <w:trHeight w:val="239"/>
        </w:trPr>
        <w:tc>
          <w:tcPr>
            <w:tcW w:w="6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20"/>
                <w:szCs w:val="20"/>
                <w:color w:val="auto"/>
              </w:rPr>
            </w:pPr>
          </w:p>
        </w:tc>
      </w:tr>
      <w:tr>
        <w:trPr>
          <w:trHeight w:val="571"/>
        </w:trPr>
        <w:tc>
          <w:tcPr>
            <w:tcW w:w="660" w:type="dxa"/>
            <w:vAlign w:val="bottom"/>
          </w:tcPr>
          <w:p>
            <w:pPr>
              <w:jc w:val="center"/>
              <w:ind w:right="174"/>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March 10,</w:t>
            </w:r>
          </w:p>
        </w:tc>
        <w:tc>
          <w:tcPr>
            <w:tcW w:w="700" w:type="dxa"/>
            <w:vAlign w:val="bottom"/>
          </w:tcPr>
          <w:p>
            <w:pPr>
              <w:jc w:val="center"/>
              <w:ind w:left="134"/>
              <w:spacing w:after="0"/>
              <w:rPr>
                <w:sz w:val="20"/>
                <w:szCs w:val="20"/>
                <w:color w:val="auto"/>
              </w:rPr>
            </w:pPr>
            <w:r>
              <w:rPr>
                <w:rFonts w:ascii="Arial" w:cs="Arial" w:eastAsia="Arial" w:hAnsi="Arial"/>
                <w:sz w:val="18"/>
                <w:szCs w:val="18"/>
                <w:color w:val="auto"/>
              </w:rPr>
              <w:t>10.1</w:t>
            </w:r>
          </w:p>
        </w:tc>
      </w:tr>
      <w:tr>
        <w:trPr>
          <w:trHeight w:val="239"/>
        </w:trPr>
        <w:tc>
          <w:tcPr>
            <w:tcW w:w="6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20"/>
                <w:szCs w:val="20"/>
                <w:color w:val="auto"/>
              </w:rPr>
            </w:pPr>
          </w:p>
        </w:tc>
      </w:tr>
      <w:tr>
        <w:trPr>
          <w:trHeight w:val="571"/>
        </w:trPr>
        <w:tc>
          <w:tcPr>
            <w:tcW w:w="660" w:type="dxa"/>
            <w:vAlign w:val="bottom"/>
          </w:tcPr>
          <w:p>
            <w:pPr>
              <w:jc w:val="center"/>
              <w:ind w:right="174"/>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March 15,</w:t>
            </w:r>
          </w:p>
        </w:tc>
        <w:tc>
          <w:tcPr>
            <w:tcW w:w="700" w:type="dxa"/>
            <w:vAlign w:val="bottom"/>
          </w:tcPr>
          <w:p>
            <w:pPr>
              <w:jc w:val="center"/>
              <w:ind w:left="134"/>
              <w:spacing w:after="0"/>
              <w:rPr>
                <w:sz w:val="20"/>
                <w:szCs w:val="20"/>
                <w:color w:val="auto"/>
              </w:rPr>
            </w:pPr>
            <w:r>
              <w:rPr>
                <w:rFonts w:ascii="Arial" w:cs="Arial" w:eastAsia="Arial" w:hAnsi="Arial"/>
                <w:sz w:val="18"/>
                <w:szCs w:val="18"/>
                <w:color w:val="auto"/>
              </w:rPr>
              <w:t>10.1</w:t>
            </w:r>
          </w:p>
        </w:tc>
      </w:tr>
      <w:tr>
        <w:trPr>
          <w:trHeight w:val="239"/>
        </w:trPr>
        <w:tc>
          <w:tcPr>
            <w:tcW w:w="6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20"/>
                <w:szCs w:val="20"/>
                <w:color w:val="auto"/>
              </w:rPr>
            </w:pPr>
          </w:p>
        </w:tc>
      </w:tr>
      <w:tr>
        <w:trPr>
          <w:trHeight w:val="571"/>
        </w:trPr>
        <w:tc>
          <w:tcPr>
            <w:tcW w:w="660" w:type="dxa"/>
            <w:vAlign w:val="bottom"/>
          </w:tcPr>
          <w:p>
            <w:pPr>
              <w:jc w:val="center"/>
              <w:ind w:right="174"/>
              <w:spacing w:after="0"/>
              <w:rPr>
                <w:sz w:val="20"/>
                <w:szCs w:val="20"/>
                <w:color w:val="auto"/>
              </w:rPr>
            </w:pPr>
            <w:r>
              <w:rPr>
                <w:rFonts w:ascii="Arial" w:cs="Arial" w:eastAsia="Arial" w:hAnsi="Arial"/>
                <w:sz w:val="18"/>
                <w:szCs w:val="18"/>
                <w:color w:val="auto"/>
                <w:w w:val="99"/>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August 10,</w:t>
            </w:r>
          </w:p>
        </w:tc>
        <w:tc>
          <w:tcPr>
            <w:tcW w:w="700" w:type="dxa"/>
            <w:vAlign w:val="bottom"/>
          </w:tcPr>
          <w:p>
            <w:pPr>
              <w:jc w:val="center"/>
              <w:ind w:left="134"/>
              <w:spacing w:after="0"/>
              <w:rPr>
                <w:sz w:val="20"/>
                <w:szCs w:val="20"/>
                <w:color w:val="auto"/>
              </w:rPr>
            </w:pPr>
            <w:r>
              <w:rPr>
                <w:rFonts w:ascii="Arial" w:cs="Arial" w:eastAsia="Arial" w:hAnsi="Arial"/>
                <w:sz w:val="18"/>
                <w:szCs w:val="18"/>
                <w:color w:val="auto"/>
              </w:rPr>
              <w:t>10.1</w:t>
            </w:r>
          </w:p>
        </w:tc>
      </w:tr>
      <w:tr>
        <w:trPr>
          <w:trHeight w:val="220"/>
        </w:trPr>
        <w:tc>
          <w:tcPr>
            <w:tcW w:w="6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19"/>
                <w:szCs w:val="19"/>
                <w:color w:val="auto"/>
              </w:rPr>
            </w:pPr>
          </w:p>
        </w:tc>
      </w:tr>
    </w:tbl>
    <w:p>
      <w:pPr>
        <w:jc w:val="right"/>
        <w:spacing w:after="0"/>
        <w:rPr>
          <w:sz w:val="20"/>
          <w:szCs w:val="20"/>
          <w:color w:val="auto"/>
        </w:rPr>
      </w:pPr>
      <w:r>
        <w:rPr>
          <w:rFonts w:ascii="Arial" w:cs="Arial" w:eastAsia="Arial" w:hAnsi="Arial"/>
          <w:sz w:val="18"/>
          <w:szCs w:val="18"/>
          <w:color w:val="auto"/>
        </w:rPr>
        <w:t>X</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180" w:space="500"/>
            <w:col w:w="3820"/>
          </w:cols>
          <w:pgMar w:left="980" w:top="648" w:right="14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20"/>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5960" w:type="dxa"/>
            <w:vAlign w:val="bottom"/>
          </w:tcPr>
          <w:p>
            <w:pPr>
              <w:ind w:left="40"/>
              <w:spacing w:after="0"/>
              <w:rPr>
                <w:sz w:val="20"/>
                <w:szCs w:val="20"/>
                <w:color w:val="auto"/>
              </w:rPr>
            </w:pPr>
            <w:r>
              <w:rPr>
                <w:rFonts w:ascii="Arial" w:cs="Arial" w:eastAsia="Arial" w:hAnsi="Arial"/>
                <w:sz w:val="18"/>
                <w:szCs w:val="18"/>
                <w:color w:val="auto"/>
              </w:rPr>
              <w:t>The following financial statements from the</w:t>
            </w:r>
          </w:p>
        </w:tc>
        <w:tc>
          <w:tcPr>
            <w:tcW w:w="2260" w:type="dxa"/>
            <w:vAlign w:val="bottom"/>
          </w:tcPr>
          <w:p>
            <w:pPr>
              <w:ind w:left="2140"/>
              <w:spacing w:after="0"/>
              <w:rPr>
                <w:sz w:val="20"/>
                <w:szCs w:val="20"/>
                <w:color w:val="auto"/>
              </w:rPr>
            </w:pPr>
            <w:r>
              <w:rPr>
                <w:rFonts w:ascii="Arial" w:cs="Arial" w:eastAsia="Arial" w:hAnsi="Arial"/>
                <w:sz w:val="18"/>
                <w:szCs w:val="18"/>
                <w:color w:val="auto"/>
                <w:w w:val="82"/>
              </w:rPr>
              <w:t>X</w:t>
            </w:r>
          </w:p>
        </w:tc>
      </w:tr>
      <w:tr>
        <w:trPr>
          <w:trHeight w:val="203"/>
        </w:trPr>
        <w:tc>
          <w:tcPr>
            <w:tcW w:w="1280" w:type="dxa"/>
            <w:vAlign w:val="bottom"/>
          </w:tcPr>
          <w:p>
            <w:pPr>
              <w:spacing w:after="0"/>
              <w:rPr>
                <w:sz w:val="17"/>
                <w:szCs w:val="17"/>
                <w:color w:val="auto"/>
              </w:rPr>
            </w:pP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Company’s Yearly Report on Form 10-K for the</w:t>
            </w:r>
          </w:p>
        </w:tc>
        <w:tc>
          <w:tcPr>
            <w:tcW w:w="22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fiscal year ended December 31, 2020 formatted</w:t>
            </w:r>
          </w:p>
        </w:tc>
        <w:tc>
          <w:tcPr>
            <w:tcW w:w="22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in Inline XBRL: (i) Balance Sheets, (ii)</w:t>
            </w:r>
          </w:p>
        </w:tc>
        <w:tc>
          <w:tcPr>
            <w:tcW w:w="22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Statements of Operations, (iii) Statements of</w:t>
            </w:r>
          </w:p>
        </w:tc>
        <w:tc>
          <w:tcPr>
            <w:tcW w:w="22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Convertible Preferred Stock and Stockholders’</w:t>
            </w:r>
          </w:p>
        </w:tc>
        <w:tc>
          <w:tcPr>
            <w:tcW w:w="22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Equity (Deficit) and (vi) Notes to Financial</w:t>
            </w:r>
          </w:p>
        </w:tc>
        <w:tc>
          <w:tcPr>
            <w:tcW w:w="22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Statements, tagged as blocks of text and</w:t>
            </w:r>
          </w:p>
        </w:tc>
        <w:tc>
          <w:tcPr>
            <w:tcW w:w="226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5960" w:type="dxa"/>
            <w:vAlign w:val="bottom"/>
          </w:tcPr>
          <w:p>
            <w:pPr>
              <w:ind w:left="40"/>
              <w:spacing w:after="0"/>
              <w:rPr>
                <w:sz w:val="20"/>
                <w:szCs w:val="20"/>
                <w:color w:val="auto"/>
              </w:rPr>
            </w:pPr>
            <w:r>
              <w:rPr>
                <w:rFonts w:ascii="Arial" w:cs="Arial" w:eastAsia="Arial" w:hAnsi="Arial"/>
                <w:sz w:val="18"/>
                <w:szCs w:val="18"/>
                <w:color w:val="auto"/>
              </w:rPr>
              <w:t>including detailed tags.</w:t>
            </w:r>
          </w:p>
        </w:tc>
        <w:tc>
          <w:tcPr>
            <w:tcW w:w="2260" w:type="dxa"/>
            <w:vAlign w:val="bottom"/>
          </w:tcPr>
          <w:p>
            <w:pPr>
              <w:spacing w:after="0"/>
              <w:rPr>
                <w:sz w:val="20"/>
                <w:szCs w:val="20"/>
                <w:color w:val="auto"/>
              </w:rPr>
            </w:pPr>
          </w:p>
        </w:tc>
      </w:tr>
      <w:tr>
        <w:trPr>
          <w:trHeight w:val="369"/>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5960" w:type="dxa"/>
            <w:vAlign w:val="bottom"/>
          </w:tcPr>
          <w:p>
            <w:pPr>
              <w:ind w:left="40"/>
              <w:spacing w:after="0"/>
              <w:rPr>
                <w:sz w:val="20"/>
                <w:szCs w:val="20"/>
                <w:color w:val="auto"/>
              </w:rPr>
            </w:pPr>
            <w:r>
              <w:rPr>
                <w:rFonts w:ascii="Arial" w:cs="Arial" w:eastAsia="Arial" w:hAnsi="Arial"/>
                <w:sz w:val="18"/>
                <w:szCs w:val="18"/>
                <w:color w:val="auto"/>
              </w:rPr>
              <w:t>Cover Page Interactive Data File (formatted as</w:t>
            </w:r>
          </w:p>
        </w:tc>
        <w:tc>
          <w:tcPr>
            <w:tcW w:w="2260" w:type="dxa"/>
            <w:vAlign w:val="bottom"/>
          </w:tcPr>
          <w:p>
            <w:pPr>
              <w:ind w:left="2140"/>
              <w:spacing w:after="0"/>
              <w:rPr>
                <w:sz w:val="20"/>
                <w:szCs w:val="20"/>
                <w:color w:val="auto"/>
              </w:rPr>
            </w:pPr>
            <w:r>
              <w:rPr>
                <w:rFonts w:ascii="Arial" w:cs="Arial" w:eastAsia="Arial" w:hAnsi="Arial"/>
                <w:sz w:val="18"/>
                <w:szCs w:val="18"/>
                <w:color w:val="auto"/>
                <w:w w:val="82"/>
              </w:rPr>
              <w:t>X</w:t>
            </w:r>
          </w:p>
        </w:tc>
      </w:tr>
      <w:tr>
        <w:trPr>
          <w:trHeight w:val="239"/>
        </w:trPr>
        <w:tc>
          <w:tcPr>
            <w:tcW w:w="1280" w:type="dxa"/>
            <w:vAlign w:val="bottom"/>
          </w:tcPr>
          <w:p>
            <w:pPr>
              <w:spacing w:after="0"/>
              <w:rPr>
                <w:sz w:val="20"/>
                <w:szCs w:val="20"/>
                <w:color w:val="auto"/>
              </w:rPr>
            </w:pPr>
          </w:p>
        </w:tc>
        <w:tc>
          <w:tcPr>
            <w:tcW w:w="5960" w:type="dxa"/>
            <w:vAlign w:val="bottom"/>
          </w:tcPr>
          <w:p>
            <w:pPr>
              <w:ind w:left="40"/>
              <w:spacing w:after="0"/>
              <w:rPr>
                <w:sz w:val="20"/>
                <w:szCs w:val="20"/>
                <w:color w:val="auto"/>
              </w:rPr>
            </w:pPr>
            <w:r>
              <w:rPr>
                <w:rFonts w:ascii="Arial" w:cs="Arial" w:eastAsia="Arial" w:hAnsi="Arial"/>
                <w:sz w:val="18"/>
                <w:szCs w:val="18"/>
                <w:color w:val="auto"/>
              </w:rPr>
              <w:t>Inline XBRL and contained in Exhibit 101)</w:t>
            </w:r>
          </w:p>
        </w:tc>
        <w:tc>
          <w:tcPr>
            <w:tcW w:w="2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1568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ind w:left="340" w:hanging="332"/>
        <w:spacing w:after="0" w:line="24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74" w:lineRule="exact"/>
        <w:rPr>
          <w:sz w:val="20"/>
          <w:szCs w:val="20"/>
          <w:color w:val="auto"/>
        </w:rPr>
      </w:pPr>
    </w:p>
    <w:p>
      <w:pPr>
        <w:ind w:left="380" w:right="360" w:hanging="372"/>
        <w:spacing w:after="0" w:line="271"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40"/>
          </w:cols>
          <w:pgMar w:left="980" w:top="648" w:right="12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12"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HARMONY BIOSCIENCES HOLDINGS, INC.</w:t>
      </w:r>
    </w:p>
    <w:p>
      <w:pPr>
        <w:spacing w:after="0" w:line="306"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8890</wp:posOffset>
            </wp:positionV>
            <wp:extent cx="29489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Jeffrey M. Dayno</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w:t>
      </w:r>
    </w:p>
    <w:p>
      <w:pPr>
        <w:ind w:left="5300"/>
        <w:spacing w:after="0"/>
        <w:rPr>
          <w:sz w:val="20"/>
          <w:szCs w:val="20"/>
          <w:color w:val="auto"/>
        </w:rPr>
      </w:pPr>
      <w:r>
        <w:rPr>
          <w:rFonts w:ascii="Arial" w:cs="Arial" w:eastAsia="Arial" w:hAnsi="Arial"/>
          <w:sz w:val="18"/>
          <w:szCs w:val="18"/>
          <w:color w:val="auto"/>
        </w:rPr>
        <w:t>Interim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21, 2023</w:t>
      </w:r>
    </w:p>
    <w:p>
      <w:pPr>
        <w:spacing w:after="0" w:line="212"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200" w:type="dxa"/>
            <w:vAlign w:val="bottom"/>
          </w:tcPr>
          <w:p>
            <w:pPr>
              <w:spacing w:after="0"/>
              <w:rPr>
                <w:sz w:val="19"/>
                <w:szCs w:val="19"/>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392"/>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Jeffrey M. Dayno</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Interim Chief Executive Officer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9"/>
        </w:trPr>
        <w:tc>
          <w:tcPr>
            <w:tcW w:w="2500" w:type="dxa"/>
            <w:vAlign w:val="bottom"/>
          </w:tcPr>
          <w:p>
            <w:pPr>
              <w:jc w:val="center"/>
              <w:spacing w:after="0"/>
              <w:rPr>
                <w:sz w:val="20"/>
                <w:szCs w:val="20"/>
                <w:color w:val="auto"/>
              </w:rPr>
            </w:pPr>
            <w:r>
              <w:rPr>
                <w:rFonts w:ascii="Arial" w:cs="Arial" w:eastAsia="Arial" w:hAnsi="Arial"/>
                <w:sz w:val="18"/>
                <w:szCs w:val="18"/>
                <w:color w:val="auto"/>
                <w:w w:val="98"/>
              </w:rPr>
              <w:t>Jeffrey M. Dayno</w:t>
            </w:r>
          </w:p>
        </w:tc>
        <w:tc>
          <w:tcPr>
            <w:tcW w:w="200" w:type="dxa"/>
            <w:vAlign w:val="bottom"/>
          </w:tcPr>
          <w:p>
            <w:pPr>
              <w:spacing w:after="0"/>
              <w:rPr>
                <w:sz w:val="20"/>
                <w:szCs w:val="20"/>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(Principal Executive Officer)</w:t>
            </w:r>
          </w:p>
        </w:tc>
        <w:tc>
          <w:tcPr>
            <w:tcW w:w="2480" w:type="dxa"/>
            <w:vAlign w:val="bottom"/>
          </w:tcPr>
          <w:p>
            <w:pPr>
              <w:spacing w:after="0"/>
              <w:rPr>
                <w:sz w:val="20"/>
                <w:szCs w:val="20"/>
                <w:color w:val="auto"/>
              </w:rPr>
            </w:pPr>
          </w:p>
        </w:tc>
      </w:tr>
      <w:tr>
        <w:trPr>
          <w:trHeight w:val="362"/>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Sandip Kapadia</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Chief Financial Officer (Principal</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9"/>
        </w:trPr>
        <w:tc>
          <w:tcPr>
            <w:tcW w:w="2500" w:type="dxa"/>
            <w:vAlign w:val="bottom"/>
          </w:tcPr>
          <w:p>
            <w:pPr>
              <w:jc w:val="center"/>
              <w:spacing w:after="0"/>
              <w:rPr>
                <w:sz w:val="20"/>
                <w:szCs w:val="20"/>
                <w:color w:val="auto"/>
              </w:rPr>
            </w:pPr>
            <w:r>
              <w:rPr>
                <w:rFonts w:ascii="Arial" w:cs="Arial" w:eastAsia="Arial" w:hAnsi="Arial"/>
                <w:sz w:val="18"/>
                <w:szCs w:val="18"/>
                <w:color w:val="auto"/>
                <w:w w:val="99"/>
              </w:rPr>
              <w:t>Sandip Kapadia</w:t>
            </w:r>
          </w:p>
        </w:tc>
        <w:tc>
          <w:tcPr>
            <w:tcW w:w="200" w:type="dxa"/>
            <w:vAlign w:val="bottom"/>
          </w:tcPr>
          <w:p>
            <w:pPr>
              <w:spacing w:after="0"/>
              <w:rPr>
                <w:sz w:val="20"/>
                <w:szCs w:val="20"/>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Financial Officer and Principal Accounting Officer)</w:t>
            </w: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Jeffrey S. Aronin</w:t>
            </w:r>
          </w:p>
        </w:tc>
        <w:tc>
          <w:tcPr>
            <w:tcW w:w="200" w:type="dxa"/>
            <w:vAlign w:val="bottom"/>
          </w:tcPr>
          <w:p>
            <w:pPr>
              <w:spacing w:after="0"/>
              <w:rPr>
                <w:sz w:val="24"/>
                <w:szCs w:val="24"/>
                <w:color w:val="auto"/>
              </w:rPr>
            </w:pPr>
          </w:p>
        </w:tc>
        <w:tc>
          <w:tcPr>
            <w:tcW w:w="47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Executive Chairman of the Board</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Jeffrey S. Aronin</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Antonio Gracias</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Antonio Gracias</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 Mark Graf</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8"/>
              </w:rPr>
              <w:t>R. Mark Graf</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Jack Bech Nielsen</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Jack Bech Nielsen</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Juan A. Sabater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Juan A. Sabater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Gary Sender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Gary Sender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Linda Szyper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Linda Szyper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Andreas Wicki</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21, 2023</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Andreas Wicki</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ind w:left="7580"/>
        <w:spacing w:after="0"/>
        <w:rPr>
          <w:sz w:val="20"/>
          <w:szCs w:val="20"/>
          <w:color w:val="auto"/>
        </w:rPr>
      </w:pPr>
      <w:r>
        <w:rPr>
          <w:rFonts w:ascii="Times New Roman" w:cs="Times New Roman" w:eastAsia="Times New Roman" w:hAnsi="Times New Roman"/>
          <w:sz w:val="20"/>
          <w:szCs w:val="20"/>
          <w:color w:val="auto"/>
        </w:rPr>
        <w:t>Exhibit 10.3</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TO THE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HARMONY BIOSCIENCES HOLDINGS, INC.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277" w:lineRule="exact"/>
        <w:rPr>
          <w:sz w:val="20"/>
          <w:szCs w:val="20"/>
          <w:color w:val="auto"/>
        </w:rPr>
      </w:pPr>
    </w:p>
    <w:p>
      <w:pPr>
        <w:jc w:val="both"/>
        <w:ind w:left="200" w:right="219" w:firstLine="441"/>
        <w:spacing w:after="0" w:line="272" w:lineRule="auto"/>
        <w:rPr>
          <w:sz w:val="20"/>
          <w:szCs w:val="20"/>
          <w:color w:val="auto"/>
        </w:rPr>
      </w:pPr>
      <w:r>
        <w:rPr>
          <w:rFonts w:ascii="Times New Roman" w:cs="Times New Roman" w:eastAsia="Times New Roman" w:hAnsi="Times New Roman"/>
          <w:sz w:val="20"/>
          <w:szCs w:val="20"/>
          <w:color w:val="auto"/>
        </w:rPr>
        <w:t>THIS AMENDMENT (the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to the Harmony Biosciences Holdings, Inc. 2020 Incentive Award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made and adopted by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Harmony Biosciences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effective as of March 24, 2022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All capitalized terms used but not otherwise defined herein shall have the respective meanings ascribed to such terms in the Plan (as defined below).</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maintains the Plan, as may be amended from time to time;</w:t>
      </w:r>
    </w:p>
    <w:p>
      <w:pPr>
        <w:spacing w:after="0" w:line="2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10.4 of the Plan, the Board may amend the Plan at any time; and</w:t>
      </w:r>
    </w:p>
    <w:p>
      <w:pPr>
        <w:spacing w:after="0" w:line="283"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believes it is in the best interests of the Company and its stockholders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among other things, amend the Plan as set forth herein.</w:t>
      </w:r>
    </w:p>
    <w:p>
      <w:pPr>
        <w:spacing w:after="0" w:line="206"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b w:val="1"/>
          <w:bCs w:val="1"/>
          <w:color w:val="auto"/>
        </w:rPr>
        <w:t>NOW THEREFORE, BE IT RESOLVED</w:t>
      </w:r>
      <w:r>
        <w:rPr>
          <w:rFonts w:ascii="Times New Roman" w:cs="Times New Roman" w:eastAsia="Times New Roman" w:hAnsi="Times New Roman"/>
          <w:sz w:val="20"/>
          <w:szCs w:val="20"/>
          <w:color w:val="auto"/>
        </w:rPr>
        <w:t>: that the Plan is hereby amended as follows,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Effective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w:t>
      </w:r>
    </w:p>
    <w:p>
      <w:pPr>
        <w:spacing w:after="0" w:line="287" w:lineRule="exact"/>
        <w:rPr>
          <w:sz w:val="20"/>
          <w:szCs w:val="20"/>
          <w:color w:val="auto"/>
        </w:rPr>
      </w:pPr>
    </w:p>
    <w:p>
      <w:pPr>
        <w:ind w:left="860" w:hanging="651"/>
        <w:spacing w:after="0"/>
        <w:tabs>
          <w:tab w:leader="none" w:pos="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4.5 of the Plan is hereby deleted and replaced in its entirety with the following:</w:t>
      </w:r>
    </w:p>
    <w:p>
      <w:pPr>
        <w:spacing w:after="0" w:line="270" w:lineRule="exact"/>
        <w:rPr>
          <w:sz w:val="20"/>
          <w:szCs w:val="20"/>
          <w:color w:val="auto"/>
        </w:rPr>
      </w:pPr>
    </w:p>
    <w:p>
      <w:pPr>
        <w:jc w:val="both"/>
        <w:ind w:left="1500" w:right="859"/>
        <w:spacing w:after="0" w:line="267" w:lineRule="auto"/>
        <w:rPr>
          <w:sz w:val="20"/>
          <w:szCs w:val="20"/>
          <w:color w:val="auto"/>
        </w:rPr>
      </w:pPr>
      <w:r>
        <w:rPr>
          <w:rFonts w:ascii="Times New Roman" w:cs="Times New Roman" w:eastAsia="Times New Roman" w:hAnsi="Times New Roman"/>
          <w:sz w:val="20"/>
          <w:szCs w:val="20"/>
          <w:color w:val="auto"/>
        </w:rPr>
        <w:t>“Notwithstanding any provision to the contrary in the Plan, the Administrator may establish compensation for non-employee Directors from time to time, subject to the limitations in the Plan.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Limit</w:t>
      </w:r>
      <w:r>
        <w:rPr>
          <w:rFonts w:ascii="Times New Roman" w:cs="Times New Roman" w:eastAsia="Times New Roman" w:hAnsi="Times New Roman"/>
          <w:sz w:val="20"/>
          <w:szCs w:val="20"/>
          <w:color w:val="auto"/>
        </w:rPr>
        <w:t>”). The Administrator may make exceptions to this limit for individual non-employee Directors in extraordinary circumstances, as the Administrator may determine in its discretion.”</w:t>
      </w:r>
    </w:p>
    <w:p>
      <w:pPr>
        <w:spacing w:after="0" w:line="224" w:lineRule="exact"/>
        <w:rPr>
          <w:sz w:val="20"/>
          <w:szCs w:val="20"/>
          <w:color w:val="auto"/>
        </w:rPr>
      </w:pPr>
    </w:p>
    <w:p>
      <w:pPr>
        <w:ind w:left="860" w:hanging="651"/>
        <w:spacing w:after="0"/>
        <w:tabs>
          <w:tab w:leader="none" w:pos="8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and is hereby incorporated into and forms a part of the Plan.</w:t>
      </w:r>
    </w:p>
    <w:p>
      <w:pPr>
        <w:spacing w:after="0" w:line="283"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all terms and conditions of the Plan shall remain in full force</w:t>
      </w:r>
    </w:p>
    <w:p>
      <w:pPr>
        <w:spacing w:after="0" w:line="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and effect.</w:t>
      </w:r>
    </w:p>
    <w:p>
      <w:pPr>
        <w:spacing w:after="0" w:line="27" w:lineRule="exact"/>
        <w:rPr>
          <w:sz w:val="20"/>
          <w:szCs w:val="20"/>
          <w:color w:val="auto"/>
        </w:rPr>
      </w:pPr>
    </w:p>
    <w:p>
      <w:pPr>
        <w:ind w:left="3160"/>
        <w:spacing w:after="0"/>
        <w:tabs>
          <w:tab w:leader="none" w:pos="3780" w:val="left"/>
          <w:tab w:leader="none" w:pos="4440" w:val="left"/>
          <w:tab w:leader="none" w:pos="5080" w:val="left"/>
          <w:tab w:leader="none" w:pos="57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24" w:name="page125"/>
    <w:bookmarkEnd w:id="124"/>
    <w:p>
      <w:pPr>
        <w:ind w:left="7480"/>
        <w:spacing w:after="0"/>
        <w:rPr>
          <w:sz w:val="20"/>
          <w:szCs w:val="20"/>
          <w:color w:val="auto"/>
        </w:rPr>
      </w:pPr>
      <w:r>
        <w:rPr>
          <w:rFonts w:ascii="Times New Roman" w:cs="Times New Roman" w:eastAsia="Times New Roman" w:hAnsi="Times New Roman"/>
          <w:sz w:val="20"/>
          <w:szCs w:val="20"/>
          <w:b w:val="1"/>
          <w:bCs w:val="1"/>
          <w:color w:val="auto"/>
        </w:rPr>
        <w:t>Exhibit 10.7.2</w:t>
      </w:r>
    </w:p>
    <w:p>
      <w:pPr>
        <w:spacing w:after="0" w:line="162" w:lineRule="exact"/>
        <w:rPr>
          <w:sz w:val="20"/>
          <w:szCs w:val="20"/>
          <w:color w:val="auto"/>
        </w:rPr>
      </w:pPr>
    </w:p>
    <w:p>
      <w:pPr>
        <w:jc w:val="center"/>
        <w:ind w:left="200" w:right="219"/>
        <w:spacing w:after="0" w:line="418" w:lineRule="auto"/>
        <w:rPr>
          <w:sz w:val="20"/>
          <w:szCs w:val="20"/>
          <w:color w:val="auto"/>
        </w:rPr>
      </w:pPr>
      <w:r>
        <w:rPr>
          <w:rFonts w:ascii="Times New Roman" w:cs="Times New Roman" w:eastAsia="Times New Roman" w:hAnsi="Times New Roman"/>
          <w:sz w:val="20"/>
          <w:szCs w:val="20"/>
          <w:b w:val="1"/>
          <w:bCs w:val="1"/>
          <w:color w:val="auto"/>
        </w:rPr>
        <w:t xml:space="preserve">HARMONY BIOSCIENCES HOLDINGS, INC. ACKNOWLEDGMENT AND RELEASE AGREEMENT </w:t>
      </w:r>
      <w:r>
        <w:rPr>
          <w:rFonts w:ascii="Times New Roman" w:cs="Times New Roman" w:eastAsia="Times New Roman" w:hAnsi="Times New Roman"/>
          <w:sz w:val="20"/>
          <w:szCs w:val="20"/>
          <w:color w:val="auto"/>
        </w:rPr>
        <w:t>January 20, 2023</w:t>
      </w: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John Jacobs</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[REDACTED]</w:t>
      </w: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Dear John,</w:t>
      </w:r>
    </w:p>
    <w:p>
      <w:pPr>
        <w:spacing w:after="0" w:line="144" w:lineRule="exact"/>
        <w:rPr>
          <w:sz w:val="20"/>
          <w:szCs w:val="20"/>
          <w:color w:val="auto"/>
        </w:rPr>
      </w:pPr>
    </w:p>
    <w:p>
      <w:pPr>
        <w:jc w:val="both"/>
        <w:ind w:left="200" w:right="219" w:firstLine="619"/>
        <w:spacing w:after="0" w:line="252" w:lineRule="auto"/>
        <w:rPr>
          <w:sz w:val="20"/>
          <w:szCs w:val="20"/>
          <w:color w:val="auto"/>
        </w:rPr>
      </w:pPr>
      <w:r>
        <w:rPr>
          <w:rFonts w:ascii="Times New Roman" w:cs="Times New Roman" w:eastAsia="Times New Roman" w:hAnsi="Times New Roman"/>
          <w:sz w:val="20"/>
          <w:szCs w:val="20"/>
          <w:color w:val="auto"/>
        </w:rPr>
        <w:t>As you know, Harmony Biosciences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previously granted to you the awards of stock options (the “</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hereto under and pursuant to the Company’s Amended and Restated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 applicable Option agreements between you and the Company evidencing your Options (each, an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You are receiving this Acknowledgment and Release Letter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because your employment with the Company will terminate on January 20, 2023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and the Company desires to clarify how your Options will be treated in connection with such termination.</w:t>
      </w:r>
    </w:p>
    <w:p>
      <w:pPr>
        <w:spacing w:after="0" w:line="1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Post-Termination Exercise Period</w:t>
      </w:r>
    </w:p>
    <w:p>
      <w:pPr>
        <w:spacing w:after="0" w:line="152"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Subject to your execution of this Agreement and to the terms and conditions set forth herein, notwithstanding anything to the contrary in the Plan or in any Option Agreement, the Vested Portion (as defined on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of your Options shall remain outstanding and exercisable until April 20, 2023 or, if earlier, until the expiration date set forth in the applicable Option Agreement (the “</w:t>
      </w:r>
      <w:r>
        <w:rPr>
          <w:rFonts w:ascii="Times New Roman" w:cs="Times New Roman" w:eastAsia="Times New Roman" w:hAnsi="Times New Roman"/>
          <w:sz w:val="20"/>
          <w:szCs w:val="20"/>
          <w:b w:val="1"/>
          <w:bCs w:val="1"/>
          <w:i w:val="1"/>
          <w:iCs w:val="1"/>
          <w:color w:val="auto"/>
        </w:rPr>
        <w:t>Option Amendment</w:t>
      </w:r>
      <w:r>
        <w:rPr>
          <w:rFonts w:ascii="Times New Roman" w:cs="Times New Roman" w:eastAsia="Times New Roman" w:hAnsi="Times New Roman"/>
          <w:sz w:val="20"/>
          <w:szCs w:val="20"/>
          <w:color w:val="auto"/>
        </w:rPr>
        <w:t>”). Each of your Option Agreements will be deemed amended to the extent necessary to reflect the Option Amendment.</w:t>
      </w:r>
    </w:p>
    <w:p>
      <w:pPr>
        <w:spacing w:after="0" w:line="1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Release of Claims</w:t>
      </w:r>
    </w:p>
    <w:p>
      <w:pPr>
        <w:spacing w:after="0" w:line="15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9"/>
          <w:szCs w:val="19"/>
          <w:color w:val="auto"/>
        </w:rPr>
        <w:t>Effective as of the date of your signature below, as a condition to receiving the Option Amendment, you, on behalf of yourself, and of your heirs, executors, administrators, successors, and assigns, hereby fully and forever release and discharge the Company and its current, former and future parents, subsidiaries, affiliated companies, related entities, employee benefit plans, and its fiduciaries, predecessors, successors, officers, directors, shareholders, agents, employees and assigns (collectively, the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from any and all claims, causes of action, and liabilities of any nature, whether known or unknown or fixed or contingent, up through the date of your execution of this Agreement, which you now have or may hereafter have against the Releasees, arising out of or that are connected with your employment with, or separation or termination from, the Company and/or its affiliates or subsidiaries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or under any other local, state, or federal law, regulation or ordinance; or under any public policy, contract or tort, or under common law; or arising under any employment policies, practices or procedures of the Company or any of its affiliates, subsidiaries or successors; or any claim for wrongful discharge, breach of contract, infliction of emotional distress, defamation; or any claim for costs, fees, or other expenses, including attorneys’ fees incurred in these matters); or any claim to receive a bonus pursuant to the Company’s 2022 annual bonus program (all of the foregoing collectively referred to herein as the “</w:t>
      </w:r>
      <w:r>
        <w:rPr>
          <w:rFonts w:ascii="Times New Roman" w:cs="Times New Roman" w:eastAsia="Times New Roman" w:hAnsi="Times New Roman"/>
          <w:sz w:val="19"/>
          <w:szCs w:val="19"/>
          <w:b w:val="1"/>
          <w:bCs w:val="1"/>
          <w:i w:val="1"/>
          <w:iCs w:val="1"/>
          <w:color w:val="auto"/>
        </w:rPr>
        <w:t>Claims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5" w:name="page126"/>
    <w:bookmarkEnd w:id="125"/>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This release and waiver applies to, and is intended to be a bar to, all causes of action that exist as of the date of this Agreement, whether known or unknown by you. You specifically acknowledge that you are aware of and familiar with the provisions of California Civil Code Section 1542 (or any other laws of similar effect, domestic or foreign) which provide as follows:</w:t>
      </w:r>
    </w:p>
    <w:p>
      <w:pPr>
        <w:spacing w:after="0" w:line="186"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 general release does not extend to claims that the creditor or releasing party does not know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or suspect to exist in his or her favor at the time of executing the release, and that if known to him or her, would have materially affected his or her settlement with the debtor or released party</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You acknowledge that you may later discover causes of action or facts in addition to or different from those which you now know or believe to exist with respect to the subject matter of this Agreement and which, if known or suspected at the time of executing this Agreement, may have materially affected its terms. Nevertheless, you hereby waive any causes of action that might arise as a result of such different or additional causes of action or facts.</w:t>
      </w:r>
    </w:p>
    <w:p>
      <w:pPr>
        <w:spacing w:after="0" w:line="178"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You, in consideration of the Option Amendment, agree and acknowledge that this Agreement constitutes a knowing and voluntary waiver and release of all Claims you have or may have against the Company and/or any of the Releasees as set forth herein, including, but not limited to, all Claims arising under the Older Worker’s Benefit Protection Act and the Age Discrimination in Employment Act. In accordance with the Older Worker’s Benefit Protection Act, you are hereby advised as follows:</w:t>
      </w:r>
    </w:p>
    <w:p>
      <w:pPr>
        <w:spacing w:after="0" w:line="200" w:lineRule="exact"/>
        <w:rPr>
          <w:sz w:val="20"/>
          <w:szCs w:val="20"/>
          <w:color w:val="auto"/>
        </w:rPr>
      </w:pPr>
    </w:p>
    <w:p>
      <w:pPr>
        <w:spacing w:after="0" w:line="316" w:lineRule="exact"/>
        <w:rPr>
          <w:sz w:val="20"/>
          <w:szCs w:val="20"/>
          <w:color w:val="auto"/>
        </w:rPr>
      </w:pPr>
    </w:p>
    <w:p>
      <w:pPr>
        <w:jc w:val="both"/>
        <w:ind w:left="1500" w:right="239" w:hanging="748"/>
        <w:spacing w:after="0" w:line="254" w:lineRule="auto"/>
        <w:tabs>
          <w:tab w:leader="none" w:pos="1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the terms of this Agreement, and understand its terms and effects, including the fact that you agreed to release and forever discharge the Company and each of the Releasees, from any Claims released in this release;</w:t>
      </w:r>
    </w:p>
    <w:p>
      <w:pPr>
        <w:spacing w:after="0" w:line="363" w:lineRule="exact"/>
        <w:rPr>
          <w:rFonts w:ascii="Times New Roman" w:cs="Times New Roman" w:eastAsia="Times New Roman" w:hAnsi="Times New Roman"/>
          <w:sz w:val="20"/>
          <w:szCs w:val="20"/>
          <w:color w:val="auto"/>
        </w:rPr>
      </w:pPr>
    </w:p>
    <w:p>
      <w:pPr>
        <w:jc w:val="both"/>
        <w:ind w:left="1500" w:right="219" w:hanging="803"/>
        <w:spacing w:after="0" w:line="254" w:lineRule="auto"/>
        <w:tabs>
          <w:tab w:leader="none" w:pos="1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by entering into this Agreement, you do not waive any Claims that may arise after the date of your execution of this Agreement, including without limitation any rights or claims that you may have to secure enforcement of the terms and conditions of this Agreement;</w:t>
      </w:r>
    </w:p>
    <w:p>
      <w:pPr>
        <w:spacing w:after="0" w:line="362" w:lineRule="exact"/>
        <w:rPr>
          <w:rFonts w:ascii="Times New Roman" w:cs="Times New Roman" w:eastAsia="Times New Roman" w:hAnsi="Times New Roman"/>
          <w:sz w:val="20"/>
          <w:szCs w:val="20"/>
          <w:color w:val="auto"/>
        </w:rPr>
      </w:pPr>
    </w:p>
    <w:p>
      <w:pPr>
        <w:jc w:val="both"/>
        <w:ind w:left="1500" w:right="219" w:hanging="858"/>
        <w:spacing w:after="0" w:line="258" w:lineRule="auto"/>
        <w:tabs>
          <w:tab w:leader="none" w:pos="1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signed this Agreement voluntarily and knowingly in exchange for the consideration described in this Agreement, which you acknowledge is adequate and satisfactory to you and which you acknowledge is in addition to any other benefits to which you are otherwise entitled;</w:t>
      </w:r>
    </w:p>
    <w:p>
      <w:pPr>
        <w:spacing w:after="0" w:line="361" w:lineRule="exact"/>
        <w:rPr>
          <w:rFonts w:ascii="Times New Roman" w:cs="Times New Roman" w:eastAsia="Times New Roman" w:hAnsi="Times New Roman"/>
          <w:sz w:val="20"/>
          <w:szCs w:val="20"/>
          <w:color w:val="auto"/>
        </w:rPr>
      </w:pPr>
    </w:p>
    <w:p>
      <w:pPr>
        <w:ind w:left="1500" w:hanging="834"/>
        <w:spacing w:after="0"/>
        <w:tabs>
          <w:tab w:leader="none" w:pos="1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advises you to consult with an attorney prior to executing this Agreement;</w:t>
      </w:r>
    </w:p>
    <w:p>
      <w:pPr>
        <w:spacing w:after="0" w:line="391" w:lineRule="exact"/>
        <w:rPr>
          <w:rFonts w:ascii="Times New Roman" w:cs="Times New Roman" w:eastAsia="Times New Roman" w:hAnsi="Times New Roman"/>
          <w:sz w:val="20"/>
          <w:szCs w:val="20"/>
          <w:color w:val="auto"/>
        </w:rPr>
      </w:pPr>
    </w:p>
    <w:p>
      <w:pPr>
        <w:jc w:val="both"/>
        <w:ind w:left="1500" w:right="219" w:hanging="779"/>
        <w:spacing w:after="0" w:line="270" w:lineRule="auto"/>
        <w:tabs>
          <w:tab w:leader="none" w:pos="15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have been given at least 21 days in which to review and consider this Agreement. To the extent that you choose to sign this Agreement prior to the expiration of such period, you acknowledge that you have done so voluntarily, had sufficient time to consider the Agreement (including the release contained herein) and to consult with counsel and that you do not desire additional time and hereby waive the remainder of the 21-day period; and</w:t>
      </w:r>
    </w:p>
    <w:p>
      <w:pPr>
        <w:spacing w:after="0" w:line="350" w:lineRule="exact"/>
        <w:rPr>
          <w:rFonts w:ascii="Times New Roman" w:cs="Times New Roman" w:eastAsia="Times New Roman" w:hAnsi="Times New Roman"/>
          <w:sz w:val="19"/>
          <w:szCs w:val="19"/>
          <w:color w:val="auto"/>
        </w:rPr>
      </w:pPr>
    </w:p>
    <w:p>
      <w:pPr>
        <w:jc w:val="both"/>
        <w:ind w:left="1500" w:right="219" w:hanging="847"/>
        <w:spacing w:after="0" w:line="254" w:lineRule="auto"/>
        <w:tabs>
          <w:tab w:leader="none" w:pos="1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revoke this release within seven days from the date you sign this Agreement and this Agreement will become effective upon the expiration of that revocation period. If you revoke this release during such seven-day period, this Agreement will be null and void and of no force or effect on either the Company or you, and you will not be entitled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6" w:name="page127"/>
    <w:bookmarkEnd w:id="126"/>
    <w:p>
      <w:pPr>
        <w:jc w:val="both"/>
        <w:ind w:left="1500" w:right="219"/>
        <w:spacing w:after="0" w:line="260" w:lineRule="auto"/>
        <w:rPr>
          <w:sz w:val="20"/>
          <w:szCs w:val="20"/>
          <w:color w:val="auto"/>
        </w:rPr>
      </w:pPr>
      <w:r>
        <w:rPr>
          <w:rFonts w:ascii="Times New Roman" w:cs="Times New Roman" w:eastAsia="Times New Roman" w:hAnsi="Times New Roman"/>
          <w:sz w:val="20"/>
          <w:szCs w:val="20"/>
          <w:color w:val="auto"/>
        </w:rPr>
        <w:t>Option Amendment. Any revocation must be in writing and sent to Audrey Murphy via electronic mail at amurphy@harmonybiosciencs.com, on or before 11:59 p.m. Eastern time on the seventh day after this Agreement is executed by you.</w:t>
      </w: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Unreleased Claims</w:t>
      </w:r>
    </w:p>
    <w:p>
      <w:pPr>
        <w:spacing w:after="0" w:line="233" w:lineRule="exact"/>
        <w:rPr>
          <w:sz w:val="20"/>
          <w:szCs w:val="20"/>
          <w:color w:val="auto"/>
        </w:rPr>
      </w:pPr>
    </w:p>
    <w:p>
      <w:pPr>
        <w:jc w:val="both"/>
        <w:ind w:left="200" w:right="219" w:firstLine="711"/>
        <w:spacing w:after="0" w:line="247" w:lineRule="auto"/>
        <w:rPr>
          <w:sz w:val="20"/>
          <w:szCs w:val="20"/>
          <w:color w:val="auto"/>
        </w:rPr>
      </w:pPr>
      <w:r>
        <w:rPr>
          <w:rFonts w:ascii="Times New Roman" w:cs="Times New Roman" w:eastAsia="Times New Roman" w:hAnsi="Times New Roman"/>
          <w:sz w:val="20"/>
          <w:szCs w:val="20"/>
          <w:color w:val="auto"/>
        </w:rPr>
        <w:t>You and the Company agree that this Agreement does not release claims or rights that cannot be released as a matter of law, including but not limited to: (i) Claims for the payment of earned but unpaid base salary through the Termination Date; (ii) Claims for the payment of any other vested or accrued amounts to which you are entitled under the express terms of any applicable employee benefit plan or program; (iii) Claims solely in your capacity as an equity holder of the Company; (iv) arising under any indemnification agreement between you and the Company or under the bylaws, certificate of incorporation or other similar governing document of the Company; (v) any Claim that may not be waived as a matter of law; and (vi) your right to communicate with, cooperate with, or provide information to or making other disclosures (that are protected under the whistleblower provisions of applicable law or regulation) to any federal, state or local government regulator, including but not limited to, the Equal Employment Opportunity Commission, California Department of Fair Employment, Securities and Exchange Commission, Commodity Futures Trading Commission, and the Department of Justice. Nothing in this Agreement precludes you from entitlement to any monetary recovery awarded by the U.S. Securities and Exchange Commission or any similar federal, state or local agency in connection with any action asserted by such commission or agency.</w:t>
      </w:r>
    </w:p>
    <w:p>
      <w:pPr>
        <w:spacing w:after="0" w:line="189"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0"/>
          <w:szCs w:val="20"/>
          <w:color w:val="auto"/>
        </w:rPr>
        <w:t>Notwithstanding anything in this Agreement to the contrary, nothing contained in this Agreement shall prohibit you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your attorney or in a sealed complaint or other document filed in a lawsuit or other governmental proceeding. Pursuant to 18 USC Section 1833(b), you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Miscellaneous</w:t>
      </w:r>
    </w:p>
    <w:p>
      <w:pPr>
        <w:spacing w:after="0" w:line="22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You represent and warrant that there has been no assignment or other transfer of any interest in any Claim which you may have against the Releasees, or any of them, and you agree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you under this indemnity.</w:t>
      </w:r>
    </w:p>
    <w:p>
      <w:pPr>
        <w:spacing w:after="0" w:line="17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You agree that if you hereafter commence any suit arising out of, based upon, or relating to any of the Claims released hereunder or in any manner asserts against Releasees, or any of them, any of the Claims released hereunder, then you agree to pay to Releasees, and each of them, in addition to any other damages caused to Releasees thereby, all attorneys’ fees incurred by Releasees in defending or otherwise responding to said suit or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7" w:name="page128"/>
    <w:bookmarkEnd w:id="127"/>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You further understand and agree that neither the payment of any sum of money nor the execution of this Agreement shall constitute or be construed as an admission of any liability whatsoever by the Releasees, or any of them, who have consistently taken the position that they have no liability whatsoever to you.</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Entire Understanding</w:t>
      </w:r>
    </w:p>
    <w:p>
      <w:pPr>
        <w:spacing w:after="0" w:line="220"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0"/>
          <w:szCs w:val="20"/>
          <w:color w:val="auto"/>
        </w:rPr>
        <w:t>This Agreement contains the Company’s and your entire understanding regarding the Option Amendment and supersedes any and all prior understandings, representations and agreements (whether written or oral) regarding the subject matter of this Agreement. Once effective and enforceable, this Agreement can only be changed by another written agreement signed by you and an authorized representative of the Company. Should any provision of this Agreement be determined by an arbitrator, court of competent jurisdiction, or government agency to be wholly or partially invalid or unenforceable, the legality, validity and enforceability of the remaining parts, terms, or provisions are intended to remain in full force and effect. This Agreement will be construed in accordance with, and governed in all respects by, the internal laws of the State of Delaware (without giving effect to principles of conflicts of laws). This Agreement may be executed in counterparts and by .pdf, facsimile or other electronic means and, when so executed, will have the same force and effect as an original, and constitute a binding agreement on each of the parties hereto.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368300</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8" w:name="page129"/>
    <w:bookmarkEnd w:id="128"/>
    <w:p>
      <w:pPr>
        <w:jc w:val="both"/>
        <w:ind w:left="200" w:right="239" w:firstLine="648"/>
        <w:spacing w:after="0" w:line="260" w:lineRule="auto"/>
        <w:rPr>
          <w:sz w:val="20"/>
          <w:szCs w:val="20"/>
          <w:color w:val="auto"/>
        </w:rPr>
      </w:pPr>
      <w:r>
        <w:rPr>
          <w:rFonts w:ascii="Times New Roman" w:cs="Times New Roman" w:eastAsia="Times New Roman" w:hAnsi="Times New Roman"/>
          <w:sz w:val="20"/>
          <w:szCs w:val="20"/>
          <w:color w:val="auto"/>
        </w:rPr>
        <w:t>Please indicate your acknowledgement of, and agreement to, the terms and conditions set forth in this Agreement by signing and dating this Agreement in the space provided below and returning the signed Agreement to Audrey Murphy.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HARMONY BIOSCIENCES HOLDINGS, INC.</w:t>
      </w:r>
    </w:p>
    <w:p>
      <w:pPr>
        <w:spacing w:after="0" w:line="200" w:lineRule="exact"/>
        <w:rPr>
          <w:sz w:val="20"/>
          <w:szCs w:val="20"/>
          <w:color w:val="auto"/>
        </w:rPr>
      </w:pPr>
    </w:p>
    <w:p>
      <w:pPr>
        <w:spacing w:after="0" w:line="357"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0"/>
          <w:szCs w:val="20"/>
          <w:color w:val="auto"/>
        </w:rPr>
        <w:t>By: ​</w:t>
      </w:r>
      <w:r>
        <w:rPr>
          <w:sz w:val="20"/>
          <w:szCs w:val="20"/>
          <w:color w:val="auto"/>
        </w:rPr>
        <w:tab/>
      </w:r>
      <w:r>
        <w:rPr>
          <w:rFonts w:ascii="Times New Roman" w:cs="Times New Roman" w:eastAsia="Times New Roman" w:hAnsi="Times New Roman"/>
          <w:sz w:val="19"/>
          <w:szCs w:val="19"/>
          <w:u w:val="single" w:color="auto"/>
          <w:color w:val="auto"/>
        </w:rPr>
        <w:t>/s/ Audrey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-10795</wp:posOffset>
            </wp:positionV>
            <wp:extent cx="1670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16700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-10795</wp:posOffset>
            </wp:positionV>
            <wp:extent cx="2933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1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Audrey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-10795</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-10795</wp:posOffset>
            </wp:positionV>
            <wp:extent cx="8159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128"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u w:val="single" w:color="auto"/>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-10795</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ACKNOWLEDGED AND AGREED:</w:t>
      </w: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By: /s/ John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-10795</wp:posOffset>
            </wp:positionV>
            <wp:extent cx="10864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1086485" cy="8890"/>
                    </a:xfrm>
                    <a:prstGeom prst="rect">
                      <a:avLst/>
                    </a:prstGeom>
                    <a:noFill/>
                  </pic:spPr>
                </pic:pic>
              </a:graphicData>
            </a:graphic>
          </wp:anchor>
        </w:drawing>
      </w:r>
    </w:p>
    <w:p>
      <w:pPr>
        <w:spacing w:after="0" w:line="1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Print Name: </w:t>
      </w:r>
      <w:r>
        <w:rPr>
          <w:rFonts w:ascii="Times New Roman" w:cs="Times New Roman" w:eastAsia="Times New Roman" w:hAnsi="Times New Roman"/>
          <w:sz w:val="20"/>
          <w:szCs w:val="20"/>
          <w:u w:val="single" w:color="auto"/>
          <w:color w:val="auto"/>
        </w:rPr>
        <w:t>John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-10795</wp:posOffset>
            </wp:positionV>
            <wp:extent cx="12357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1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 January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1111250</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-10795</wp:posOffset>
            </wp:positionV>
            <wp:extent cx="133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1330325"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Options</w:t>
      </w:r>
    </w:p>
    <w:p>
      <w:pPr>
        <w:spacing w:after="0" w:line="249" w:lineRule="exact"/>
        <w:rPr>
          <w:sz w:val="20"/>
          <w:szCs w:val="20"/>
          <w:color w:val="auto"/>
        </w:rPr>
      </w:pPr>
    </w:p>
    <w:tbl>
      <w:tblPr>
        <w:tblLayout w:type="fixed"/>
        <w:tblInd w:w="130" w:type="dxa"/>
        <w:tblCellMar>
          <w:top w:w="0" w:type="dxa"/>
          <w:left w:w="0" w:type="dxa"/>
          <w:bottom w:w="0" w:type="dxa"/>
          <w:right w:w="0" w:type="dxa"/>
        </w:tblCellMar>
      </w:tblPr>
      <w:tr>
        <w:trPr>
          <w:trHeight w:val="311"/>
        </w:trPr>
        <w:tc>
          <w:tcPr>
            <w:tcW w:w="1140" w:type="dxa"/>
            <w:vAlign w:val="bottom"/>
            <w:tcBorders>
              <w:top w:val="single" w:sz="8" w:color="auto"/>
              <w:left w:val="single" w:sz="8" w:color="auto"/>
              <w:right w:val="single" w:sz="8" w:color="auto"/>
            </w:tcBorders>
            <w:shd w:val="clear" w:color="auto" w:fill="D0CECE"/>
          </w:tcPr>
          <w:p>
            <w:pPr>
              <w:spacing w:after="0"/>
              <w:rPr>
                <w:sz w:val="24"/>
                <w:szCs w:val="24"/>
                <w:color w:val="auto"/>
              </w:rPr>
            </w:pPr>
          </w:p>
        </w:tc>
        <w:tc>
          <w:tcPr>
            <w:tcW w:w="720" w:type="dxa"/>
            <w:vAlign w:val="bottom"/>
            <w:tcBorders>
              <w:top w:val="single" w:sz="8" w:color="auto"/>
              <w:right w:val="single" w:sz="8" w:color="auto"/>
            </w:tcBorders>
            <w:shd w:val="clear" w:color="auto" w:fill="D0CECE"/>
          </w:tcPr>
          <w:p>
            <w:pPr>
              <w:spacing w:after="0"/>
              <w:rPr>
                <w:sz w:val="24"/>
                <w:szCs w:val="24"/>
                <w:color w:val="auto"/>
              </w:rPr>
            </w:pPr>
          </w:p>
        </w:tc>
        <w:tc>
          <w:tcPr>
            <w:tcW w:w="1660" w:type="dxa"/>
            <w:vAlign w:val="bottom"/>
            <w:tcBorders>
              <w:top w:val="single" w:sz="8" w:color="auto"/>
              <w:right w:val="single" w:sz="8" w:color="auto"/>
            </w:tcBorders>
            <w:shd w:val="clear" w:color="auto" w:fill="D0CECE"/>
          </w:tcPr>
          <w:p>
            <w:pPr>
              <w:spacing w:after="0"/>
              <w:rPr>
                <w:sz w:val="24"/>
                <w:szCs w:val="24"/>
                <w:color w:val="auto"/>
              </w:rPr>
            </w:pPr>
          </w:p>
        </w:tc>
        <w:tc>
          <w:tcPr>
            <w:tcW w:w="1660" w:type="dxa"/>
            <w:vAlign w:val="bottom"/>
            <w:tcBorders>
              <w:top w:val="single" w:sz="8" w:color="auto"/>
              <w:right w:val="single" w:sz="8" w:color="auto"/>
            </w:tcBorders>
            <w:shd w:val="clear" w:color="auto" w:fill="D0CECE"/>
          </w:tcPr>
          <w:p>
            <w:pPr>
              <w:spacing w:after="0"/>
              <w:rPr>
                <w:sz w:val="24"/>
                <w:szCs w:val="24"/>
                <w:color w:val="auto"/>
              </w:rPr>
            </w:pPr>
          </w:p>
        </w:tc>
        <w:tc>
          <w:tcPr>
            <w:tcW w:w="1660" w:type="dxa"/>
            <w:vAlign w:val="bottom"/>
            <w:tcBorders>
              <w:top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920" w:type="dxa"/>
            <w:vAlign w:val="bottom"/>
            <w:tcBorders>
              <w:top w:val="single" w:sz="8" w:color="auto"/>
              <w:right w:val="single" w:sz="8" w:color="auto"/>
            </w:tcBorders>
            <w:shd w:val="clear" w:color="auto" w:fill="D0CEC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40" w:type="dxa"/>
            <w:vAlign w:val="bottom"/>
            <w:tcBorders>
              <w:left w:val="single" w:sz="8" w:color="auto"/>
              <w:right w:val="single" w:sz="8" w:color="auto"/>
            </w:tcBorders>
            <w:shd w:val="clear" w:color="auto" w:fill="D0CECE"/>
          </w:tcPr>
          <w:p>
            <w:pPr>
              <w:spacing w:after="0"/>
              <w:rPr>
                <w:sz w:val="21"/>
                <w:szCs w:val="21"/>
                <w:color w:val="auto"/>
              </w:rPr>
            </w:pPr>
          </w:p>
        </w:tc>
        <w:tc>
          <w:tcPr>
            <w:tcW w:w="720" w:type="dxa"/>
            <w:vAlign w:val="bottom"/>
            <w:tcBorders>
              <w:right w:val="single" w:sz="8" w:color="auto"/>
            </w:tcBorders>
            <w:shd w:val="clear" w:color="auto" w:fill="D0CECE"/>
          </w:tcPr>
          <w:p>
            <w:pPr>
              <w:spacing w:after="0"/>
              <w:rPr>
                <w:sz w:val="21"/>
                <w:szCs w:val="21"/>
                <w:color w:val="auto"/>
              </w:rPr>
            </w:pPr>
          </w:p>
        </w:tc>
        <w:tc>
          <w:tcPr>
            <w:tcW w:w="1660" w:type="dxa"/>
            <w:vAlign w:val="bottom"/>
            <w:tcBorders>
              <w:right w:val="single" w:sz="8" w:color="auto"/>
            </w:tcBorders>
            <w:shd w:val="clear" w:color="auto" w:fill="D0CECE"/>
          </w:tcPr>
          <w:p>
            <w:pPr>
              <w:spacing w:after="0"/>
              <w:rPr>
                <w:sz w:val="21"/>
                <w:szCs w:val="21"/>
                <w:color w:val="auto"/>
              </w:rPr>
            </w:pPr>
          </w:p>
        </w:tc>
        <w:tc>
          <w:tcPr>
            <w:tcW w:w="16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Number of Vested</w:t>
            </w:r>
          </w:p>
        </w:tc>
        <w:tc>
          <w:tcPr>
            <w:tcW w:w="166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Unvested Shares</w:t>
            </w:r>
          </w:p>
        </w:tc>
        <w:tc>
          <w:tcPr>
            <w:tcW w:w="1920" w:type="dxa"/>
            <w:vAlign w:val="bottom"/>
            <w:tcBorders>
              <w:right w:val="single" w:sz="8" w:color="auto"/>
            </w:tcBorders>
            <w:shd w:val="clear" w:color="auto" w:fill="D0CECE"/>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shd w:val="clear" w:color="auto" w:fill="D0CECE"/>
          </w:tcPr>
          <w:p>
            <w:pPr>
              <w:spacing w:after="0"/>
              <w:rPr>
                <w:sz w:val="12"/>
                <w:szCs w:val="12"/>
                <w:color w:val="auto"/>
              </w:rPr>
            </w:pPr>
          </w:p>
        </w:tc>
        <w:tc>
          <w:tcPr>
            <w:tcW w:w="720" w:type="dxa"/>
            <w:vAlign w:val="bottom"/>
            <w:tcBorders>
              <w:right w:val="single" w:sz="8" w:color="auto"/>
            </w:tcBorders>
            <w:shd w:val="clear" w:color="auto" w:fill="D0CECE"/>
          </w:tcPr>
          <w:p>
            <w:pPr>
              <w:spacing w:after="0"/>
              <w:rPr>
                <w:sz w:val="12"/>
                <w:szCs w:val="12"/>
                <w:color w:val="auto"/>
              </w:rPr>
            </w:pPr>
          </w:p>
        </w:tc>
        <w:tc>
          <w:tcPr>
            <w:tcW w:w="1660" w:type="dxa"/>
            <w:vAlign w:val="bottom"/>
            <w:tcBorders>
              <w:right w:val="single" w:sz="8" w:color="auto"/>
            </w:tcBorders>
            <w:shd w:val="clear" w:color="auto" w:fill="D0CECE"/>
          </w:tcPr>
          <w:p>
            <w:pPr>
              <w:spacing w:after="0"/>
              <w:rPr>
                <w:sz w:val="12"/>
                <w:szCs w:val="12"/>
                <w:color w:val="auto"/>
              </w:rPr>
            </w:pPr>
          </w:p>
        </w:tc>
        <w:tc>
          <w:tcPr>
            <w:tcW w:w="1660" w:type="dxa"/>
            <w:vAlign w:val="bottom"/>
            <w:tcBorders>
              <w:right w:val="single" w:sz="8" w:color="auto"/>
            </w:tcBorders>
            <w:vMerge w:val="continue"/>
            <w:shd w:val="clear" w:color="auto" w:fill="D0CECE"/>
          </w:tcPr>
          <w:p>
            <w:pPr>
              <w:spacing w:after="0"/>
              <w:rPr>
                <w:sz w:val="12"/>
                <w:szCs w:val="12"/>
                <w:color w:val="auto"/>
              </w:rPr>
            </w:pPr>
          </w:p>
        </w:tc>
        <w:tc>
          <w:tcPr>
            <w:tcW w:w="16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of Common</w:t>
            </w:r>
          </w:p>
        </w:tc>
        <w:tc>
          <w:tcPr>
            <w:tcW w:w="1920" w:type="dxa"/>
            <w:vAlign w:val="bottom"/>
            <w:tcBorders>
              <w:right w:val="single" w:sz="8" w:color="auto"/>
            </w:tcBorders>
            <w:shd w:val="clear" w:color="auto" w:fill="D0CEC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right w:val="single" w:sz="8" w:color="auto"/>
            </w:tcBorders>
            <w:shd w:val="clear" w:color="auto" w:fill="D0CECE"/>
          </w:tcPr>
          <w:p>
            <w:pPr>
              <w:spacing w:after="0"/>
              <w:rPr>
                <w:sz w:val="9"/>
                <w:szCs w:val="9"/>
                <w:color w:val="auto"/>
              </w:rPr>
            </w:pPr>
          </w:p>
        </w:tc>
        <w:tc>
          <w:tcPr>
            <w:tcW w:w="720" w:type="dxa"/>
            <w:vAlign w:val="bottom"/>
            <w:tcBorders>
              <w:right w:val="single" w:sz="8" w:color="auto"/>
            </w:tcBorders>
            <w:shd w:val="clear" w:color="auto" w:fill="D0CECE"/>
          </w:tcPr>
          <w:p>
            <w:pPr>
              <w:spacing w:after="0"/>
              <w:rPr>
                <w:sz w:val="9"/>
                <w:szCs w:val="9"/>
                <w:color w:val="auto"/>
              </w:rPr>
            </w:pPr>
          </w:p>
        </w:tc>
        <w:tc>
          <w:tcPr>
            <w:tcW w:w="1660" w:type="dxa"/>
            <w:vAlign w:val="bottom"/>
            <w:tcBorders>
              <w:right w:val="single" w:sz="8" w:color="auto"/>
            </w:tcBorders>
            <w:shd w:val="clear" w:color="auto" w:fill="D0CECE"/>
          </w:tcPr>
          <w:p>
            <w:pPr>
              <w:spacing w:after="0"/>
              <w:rPr>
                <w:sz w:val="9"/>
                <w:szCs w:val="9"/>
                <w:color w:val="auto"/>
              </w:rPr>
            </w:pPr>
          </w:p>
        </w:tc>
        <w:tc>
          <w:tcPr>
            <w:tcW w:w="16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and Unexercised</w:t>
            </w:r>
          </w:p>
        </w:tc>
        <w:tc>
          <w:tcPr>
            <w:tcW w:w="1660" w:type="dxa"/>
            <w:vAlign w:val="bottom"/>
            <w:tcBorders>
              <w:right w:val="single" w:sz="8" w:color="auto"/>
            </w:tcBorders>
            <w:vMerge w:val="continue"/>
            <w:shd w:val="clear" w:color="auto" w:fill="D0CECE"/>
          </w:tcPr>
          <w:p>
            <w:pPr>
              <w:spacing w:after="0"/>
              <w:rPr>
                <w:sz w:val="9"/>
                <w:szCs w:val="9"/>
                <w:color w:val="auto"/>
              </w:rPr>
            </w:pPr>
          </w:p>
        </w:tc>
        <w:tc>
          <w:tcPr>
            <w:tcW w:w="1920" w:type="dxa"/>
            <w:vAlign w:val="bottom"/>
            <w:tcBorders>
              <w:right w:val="single" w:sz="8" w:color="auto"/>
            </w:tcBorders>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shd w:val="clear" w:color="auto" w:fill="D0CECE"/>
          </w:tcPr>
          <w:p>
            <w:pPr>
              <w:spacing w:after="0"/>
              <w:rPr>
                <w:sz w:val="11"/>
                <w:szCs w:val="11"/>
                <w:color w:val="auto"/>
              </w:rPr>
            </w:pPr>
          </w:p>
        </w:tc>
        <w:tc>
          <w:tcPr>
            <w:tcW w:w="720" w:type="dxa"/>
            <w:vAlign w:val="bottom"/>
            <w:tcBorders>
              <w:right w:val="single" w:sz="8" w:color="auto"/>
            </w:tcBorders>
            <w:shd w:val="clear" w:color="auto" w:fill="D0CECE"/>
          </w:tcPr>
          <w:p>
            <w:pPr>
              <w:spacing w:after="0"/>
              <w:rPr>
                <w:sz w:val="11"/>
                <w:szCs w:val="11"/>
                <w:color w:val="auto"/>
              </w:rPr>
            </w:pPr>
          </w:p>
        </w:tc>
        <w:tc>
          <w:tcPr>
            <w:tcW w:w="1660" w:type="dxa"/>
            <w:vAlign w:val="bottom"/>
            <w:tcBorders>
              <w:right w:val="single" w:sz="8" w:color="auto"/>
            </w:tcBorders>
            <w:shd w:val="clear" w:color="auto" w:fill="D0CECE"/>
          </w:tcPr>
          <w:p>
            <w:pPr>
              <w:spacing w:after="0"/>
              <w:rPr>
                <w:sz w:val="11"/>
                <w:szCs w:val="11"/>
                <w:color w:val="auto"/>
              </w:rPr>
            </w:pPr>
          </w:p>
        </w:tc>
        <w:tc>
          <w:tcPr>
            <w:tcW w:w="1660" w:type="dxa"/>
            <w:vAlign w:val="bottom"/>
            <w:tcBorders>
              <w:right w:val="single" w:sz="8" w:color="auto"/>
            </w:tcBorders>
            <w:vMerge w:val="continue"/>
            <w:shd w:val="clear" w:color="auto" w:fill="D0CECE"/>
          </w:tcPr>
          <w:p>
            <w:pPr>
              <w:spacing w:after="0"/>
              <w:rPr>
                <w:sz w:val="11"/>
                <w:szCs w:val="11"/>
                <w:color w:val="auto"/>
              </w:rPr>
            </w:pPr>
          </w:p>
        </w:tc>
        <w:tc>
          <w:tcPr>
            <w:tcW w:w="16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920" w:type="dxa"/>
            <w:vAlign w:val="bottom"/>
            <w:tcBorders>
              <w:right w:val="single" w:sz="8" w:color="auto"/>
            </w:tcBorders>
            <w:shd w:val="clear" w:color="auto" w:fill="D0CEC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shd w:val="clear" w:color="auto" w:fill="D0CECE"/>
          </w:tcPr>
          <w:p>
            <w:pPr>
              <w:spacing w:after="0"/>
              <w:rPr>
                <w:sz w:val="10"/>
                <w:szCs w:val="10"/>
                <w:color w:val="auto"/>
              </w:rPr>
            </w:pPr>
          </w:p>
        </w:tc>
        <w:tc>
          <w:tcPr>
            <w:tcW w:w="720" w:type="dxa"/>
            <w:vAlign w:val="bottom"/>
            <w:tcBorders>
              <w:right w:val="single" w:sz="8" w:color="auto"/>
            </w:tcBorders>
            <w:shd w:val="clear" w:color="auto" w:fill="D0CECE"/>
          </w:tcPr>
          <w:p>
            <w:pPr>
              <w:spacing w:after="0"/>
              <w:rPr>
                <w:sz w:val="10"/>
                <w:szCs w:val="10"/>
                <w:color w:val="auto"/>
              </w:rPr>
            </w:pPr>
          </w:p>
        </w:tc>
        <w:tc>
          <w:tcPr>
            <w:tcW w:w="1660" w:type="dxa"/>
            <w:vAlign w:val="bottom"/>
            <w:tcBorders>
              <w:right w:val="single" w:sz="8" w:color="auto"/>
            </w:tcBorders>
            <w:shd w:val="clear" w:color="auto" w:fill="D0CECE"/>
          </w:tcPr>
          <w:p>
            <w:pPr>
              <w:spacing w:after="0"/>
              <w:rPr>
                <w:sz w:val="10"/>
                <w:szCs w:val="10"/>
                <w:color w:val="auto"/>
              </w:rPr>
            </w:pPr>
          </w:p>
        </w:tc>
        <w:tc>
          <w:tcPr>
            <w:tcW w:w="16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Shares of Common</w:t>
            </w:r>
          </w:p>
        </w:tc>
        <w:tc>
          <w:tcPr>
            <w:tcW w:w="1660" w:type="dxa"/>
            <w:vAlign w:val="bottom"/>
            <w:tcBorders>
              <w:right w:val="single" w:sz="8" w:color="auto"/>
            </w:tcBorders>
            <w:vMerge w:val="continue"/>
            <w:shd w:val="clear" w:color="auto" w:fill="D0CECE"/>
          </w:tcPr>
          <w:p>
            <w:pPr>
              <w:spacing w:after="0"/>
              <w:rPr>
                <w:sz w:val="10"/>
                <w:szCs w:val="10"/>
                <w:color w:val="auto"/>
              </w:rPr>
            </w:pPr>
          </w:p>
        </w:tc>
        <w:tc>
          <w:tcPr>
            <w:tcW w:w="1920" w:type="dxa"/>
            <w:vAlign w:val="bottom"/>
            <w:tcBorders>
              <w:right w:val="single" w:sz="8" w:color="auto"/>
            </w:tcBorders>
            <w:shd w:val="clear" w:color="auto" w:fill="D0CEC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shd w:val="clear" w:color="auto" w:fill="D0CECE"/>
          </w:tcPr>
          <w:p>
            <w:pPr>
              <w:spacing w:after="0"/>
              <w:rPr>
                <w:sz w:val="11"/>
                <w:szCs w:val="11"/>
                <w:color w:val="auto"/>
              </w:rPr>
            </w:pPr>
          </w:p>
        </w:tc>
        <w:tc>
          <w:tcPr>
            <w:tcW w:w="720" w:type="dxa"/>
            <w:vAlign w:val="bottom"/>
            <w:tcBorders>
              <w:right w:val="single" w:sz="8" w:color="auto"/>
            </w:tcBorders>
            <w:shd w:val="clear" w:color="auto" w:fill="D0CECE"/>
          </w:tcPr>
          <w:p>
            <w:pPr>
              <w:spacing w:after="0"/>
              <w:rPr>
                <w:sz w:val="11"/>
                <w:szCs w:val="11"/>
                <w:color w:val="auto"/>
              </w:rPr>
            </w:pPr>
          </w:p>
        </w:tc>
        <w:tc>
          <w:tcPr>
            <w:tcW w:w="1660" w:type="dxa"/>
            <w:vAlign w:val="bottom"/>
            <w:tcBorders>
              <w:right w:val="single" w:sz="8" w:color="auto"/>
            </w:tcBorders>
            <w:shd w:val="clear" w:color="auto" w:fill="D0CECE"/>
          </w:tcPr>
          <w:p>
            <w:pPr>
              <w:spacing w:after="0"/>
              <w:rPr>
                <w:sz w:val="11"/>
                <w:szCs w:val="11"/>
                <w:color w:val="auto"/>
              </w:rPr>
            </w:pPr>
          </w:p>
        </w:tc>
        <w:tc>
          <w:tcPr>
            <w:tcW w:w="1660" w:type="dxa"/>
            <w:vAlign w:val="bottom"/>
            <w:tcBorders>
              <w:right w:val="single" w:sz="8" w:color="auto"/>
            </w:tcBorders>
            <w:vMerge w:val="continue"/>
            <w:shd w:val="clear" w:color="auto" w:fill="D0CECE"/>
          </w:tcPr>
          <w:p>
            <w:pPr>
              <w:spacing w:after="0"/>
              <w:rPr>
                <w:sz w:val="11"/>
                <w:szCs w:val="11"/>
                <w:color w:val="auto"/>
              </w:rPr>
            </w:pPr>
          </w:p>
        </w:tc>
        <w:tc>
          <w:tcPr>
            <w:tcW w:w="16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Underlying</w:t>
            </w:r>
          </w:p>
        </w:tc>
        <w:tc>
          <w:tcPr>
            <w:tcW w:w="1920" w:type="dxa"/>
            <w:vAlign w:val="bottom"/>
            <w:tcBorders>
              <w:right w:val="single" w:sz="8" w:color="auto"/>
            </w:tcBorders>
            <w:shd w:val="clear" w:color="auto" w:fill="D0CEC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shd w:val="clear" w:color="auto" w:fill="D0CECE"/>
          </w:tcPr>
          <w:p>
            <w:pPr>
              <w:spacing w:after="0"/>
              <w:rPr>
                <w:sz w:val="10"/>
                <w:szCs w:val="10"/>
                <w:color w:val="auto"/>
              </w:rPr>
            </w:pPr>
          </w:p>
        </w:tc>
        <w:tc>
          <w:tcPr>
            <w:tcW w:w="720" w:type="dxa"/>
            <w:vAlign w:val="bottom"/>
            <w:tcBorders>
              <w:right w:val="single" w:sz="8" w:color="auto"/>
            </w:tcBorders>
            <w:shd w:val="clear" w:color="auto" w:fill="D0CECE"/>
          </w:tcPr>
          <w:p>
            <w:pPr>
              <w:spacing w:after="0"/>
              <w:rPr>
                <w:sz w:val="10"/>
                <w:szCs w:val="10"/>
                <w:color w:val="auto"/>
              </w:rPr>
            </w:pPr>
          </w:p>
        </w:tc>
        <w:tc>
          <w:tcPr>
            <w:tcW w:w="1660" w:type="dxa"/>
            <w:vAlign w:val="bottom"/>
            <w:tcBorders>
              <w:right w:val="single" w:sz="8" w:color="auto"/>
            </w:tcBorders>
            <w:shd w:val="clear" w:color="auto" w:fill="D0CECE"/>
          </w:tcPr>
          <w:p>
            <w:pPr>
              <w:spacing w:after="0"/>
              <w:rPr>
                <w:sz w:val="10"/>
                <w:szCs w:val="10"/>
                <w:color w:val="auto"/>
              </w:rPr>
            </w:pPr>
          </w:p>
        </w:tc>
        <w:tc>
          <w:tcPr>
            <w:tcW w:w="16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Stock Underlying</w:t>
            </w:r>
          </w:p>
        </w:tc>
        <w:tc>
          <w:tcPr>
            <w:tcW w:w="1660" w:type="dxa"/>
            <w:vAlign w:val="bottom"/>
            <w:tcBorders>
              <w:right w:val="single" w:sz="8" w:color="auto"/>
            </w:tcBorders>
            <w:vMerge w:val="continue"/>
            <w:shd w:val="clear" w:color="auto" w:fill="D0CECE"/>
          </w:tcPr>
          <w:p>
            <w:pPr>
              <w:spacing w:after="0"/>
              <w:rPr>
                <w:sz w:val="10"/>
                <w:szCs w:val="10"/>
                <w:color w:val="auto"/>
              </w:rPr>
            </w:pPr>
          </w:p>
        </w:tc>
        <w:tc>
          <w:tcPr>
            <w:tcW w:w="1920" w:type="dxa"/>
            <w:vAlign w:val="bottom"/>
            <w:tcBorders>
              <w:right w:val="single" w:sz="8" w:color="auto"/>
            </w:tcBorders>
            <w:shd w:val="clear" w:color="auto" w:fill="D0CEC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right w:val="single" w:sz="8" w:color="auto"/>
            </w:tcBorders>
            <w:shd w:val="clear" w:color="auto" w:fill="D0CECE"/>
          </w:tcPr>
          <w:p>
            <w:pPr>
              <w:spacing w:after="0"/>
              <w:rPr>
                <w:sz w:val="19"/>
                <w:szCs w:val="19"/>
                <w:color w:val="auto"/>
              </w:rPr>
            </w:pPr>
          </w:p>
        </w:tc>
        <w:tc>
          <w:tcPr>
            <w:tcW w:w="720" w:type="dxa"/>
            <w:vAlign w:val="bottom"/>
            <w:tcBorders>
              <w:right w:val="single" w:sz="8" w:color="auto"/>
            </w:tcBorders>
            <w:shd w:val="clear" w:color="auto" w:fill="D0CECE"/>
          </w:tcPr>
          <w:p>
            <w:pPr>
              <w:spacing w:after="0"/>
              <w:rPr>
                <w:sz w:val="19"/>
                <w:szCs w:val="19"/>
                <w:color w:val="auto"/>
              </w:rPr>
            </w:pPr>
          </w:p>
        </w:tc>
        <w:tc>
          <w:tcPr>
            <w:tcW w:w="166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Number of Shares</w:t>
            </w:r>
          </w:p>
        </w:tc>
        <w:tc>
          <w:tcPr>
            <w:tcW w:w="1660" w:type="dxa"/>
            <w:vAlign w:val="bottom"/>
            <w:tcBorders>
              <w:right w:val="single" w:sz="8" w:color="auto"/>
            </w:tcBorders>
            <w:vMerge w:val="continue"/>
            <w:shd w:val="clear" w:color="auto" w:fill="D0CECE"/>
          </w:tcPr>
          <w:p>
            <w:pPr>
              <w:spacing w:after="0"/>
              <w:rPr>
                <w:sz w:val="19"/>
                <w:szCs w:val="19"/>
                <w:color w:val="auto"/>
              </w:rPr>
            </w:pPr>
          </w:p>
        </w:tc>
        <w:tc>
          <w:tcPr>
            <w:tcW w:w="166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Option on</w:t>
            </w:r>
          </w:p>
        </w:tc>
        <w:tc>
          <w:tcPr>
            <w:tcW w:w="1920" w:type="dxa"/>
            <w:vAlign w:val="bottom"/>
            <w:tcBorders>
              <w:right w:val="single" w:sz="8" w:color="auto"/>
            </w:tcBorders>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shd w:val="clear" w:color="auto" w:fill="D0CECE"/>
          </w:tcPr>
          <w:p>
            <w:pPr>
              <w:spacing w:after="0"/>
              <w:rPr>
                <w:sz w:val="14"/>
                <w:szCs w:val="14"/>
                <w:color w:val="auto"/>
              </w:rPr>
            </w:pPr>
          </w:p>
        </w:tc>
        <w:tc>
          <w:tcPr>
            <w:tcW w:w="720" w:type="dxa"/>
            <w:vAlign w:val="bottom"/>
            <w:tcBorders>
              <w:right w:val="single" w:sz="8" w:color="auto"/>
            </w:tcBorders>
            <w:shd w:val="clear" w:color="auto" w:fill="D0CECE"/>
          </w:tcPr>
          <w:p>
            <w:pPr>
              <w:spacing w:after="0"/>
              <w:rPr>
                <w:sz w:val="14"/>
                <w:szCs w:val="14"/>
                <w:color w:val="auto"/>
              </w:rPr>
            </w:pPr>
          </w:p>
        </w:tc>
        <w:tc>
          <w:tcPr>
            <w:tcW w:w="16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of Common Stock</w:t>
            </w:r>
          </w:p>
        </w:tc>
        <w:tc>
          <w:tcPr>
            <w:tcW w:w="1660" w:type="dxa"/>
            <w:vAlign w:val="bottom"/>
            <w:tcBorders>
              <w:right w:val="single" w:sz="8" w:color="auto"/>
            </w:tcBorders>
            <w:shd w:val="clear" w:color="auto" w:fill="D0CECE"/>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rPr>
              <w:t>Option on</w:t>
            </w:r>
          </w:p>
        </w:tc>
        <w:tc>
          <w:tcPr>
            <w:tcW w:w="1660" w:type="dxa"/>
            <w:vAlign w:val="bottom"/>
            <w:tcBorders>
              <w:right w:val="single" w:sz="8" w:color="auto"/>
            </w:tcBorders>
            <w:shd w:val="clear" w:color="auto" w:fill="D0CECE"/>
          </w:tcPr>
          <w:p>
            <w:pPr>
              <w:spacing w:after="0"/>
              <w:rPr>
                <w:sz w:val="14"/>
                <w:szCs w:val="14"/>
                <w:color w:val="auto"/>
              </w:rPr>
            </w:pPr>
          </w:p>
        </w:tc>
        <w:tc>
          <w:tcPr>
            <w:tcW w:w="1920" w:type="dxa"/>
            <w:vAlign w:val="bottom"/>
            <w:tcBorders>
              <w:right w:val="single" w:sz="8" w:color="auto"/>
            </w:tcBorders>
            <w:shd w:val="clear" w:color="auto" w:fill="D0CEC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40" w:type="dxa"/>
            <w:vAlign w:val="bottom"/>
            <w:tcBorders>
              <w:left w:val="single" w:sz="8" w:color="auto"/>
              <w:right w:val="single" w:sz="8" w:color="auto"/>
            </w:tcBorders>
            <w:shd w:val="clear" w:color="auto" w:fill="D0CECE"/>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Grant</w:t>
            </w:r>
          </w:p>
        </w:tc>
        <w:tc>
          <w:tcPr>
            <w:tcW w:w="7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Exercise</w:t>
            </w:r>
          </w:p>
        </w:tc>
        <w:tc>
          <w:tcPr>
            <w:tcW w:w="1660" w:type="dxa"/>
            <w:vAlign w:val="bottom"/>
            <w:tcBorders>
              <w:right w:val="single" w:sz="8" w:color="auto"/>
            </w:tcBorders>
            <w:vMerge w:val="continue"/>
            <w:shd w:val="clear" w:color="auto" w:fill="D0CECE"/>
          </w:tcPr>
          <w:p>
            <w:pPr>
              <w:spacing w:after="0"/>
              <w:rPr>
                <w:sz w:val="17"/>
                <w:szCs w:val="17"/>
                <w:color w:val="auto"/>
              </w:rPr>
            </w:pPr>
          </w:p>
        </w:tc>
        <w:tc>
          <w:tcPr>
            <w:tcW w:w="1660" w:type="dxa"/>
            <w:vAlign w:val="bottom"/>
            <w:tcBorders>
              <w:right w:val="single" w:sz="8" w:color="auto"/>
            </w:tcBorders>
            <w:shd w:val="clear" w:color="auto" w:fill="D0CECE"/>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Separation Date</w:t>
            </w:r>
          </w:p>
        </w:tc>
        <w:tc>
          <w:tcPr>
            <w:tcW w:w="1660" w:type="dxa"/>
            <w:vAlign w:val="bottom"/>
            <w:tcBorders>
              <w:right w:val="single" w:sz="8" w:color="auto"/>
            </w:tcBorders>
            <w:shd w:val="clear" w:color="auto" w:fill="D0CECE"/>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Separation Date</w:t>
            </w:r>
          </w:p>
        </w:tc>
        <w:tc>
          <w:tcPr>
            <w:tcW w:w="1920" w:type="dxa"/>
            <w:vAlign w:val="bottom"/>
            <w:tcBorders>
              <w:right w:val="single" w:sz="8" w:color="auto"/>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right w:val="single" w:sz="8" w:color="auto"/>
            </w:tcBorders>
            <w:shd w:val="clear" w:color="auto" w:fill="D0CECE"/>
          </w:tcPr>
          <w:p>
            <w:pPr>
              <w:spacing w:after="0"/>
              <w:rPr>
                <w:sz w:val="16"/>
                <w:szCs w:val="16"/>
                <w:color w:val="auto"/>
              </w:rPr>
            </w:pPr>
          </w:p>
        </w:tc>
        <w:tc>
          <w:tcPr>
            <w:tcW w:w="720" w:type="dxa"/>
            <w:vAlign w:val="bottom"/>
            <w:tcBorders>
              <w:right w:val="single" w:sz="8" w:color="auto"/>
            </w:tcBorders>
            <w:vMerge w:val="continue"/>
            <w:shd w:val="clear" w:color="auto" w:fill="D0CECE"/>
          </w:tcPr>
          <w:p>
            <w:pPr>
              <w:spacing w:after="0"/>
              <w:rPr>
                <w:sz w:val="16"/>
                <w:szCs w:val="16"/>
                <w:color w:val="auto"/>
              </w:rPr>
            </w:pPr>
          </w:p>
        </w:tc>
        <w:tc>
          <w:tcPr>
            <w:tcW w:w="1660" w:type="dxa"/>
            <w:vAlign w:val="bottom"/>
            <w:tcBorders>
              <w:right w:val="single" w:sz="8" w:color="auto"/>
            </w:tcBorders>
            <w:shd w:val="clear" w:color="auto" w:fill="D0CECE"/>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8"/>
              </w:rPr>
              <w:t>Underlying Option</w:t>
            </w:r>
          </w:p>
        </w:tc>
        <w:tc>
          <w:tcPr>
            <w:tcW w:w="1660" w:type="dxa"/>
            <w:vAlign w:val="bottom"/>
            <w:tcBorders>
              <w:right w:val="single" w:sz="8" w:color="auto"/>
            </w:tcBorders>
            <w:shd w:val="clear" w:color="auto" w:fill="D0CECE"/>
          </w:tcPr>
          <w:p>
            <w:pPr>
              <w:spacing w:after="0"/>
              <w:rPr>
                <w:sz w:val="16"/>
                <w:szCs w:val="16"/>
                <w:color w:val="auto"/>
              </w:rPr>
            </w:pPr>
          </w:p>
        </w:tc>
        <w:tc>
          <w:tcPr>
            <w:tcW w:w="1660" w:type="dxa"/>
            <w:vAlign w:val="bottom"/>
            <w:tcBorders>
              <w:right w:val="single" w:sz="8" w:color="auto"/>
            </w:tcBorders>
            <w:shd w:val="clear" w:color="auto" w:fill="D0CECE"/>
          </w:tcPr>
          <w:p>
            <w:pPr>
              <w:spacing w:after="0"/>
              <w:rPr>
                <w:sz w:val="16"/>
                <w:szCs w:val="16"/>
                <w:color w:val="auto"/>
              </w:rPr>
            </w:pPr>
          </w:p>
        </w:tc>
        <w:tc>
          <w:tcPr>
            <w:tcW w:w="1920" w:type="dxa"/>
            <w:vAlign w:val="bottom"/>
            <w:tcBorders>
              <w:right w:val="single" w:sz="8" w:color="auto"/>
            </w:tcBorders>
            <w:shd w:val="clear" w:color="auto" w:fill="D0CEC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140" w:type="dxa"/>
            <w:vAlign w:val="bottom"/>
            <w:tcBorders>
              <w:left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72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166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on Grant Date</w:t>
            </w:r>
          </w:p>
        </w:tc>
        <w:tc>
          <w:tcPr>
            <w:tcW w:w="166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rPr>
              <w:t>(1)</w:t>
            </w:r>
          </w:p>
        </w:tc>
        <w:tc>
          <w:tcPr>
            <w:tcW w:w="166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(2)</w:t>
            </w:r>
          </w:p>
        </w:tc>
        <w:tc>
          <w:tcPr>
            <w:tcW w:w="192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2"/>
              </w:rPr>
              <w:t>Type</w:t>
            </w:r>
          </w:p>
        </w:tc>
        <w:tc>
          <w:tcPr>
            <w:tcW w:w="0" w:type="dxa"/>
            <w:vAlign w:val="bottom"/>
          </w:tcPr>
          <w:p>
            <w:pPr>
              <w:spacing w:after="0"/>
              <w:rPr>
                <w:sz w:val="1"/>
                <w:szCs w:val="1"/>
                <w:color w:val="auto"/>
              </w:rPr>
            </w:pPr>
          </w:p>
        </w:tc>
      </w:tr>
      <w:tr>
        <w:trPr>
          <w:trHeight w:val="197"/>
        </w:trPr>
        <w:tc>
          <w:tcPr>
            <w:tcW w:w="1140" w:type="dxa"/>
            <w:vAlign w:val="bottom"/>
            <w:tcBorders>
              <w:left w:val="single" w:sz="8" w:color="auto"/>
              <w:bottom w:val="single" w:sz="8" w:color="auto"/>
              <w:right w:val="single" w:sz="8" w:color="auto"/>
            </w:tcBorders>
            <w:shd w:val="clear" w:color="auto" w:fill="D0CECE"/>
          </w:tcPr>
          <w:p>
            <w:pPr>
              <w:spacing w:after="0"/>
              <w:rPr>
                <w:sz w:val="17"/>
                <w:szCs w:val="17"/>
                <w:color w:val="auto"/>
              </w:rPr>
            </w:pPr>
          </w:p>
        </w:tc>
        <w:tc>
          <w:tcPr>
            <w:tcW w:w="720" w:type="dxa"/>
            <w:vAlign w:val="bottom"/>
            <w:tcBorders>
              <w:bottom w:val="single" w:sz="8" w:color="auto"/>
              <w:right w:val="single" w:sz="8" w:color="auto"/>
            </w:tcBorders>
            <w:shd w:val="clear" w:color="auto" w:fill="D0CECE"/>
          </w:tcPr>
          <w:p>
            <w:pPr>
              <w:spacing w:after="0"/>
              <w:rPr>
                <w:sz w:val="17"/>
                <w:szCs w:val="17"/>
                <w:color w:val="auto"/>
              </w:rPr>
            </w:pPr>
          </w:p>
        </w:tc>
        <w:tc>
          <w:tcPr>
            <w:tcW w:w="1660" w:type="dxa"/>
            <w:vAlign w:val="bottom"/>
            <w:tcBorders>
              <w:bottom w:val="single" w:sz="8" w:color="auto"/>
              <w:right w:val="single" w:sz="8" w:color="auto"/>
            </w:tcBorders>
            <w:shd w:val="clear" w:color="auto" w:fill="D0CECE"/>
          </w:tcPr>
          <w:p>
            <w:pPr>
              <w:spacing w:after="0"/>
              <w:rPr>
                <w:sz w:val="17"/>
                <w:szCs w:val="17"/>
                <w:color w:val="auto"/>
              </w:rPr>
            </w:pPr>
          </w:p>
        </w:tc>
        <w:tc>
          <w:tcPr>
            <w:tcW w:w="1660" w:type="dxa"/>
            <w:vAlign w:val="bottom"/>
            <w:tcBorders>
              <w:bottom w:val="single" w:sz="8" w:color="auto"/>
              <w:right w:val="single" w:sz="8" w:color="auto"/>
            </w:tcBorders>
            <w:shd w:val="clear" w:color="auto" w:fill="D0CECE"/>
          </w:tcPr>
          <w:p>
            <w:pPr>
              <w:spacing w:after="0"/>
              <w:rPr>
                <w:sz w:val="17"/>
                <w:szCs w:val="17"/>
                <w:color w:val="auto"/>
              </w:rPr>
            </w:pPr>
          </w:p>
        </w:tc>
        <w:tc>
          <w:tcPr>
            <w:tcW w:w="1660" w:type="dxa"/>
            <w:vAlign w:val="bottom"/>
            <w:tcBorders>
              <w:bottom w:val="single" w:sz="8" w:color="auto"/>
              <w:right w:val="single" w:sz="8" w:color="auto"/>
            </w:tcBorders>
            <w:shd w:val="clear" w:color="auto" w:fill="D0CECE"/>
          </w:tcPr>
          <w:p>
            <w:pPr>
              <w:spacing w:after="0"/>
              <w:rPr>
                <w:sz w:val="17"/>
                <w:szCs w:val="17"/>
                <w:color w:val="auto"/>
              </w:rPr>
            </w:pPr>
          </w:p>
        </w:tc>
        <w:tc>
          <w:tcPr>
            <w:tcW w:w="1920" w:type="dxa"/>
            <w:vAlign w:val="bottom"/>
            <w:tcBorders>
              <w:bottom w:val="single" w:sz="8" w:color="auto"/>
              <w:right w:val="single" w:sz="8" w:color="auto"/>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10/2/17</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314,752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114,752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Non-Qualified Stock</w:t>
            </w:r>
          </w:p>
        </w:tc>
        <w:tc>
          <w:tcPr>
            <w:tcW w:w="0" w:type="dxa"/>
            <w:vAlign w:val="bottom"/>
          </w:tcPr>
          <w:p>
            <w:pPr>
              <w:spacing w:after="0"/>
              <w:rPr>
                <w:sz w:val="1"/>
                <w:szCs w:val="1"/>
                <w:color w:val="auto"/>
              </w:rPr>
            </w:pPr>
          </w:p>
        </w:tc>
      </w:tr>
      <w:tr>
        <w:trPr>
          <w:trHeight w:val="258"/>
        </w:trPr>
        <w:tc>
          <w:tcPr>
            <w:tcW w:w="1140" w:type="dxa"/>
            <w:vAlign w:val="bottom"/>
            <w:tcBorders>
              <w:left w:val="single" w:sz="8" w:color="auto"/>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Option</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10/1/18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121,728</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97,382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24,346</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Non-Qualified Stock</w:t>
            </w:r>
          </w:p>
        </w:tc>
        <w:tc>
          <w:tcPr>
            <w:tcW w:w="0" w:type="dxa"/>
            <w:vAlign w:val="bottom"/>
          </w:tcPr>
          <w:p>
            <w:pPr>
              <w:spacing w:after="0"/>
              <w:rPr>
                <w:sz w:val="1"/>
                <w:szCs w:val="1"/>
                <w:color w:val="auto"/>
              </w:rPr>
            </w:pPr>
          </w:p>
        </w:tc>
      </w:tr>
      <w:tr>
        <w:trPr>
          <w:trHeight w:val="258"/>
        </w:trPr>
        <w:tc>
          <w:tcPr>
            <w:tcW w:w="1140" w:type="dxa"/>
            <w:vAlign w:val="bottom"/>
            <w:tcBorders>
              <w:left w:val="single" w:sz="8" w:color="auto"/>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Option</w:t>
            </w:r>
          </w:p>
        </w:tc>
        <w:tc>
          <w:tcPr>
            <w:tcW w:w="0" w:type="dxa"/>
            <w:vAlign w:val="bottom"/>
          </w:tcPr>
          <w:p>
            <w:pPr>
              <w:spacing w:after="0"/>
              <w:rPr>
                <w:sz w:val="1"/>
                <w:szCs w:val="1"/>
                <w:color w:val="auto"/>
              </w:rPr>
            </w:pPr>
          </w:p>
        </w:tc>
      </w:tr>
      <w:tr>
        <w:trPr>
          <w:trHeight w:val="197"/>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3/4/20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38,160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15,264</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22,896</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Non-Qualified Stock</w:t>
            </w:r>
          </w:p>
        </w:tc>
        <w:tc>
          <w:tcPr>
            <w:tcW w:w="0" w:type="dxa"/>
            <w:vAlign w:val="bottom"/>
          </w:tcPr>
          <w:p>
            <w:pPr>
              <w:spacing w:after="0"/>
              <w:rPr>
                <w:sz w:val="1"/>
                <w:szCs w:val="1"/>
                <w:color w:val="auto"/>
              </w:rPr>
            </w:pPr>
          </w:p>
        </w:tc>
      </w:tr>
      <w:tr>
        <w:trPr>
          <w:trHeight w:val="258"/>
        </w:trPr>
        <w:tc>
          <w:tcPr>
            <w:tcW w:w="1140" w:type="dxa"/>
            <w:vAlign w:val="bottom"/>
            <w:tcBorders>
              <w:left w:val="single" w:sz="8" w:color="auto"/>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Option</w:t>
            </w:r>
          </w:p>
        </w:tc>
        <w:tc>
          <w:tcPr>
            <w:tcW w:w="0" w:type="dxa"/>
            <w:vAlign w:val="bottom"/>
          </w:tcPr>
          <w:p>
            <w:pPr>
              <w:spacing w:after="0"/>
              <w:rPr>
                <w:sz w:val="1"/>
                <w:szCs w:val="1"/>
                <w:color w:val="auto"/>
              </w:rPr>
            </w:pPr>
          </w:p>
        </w:tc>
      </w:tr>
      <w:tr>
        <w:trPr>
          <w:trHeight w:val="197"/>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860" w:right="239" w:hanging="651"/>
        <w:spacing w:after="0" w:line="283" w:lineRule="auto"/>
        <w:tabs>
          <w:tab w:leader="none" w:pos="8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the Company’s common stock shown in this column shall be referred to herein as the “</w:t>
      </w:r>
      <w:r>
        <w:rPr>
          <w:rFonts w:ascii="Times New Roman" w:cs="Times New Roman" w:eastAsia="Times New Roman" w:hAnsi="Times New Roman"/>
          <w:sz w:val="20"/>
          <w:szCs w:val="20"/>
          <w:b w:val="1"/>
          <w:bCs w:val="1"/>
          <w:i w:val="1"/>
          <w:iCs w:val="1"/>
          <w:color w:val="auto"/>
        </w:rPr>
        <w:t>Vested Portion</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left="860" w:right="239" w:hanging="651"/>
        <w:spacing w:after="0" w:line="269" w:lineRule="auto"/>
        <w:tabs>
          <w:tab w:leader="none" w:pos="8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unvested shares of Common Stock subject to the applicable Option will be cancelled and forfeited as of the Termination Date without consideration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0" w:name="page131"/>
    <w:bookmarkEnd w:id="130"/>
    <w:p>
      <w:pPr>
        <w:ind w:left="714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3"/>
          <w:szCs w:val="13"/>
          <w:color w:val="auto"/>
        </w:rPr>
        <w:t>xhibit</w:t>
      </w:r>
      <w:r>
        <w:rPr>
          <w:rFonts w:ascii="Times New Roman" w:cs="Times New Roman" w:eastAsia="Times New Roman" w:hAnsi="Times New Roman"/>
          <w:sz w:val="20"/>
          <w:szCs w:val="20"/>
          <w:color w:val="auto"/>
        </w:rPr>
        <w:t xml:space="preserve"> 10.12.2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HARMONY BIOSCIENCES HOLDINGS, INC.</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January 23, 2023</w:t>
      </w: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Jeffrey M. Dayno, M.D.</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jdayno@harmonybiosciences.com</w:t>
      </w:r>
    </w:p>
    <w:p>
      <w:pPr>
        <w:spacing w:after="0" w:line="200" w:lineRule="exact"/>
        <w:rPr>
          <w:sz w:val="20"/>
          <w:szCs w:val="20"/>
          <w:color w:val="auto"/>
        </w:rPr>
      </w:pPr>
    </w:p>
    <w:p>
      <w:pPr>
        <w:spacing w:after="0" w:line="36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color w:val="auto"/>
        </w:rPr>
        <w:t>Interim President and Chief Executive Officer Role</w:t>
      </w: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Dear Mr. Dayno:</w:t>
      </w:r>
    </w:p>
    <w:p>
      <w:pPr>
        <w:spacing w:after="0" w:line="200" w:lineRule="exact"/>
        <w:rPr>
          <w:sz w:val="20"/>
          <w:szCs w:val="20"/>
          <w:color w:val="auto"/>
        </w:rPr>
      </w:pPr>
    </w:p>
    <w:p>
      <w:pPr>
        <w:spacing w:after="0" w:line="363"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0"/>
          <w:szCs w:val="20"/>
          <w:color w:val="auto"/>
        </w:rPr>
        <w:t>As you know, on January 6, 2023,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Harmony Biosciences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appointed you as Interim President and Chief Executive Officer of the Company (the “</w:t>
      </w:r>
      <w:r>
        <w:rPr>
          <w:rFonts w:ascii="Times New Roman" w:cs="Times New Roman" w:eastAsia="Times New Roman" w:hAnsi="Times New Roman"/>
          <w:sz w:val="20"/>
          <w:szCs w:val="20"/>
          <w:b w:val="1"/>
          <w:bCs w:val="1"/>
          <w:color w:val="auto"/>
        </w:rPr>
        <w:t>Appointment</w:t>
      </w:r>
      <w:r>
        <w:rPr>
          <w:rFonts w:ascii="Times New Roman" w:cs="Times New Roman" w:eastAsia="Times New Roman" w:hAnsi="Times New Roman"/>
          <w:sz w:val="20"/>
          <w:szCs w:val="20"/>
          <w:color w:val="auto"/>
        </w:rPr>
        <w:t>”). Your Appointment was effective as of January 6, 2023 and shall remain effective until such time as the Board appoints a permanent Chief Executive Officer or you otherwise cease to be the Interim President and Chief Executive Officer of the Company, whichever is earlier (such period, the “</w:t>
      </w:r>
      <w:r>
        <w:rPr>
          <w:rFonts w:ascii="Times New Roman" w:cs="Times New Roman" w:eastAsia="Times New Roman" w:hAnsi="Times New Roman"/>
          <w:sz w:val="20"/>
          <w:szCs w:val="20"/>
          <w:b w:val="1"/>
          <w:bCs w:val="1"/>
          <w:color w:val="auto"/>
        </w:rPr>
        <w:t>Appointment Period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4"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0"/>
          <w:szCs w:val="20"/>
          <w:color w:val="auto"/>
        </w:rPr>
        <w:t>You are receiving this letter (this “</w:t>
      </w:r>
      <w:r>
        <w:rPr>
          <w:rFonts w:ascii="Times New Roman" w:cs="Times New Roman" w:eastAsia="Times New Roman" w:hAnsi="Times New Roman"/>
          <w:sz w:val="20"/>
          <w:szCs w:val="20"/>
          <w:b w:val="1"/>
          <w:bCs w:val="1"/>
          <w:color w:val="auto"/>
        </w:rPr>
        <w:t>Letter</w:t>
      </w:r>
      <w:r>
        <w:rPr>
          <w:rFonts w:ascii="Times New Roman" w:cs="Times New Roman" w:eastAsia="Times New Roman" w:hAnsi="Times New Roman"/>
          <w:sz w:val="20"/>
          <w:szCs w:val="20"/>
          <w:color w:val="auto"/>
        </w:rPr>
        <w:t>”) because, in connection with the Appointment and in consideration of your services to the Company, the Board has agreed to amend that certain offer letter between you and the Company, dated as of October 10, 2017 (the “</w:t>
      </w:r>
      <w:r>
        <w:rPr>
          <w:rFonts w:ascii="Times New Roman" w:cs="Times New Roman" w:eastAsia="Times New Roman" w:hAnsi="Times New Roman"/>
          <w:sz w:val="20"/>
          <w:szCs w:val="20"/>
          <w:b w:val="1"/>
          <w:bCs w:val="1"/>
          <w:color w:val="auto"/>
        </w:rPr>
        <w:t>Offer Letter</w:t>
      </w:r>
      <w:r>
        <w:rPr>
          <w:rFonts w:ascii="Times New Roman" w:cs="Times New Roman" w:eastAsia="Times New Roman" w:hAnsi="Times New Roman"/>
          <w:sz w:val="20"/>
          <w:szCs w:val="20"/>
          <w:color w:val="auto"/>
        </w:rPr>
        <w:t>”), as follows:</w:t>
      </w:r>
    </w:p>
    <w:p>
      <w:pPr>
        <w:spacing w:after="0" w:line="200" w:lineRule="exact"/>
        <w:rPr>
          <w:sz w:val="20"/>
          <w:szCs w:val="20"/>
          <w:color w:val="auto"/>
        </w:rPr>
      </w:pPr>
    </w:p>
    <w:p>
      <w:pPr>
        <w:spacing w:after="0" w:line="297" w:lineRule="exact"/>
        <w:rPr>
          <w:sz w:val="20"/>
          <w:szCs w:val="20"/>
          <w:color w:val="auto"/>
        </w:rPr>
      </w:pPr>
    </w:p>
    <w:p>
      <w:pPr>
        <w:jc w:val="both"/>
        <w:ind w:left="200" w:right="219" w:firstLine="657"/>
        <w:spacing w:after="0" w:line="271" w:lineRule="auto"/>
        <w:tabs>
          <w:tab w:leader="none" w:pos="149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 and Title</w:t>
      </w:r>
      <w:r>
        <w:rPr>
          <w:rFonts w:ascii="Times New Roman" w:cs="Times New Roman" w:eastAsia="Times New Roman" w:hAnsi="Times New Roman"/>
          <w:sz w:val="20"/>
          <w:szCs w:val="20"/>
          <w:color w:val="auto"/>
        </w:rPr>
        <w:t>. Notwithstanding anything to the contrary contained in the Offer Letter, during the Appointment Period, you shall serve as Interim President and Chief Executive Officer of the Company through and until the last day of the Appointment Period, or as otherwise determined by the Board in its sole discretion. For the avoidance of doubt, during the Appointment Period, you shall continue to hold your position as Chief Medical Officer of the Company.</w:t>
      </w:r>
    </w:p>
    <w:p>
      <w:pPr>
        <w:spacing w:after="0" w:line="200" w:lineRule="exact"/>
        <w:rPr>
          <w:rFonts w:ascii="Times New Roman" w:cs="Times New Roman" w:eastAsia="Times New Roman" w:hAnsi="Times New Roman"/>
          <w:sz w:val="20"/>
          <w:szCs w:val="20"/>
          <w:color w:val="auto"/>
        </w:rPr>
      </w:pPr>
    </w:p>
    <w:p>
      <w:pPr>
        <w:spacing w:after="0" w:line="310"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353" w:lineRule="exact"/>
        <w:rPr>
          <w:rFonts w:ascii="Times New Roman" w:cs="Times New Roman" w:eastAsia="Times New Roman" w:hAnsi="Times New Roman"/>
          <w:sz w:val="20"/>
          <w:szCs w:val="20"/>
          <w:color w:val="auto"/>
        </w:rPr>
      </w:pPr>
    </w:p>
    <w:p>
      <w:pPr>
        <w:jc w:val="both"/>
        <w:ind w:left="200" w:right="219" w:firstLine="1296"/>
        <w:spacing w:after="0" w:line="27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Base Salary and Target Annual Bonus</w:t>
      </w:r>
      <w:r>
        <w:rPr>
          <w:rFonts w:ascii="Times New Roman" w:cs="Times New Roman" w:eastAsia="Times New Roman" w:hAnsi="Times New Roman"/>
          <w:sz w:val="20"/>
          <w:szCs w:val="20"/>
          <w:color w:val="auto"/>
        </w:rPr>
        <w:t>. Notwithstanding anything to the contrary contained in the Offer Letter, as compensation for your services as Interim President and Chief Executive Officer of the Company, (i) you shall receive an annual base salary of $530,000 per year, payable in accordance with the Company’s customary payroll practices and (ii) your target annual bonus shall be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317500</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31" w:name="page132"/>
    <w:bookmarkEnd w:id="131"/>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of your annual base salary (with the actual amount of your annual bonus, if any, to be determined pursuant to the Company’s applicable annual bonus program). The foregoing changes to your annual base salary and target bonus opportunities are effective as of January 6, 2023 and shall be pro-rated for any partial year of service (including, for clarity, fiscal year 2023).</w:t>
      </w:r>
    </w:p>
    <w:p>
      <w:pPr>
        <w:spacing w:after="0" w:line="200" w:lineRule="exact"/>
        <w:rPr>
          <w:sz w:val="20"/>
          <w:szCs w:val="20"/>
          <w:color w:val="auto"/>
        </w:rPr>
      </w:pPr>
    </w:p>
    <w:p>
      <w:pPr>
        <w:spacing w:after="0" w:line="310" w:lineRule="exact"/>
        <w:rPr>
          <w:sz w:val="20"/>
          <w:szCs w:val="20"/>
          <w:color w:val="auto"/>
        </w:rPr>
      </w:pPr>
    </w:p>
    <w:p>
      <w:pPr>
        <w:jc w:val="both"/>
        <w:ind w:left="200" w:right="219" w:firstLine="1305"/>
        <w:spacing w:after="0" w:line="271" w:lineRule="auto"/>
        <w:tabs>
          <w:tab w:leader="none" w:pos="214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Bonus</w:t>
      </w:r>
      <w:r>
        <w:rPr>
          <w:rFonts w:ascii="Times New Roman" w:cs="Times New Roman" w:eastAsia="Times New Roman" w:hAnsi="Times New Roman"/>
          <w:sz w:val="20"/>
          <w:szCs w:val="20"/>
          <w:color w:val="auto"/>
        </w:rPr>
        <w:t>. In connection with your appointment as Interim President and Chief Executive Officer of the Company, you shall be paid a one-time cash bonus of $300,000. This bonus shall be paid upon the earlier of (i) June 30, 2024 or (ii) the closing of a change in control event for Harmony, so long as, in either case, you remain an employee of the Company on the applicable payment date.</w:t>
      </w:r>
    </w:p>
    <w:p>
      <w:pPr>
        <w:spacing w:after="0" w:line="200" w:lineRule="exact"/>
        <w:rPr>
          <w:rFonts w:ascii="Times New Roman" w:cs="Times New Roman" w:eastAsia="Times New Roman" w:hAnsi="Times New Roman"/>
          <w:sz w:val="20"/>
          <w:szCs w:val="20"/>
          <w:color w:val="auto"/>
        </w:rPr>
      </w:pPr>
    </w:p>
    <w:p>
      <w:pPr>
        <w:spacing w:after="0" w:line="310" w:lineRule="exact"/>
        <w:rPr>
          <w:rFonts w:ascii="Times New Roman" w:cs="Times New Roman" w:eastAsia="Times New Roman" w:hAnsi="Times New Roman"/>
          <w:sz w:val="20"/>
          <w:szCs w:val="20"/>
          <w:color w:val="auto"/>
        </w:rPr>
      </w:pPr>
    </w:p>
    <w:p>
      <w:pPr>
        <w:jc w:val="both"/>
        <w:ind w:left="200" w:right="219" w:firstLine="1305"/>
        <w:spacing w:after="0" w:line="267" w:lineRule="auto"/>
        <w:tabs>
          <w:tab w:leader="none" w:pos="214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Restoration</w:t>
      </w:r>
      <w:r>
        <w:rPr>
          <w:rFonts w:ascii="Times New Roman" w:cs="Times New Roman" w:eastAsia="Times New Roman" w:hAnsi="Times New Roman"/>
          <w:sz w:val="20"/>
          <w:szCs w:val="20"/>
          <w:color w:val="auto"/>
        </w:rPr>
        <w:t xml:space="preserve">. Notwithstanding the foregoing and except as otherwise determined by the Board (or a subcommittee thereof) in its sole discretion, effective as of the date immediately following the last day of the Appointment Period, this Letter shall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and you shall again serve as Executive Vice President, Chief Medical Officer of the Company as applied immediately prior to the Appointment Period. Following the last day of the Appointment Period, your annual base salary shall continue to be $530,000 per year and your target annual bonus shall continue to be 75% of your annual base salary.</w:t>
      </w:r>
    </w:p>
    <w:p>
      <w:pPr>
        <w:spacing w:after="0" w:line="200" w:lineRule="exact"/>
        <w:rPr>
          <w:rFonts w:ascii="Times New Roman" w:cs="Times New Roman" w:eastAsia="Times New Roman" w:hAnsi="Times New Roman"/>
          <w:sz w:val="20"/>
          <w:szCs w:val="20"/>
          <w:color w:val="auto"/>
        </w:rPr>
      </w:pPr>
    </w:p>
    <w:p>
      <w:pPr>
        <w:spacing w:after="0" w:line="317" w:lineRule="exact"/>
        <w:rPr>
          <w:rFonts w:ascii="Times New Roman" w:cs="Times New Roman" w:eastAsia="Times New Roman" w:hAnsi="Times New Roman"/>
          <w:sz w:val="20"/>
          <w:szCs w:val="20"/>
          <w:color w:val="auto"/>
        </w:rPr>
      </w:pPr>
    </w:p>
    <w:p>
      <w:pPr>
        <w:jc w:val="both"/>
        <w:ind w:left="200" w:right="219" w:firstLine="657"/>
        <w:spacing w:after="0" w:line="267" w:lineRule="auto"/>
        <w:tabs>
          <w:tab w:leader="none" w:pos="14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Acknowledgements</w:t>
      </w:r>
      <w:r>
        <w:rPr>
          <w:rFonts w:ascii="Times New Roman" w:cs="Times New Roman" w:eastAsia="Times New Roman" w:hAnsi="Times New Roman"/>
          <w:sz w:val="20"/>
          <w:szCs w:val="20"/>
          <w:color w:val="auto"/>
        </w:rPr>
        <w:t>. By executing this Agreement, notwithstanding anything to the contrary contained herein or in the Offer Letter, you hereby acknowledge and agree that none of the following will (i) constitute a breach of the Offer Letter or this Letter or (ii) provide you with “Good Reason” to terminate your employment with the Company or constitute a termination of your employment by the Company without “Cause”, in any case, for purposes of the Offer Letter, this Letter or any other arrangement between you and the Company or its subsidiaries or affiliates (including, without limitation, the Harmony Biosciences, LLC Separation Plan): (a) the Appointment, (b) the hiring and/or appointment of a new Chief Executive Officer of the Company (and any actions taken by the Company in connection with such hiring/appointment), or (c) your future restoration from Interim President and Chief Executive Officer of the Company to Executive Vice President, Chief Medical Officer of the Company (and related changes to your compensation in connection therewith, if any).</w:t>
      </w:r>
    </w:p>
    <w:p>
      <w:pPr>
        <w:spacing w:after="0" w:line="200" w:lineRule="exact"/>
        <w:rPr>
          <w:rFonts w:ascii="Times New Roman" w:cs="Times New Roman" w:eastAsia="Times New Roman" w:hAnsi="Times New Roman"/>
          <w:sz w:val="20"/>
          <w:szCs w:val="20"/>
          <w:color w:val="auto"/>
        </w:rPr>
      </w:pPr>
    </w:p>
    <w:p>
      <w:pPr>
        <w:spacing w:after="0" w:line="320" w:lineRule="exact"/>
        <w:rPr>
          <w:rFonts w:ascii="Times New Roman" w:cs="Times New Roman" w:eastAsia="Times New Roman" w:hAnsi="Times New Roman"/>
          <w:sz w:val="20"/>
          <w:szCs w:val="20"/>
          <w:color w:val="auto"/>
        </w:rPr>
      </w:pPr>
    </w:p>
    <w:p>
      <w:pPr>
        <w:ind w:left="200" w:right="219" w:firstLine="657"/>
        <w:spacing w:after="0" w:line="283" w:lineRule="auto"/>
        <w:tabs>
          <w:tab w:leader="none" w:pos="14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Modifications</w:t>
      </w:r>
      <w:r>
        <w:rPr>
          <w:rFonts w:ascii="Times New Roman" w:cs="Times New Roman" w:eastAsia="Times New Roman" w:hAnsi="Times New Roman"/>
          <w:sz w:val="20"/>
          <w:szCs w:val="20"/>
          <w:color w:val="auto"/>
        </w:rPr>
        <w:t>. The Offer Letter will be deemed amended to the extent necessary to reflect Sections 1 through 3 above.</w:t>
      </w:r>
    </w:p>
    <w:p>
      <w:pPr>
        <w:spacing w:after="0" w:line="200" w:lineRule="exact"/>
        <w:rPr>
          <w:rFonts w:ascii="Times New Roman" w:cs="Times New Roman" w:eastAsia="Times New Roman" w:hAnsi="Times New Roman"/>
          <w:sz w:val="20"/>
          <w:szCs w:val="20"/>
          <w:color w:val="auto"/>
        </w:rPr>
      </w:pPr>
    </w:p>
    <w:p>
      <w:pPr>
        <w:spacing w:after="0" w:line="297" w:lineRule="exact"/>
        <w:rPr>
          <w:rFonts w:ascii="Times New Roman" w:cs="Times New Roman" w:eastAsia="Times New Roman" w:hAnsi="Times New Roman"/>
          <w:sz w:val="20"/>
          <w:szCs w:val="20"/>
          <w:color w:val="auto"/>
        </w:rPr>
      </w:pPr>
    </w:p>
    <w:p>
      <w:pPr>
        <w:jc w:val="both"/>
        <w:ind w:left="200" w:right="219" w:firstLine="657"/>
        <w:spacing w:after="0" w:line="270" w:lineRule="auto"/>
        <w:tabs>
          <w:tab w:leader="none" w:pos="14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Nothing contained in this Letter will (i) confer upon you any right to continue in employment with the Company or its subsidiaries or affiliates; (ii) constitute a contract of employment; or (iii) interfere with the right of the Company (or its subsidiaries or affiliates) to terminate your employment at any time, for any reason or no reason, with or without cause. This Letter, together with the Offer Letter, sets forth the final and entire agreement of the parties with respect to the subject matter hereof and supersedes all prior agreements, promises, covenants, arrangements, communications, representations or warranties, whether oral or written, by the Company and you, with respect to the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32" w:name="page133"/>
    <w:bookmarkEnd w:id="132"/>
    <w:p>
      <w:pPr>
        <w:jc w:val="both"/>
        <w:ind w:left="200" w:right="219"/>
        <w:spacing w:after="0" w:line="282" w:lineRule="auto"/>
        <w:rPr>
          <w:sz w:val="20"/>
          <w:szCs w:val="20"/>
          <w:color w:val="auto"/>
        </w:rPr>
      </w:pPr>
      <w:r>
        <w:rPr>
          <w:rFonts w:ascii="Times New Roman" w:cs="Times New Roman" w:eastAsia="Times New Roman" w:hAnsi="Times New Roman"/>
          <w:sz w:val="20"/>
          <w:szCs w:val="20"/>
          <w:color w:val="auto"/>
        </w:rPr>
        <w:t>matter hereof. All payments under this Letter will be subject to any required withholding of federal, state and local taxes pursuant to any applicable law or regulation and the Company and its affiliates are entitled to withholding any and all such taxes from amounts payable under this Letter.</w:t>
      </w:r>
    </w:p>
    <w:p>
      <w:pPr>
        <w:spacing w:after="0" w:line="200" w:lineRule="exact"/>
        <w:rPr>
          <w:sz w:val="20"/>
          <w:szCs w:val="20"/>
          <w:color w:val="auto"/>
        </w:rPr>
      </w:pPr>
    </w:p>
    <w:p>
      <w:pPr>
        <w:spacing w:after="0" w:line="285" w:lineRule="exact"/>
        <w:rPr>
          <w:sz w:val="20"/>
          <w:szCs w:val="20"/>
          <w:color w:val="auto"/>
        </w:rPr>
      </w:pPr>
    </w:p>
    <w:p>
      <w:pPr>
        <w:jc w:val="both"/>
        <w:ind w:left="200" w:right="239" w:firstLine="648"/>
        <w:spacing w:after="0" w:line="297" w:lineRule="auto"/>
        <w:rPr>
          <w:sz w:val="20"/>
          <w:szCs w:val="20"/>
          <w:color w:val="auto"/>
        </w:rPr>
      </w:pPr>
      <w:r>
        <w:rPr>
          <w:rFonts w:ascii="Times New Roman" w:cs="Times New Roman" w:eastAsia="Times New Roman" w:hAnsi="Times New Roman"/>
          <w:sz w:val="20"/>
          <w:szCs w:val="20"/>
          <w:color w:val="auto"/>
        </w:rPr>
        <w:t>By signing this Agreement, you hereby consent to the foregoing. Please acknowledge your acceptance of this Agreement by signing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3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Harmony Biosciences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20"/>
          <w:szCs w:val="20"/>
          <w:u w:val="single" w:color="auto"/>
          <w:color w:val="auto"/>
        </w:rPr>
        <w:t>_/S/ Christian Ulrich_</w:t>
      </w:r>
      <w:r>
        <w:rPr>
          <w:rFonts w:ascii="Times New Roman" w:cs="Times New Roman" w:eastAsia="Times New Roman" w:hAnsi="Times New Roman"/>
          <w:sz w:val="20"/>
          <w:szCs w:val="20"/>
          <w:color w:val="auto"/>
        </w:rPr>
        <w:t>_____________</w:t>
      </w:r>
    </w:p>
    <w:p>
      <w:pPr>
        <w:spacing w:after="0" w:line="16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 Christian Ulrich</w:t>
      </w:r>
    </w:p>
    <w:p>
      <w:pPr>
        <w:spacing w:after="0" w:line="175" w:lineRule="exact"/>
        <w:rPr>
          <w:sz w:val="20"/>
          <w:szCs w:val="20"/>
          <w:color w:val="auto"/>
        </w:rPr>
      </w:pPr>
    </w:p>
    <w:p>
      <w:pPr>
        <w:ind w:left="4740"/>
        <w:spacing w:after="0"/>
        <w:tabs>
          <w:tab w:leader="none" w:pos="5340" w:val="left"/>
        </w:tabs>
        <w:rPr>
          <w:sz w:val="20"/>
          <w:szCs w:val="20"/>
          <w:color w:val="auto"/>
        </w:rPr>
      </w:pPr>
      <w:r>
        <w:rPr>
          <w:rFonts w:ascii="Times New Roman" w:cs="Times New Roman" w:eastAsia="Times New Roman" w:hAnsi="Times New Roman"/>
          <w:sz w:val="20"/>
          <w:szCs w:val="20"/>
          <w:color w:val="auto"/>
        </w:rPr>
        <w:t>Title:</w:t>
        <w:tab/>
        <w:t>SVP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____</w:t>
      </w:r>
      <w:r>
        <w:rPr>
          <w:rFonts w:ascii="Times New Roman" w:cs="Times New Roman" w:eastAsia="Times New Roman" w:hAnsi="Times New Roman"/>
          <w:sz w:val="20"/>
          <w:szCs w:val="20"/>
          <w:u w:val="single" w:color="auto"/>
          <w:color w:val="auto"/>
        </w:rPr>
        <w:t>_/S/ Jeffrey M. Dayno</w:t>
      </w:r>
      <w:r>
        <w:rPr>
          <w:rFonts w:ascii="Times New Roman" w:cs="Times New Roman" w:eastAsia="Times New Roman" w:hAnsi="Times New Roman"/>
          <w:sz w:val="20"/>
          <w:szCs w:val="20"/>
          <w:color w:val="auto"/>
        </w:rPr>
        <w:t>_____</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Jeffrey M. Dayno,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180" w:type="dxa"/>
            <w:vAlign w:val="bottom"/>
          </w:tcPr>
          <w:p>
            <w:pPr>
              <w:spacing w:after="0"/>
              <w:rPr>
                <w:sz w:val="21"/>
                <w:szCs w:val="21"/>
                <w:color w:val="auto"/>
              </w:rPr>
            </w:pPr>
          </w:p>
        </w:tc>
        <w:tc>
          <w:tcPr>
            <w:tcW w:w="7740" w:type="dxa"/>
            <w:vAlign w:val="bottom"/>
          </w:tcPr>
          <w:p>
            <w:pPr>
              <w:ind w:left="700"/>
              <w:spacing w:after="0"/>
              <w:rPr>
                <w:sz w:val="20"/>
                <w:szCs w:val="20"/>
                <w:color w:val="auto"/>
              </w:rPr>
            </w:pPr>
            <w:r>
              <w:rPr>
                <w:rFonts w:ascii="Times New Roman" w:cs="Times New Roman" w:eastAsia="Times New Roman" w:hAnsi="Times New Roman"/>
                <w:sz w:val="19"/>
                <w:szCs w:val="19"/>
                <w:b w:val="1"/>
                <w:bCs w:val="1"/>
                <w:color w:val="auto"/>
              </w:rPr>
              <w:t>Subsidiaries of Harmony Biosciences Holdings, Inc.</w:t>
            </w:r>
          </w:p>
        </w:tc>
      </w:tr>
      <w:tr>
        <w:trPr>
          <w:trHeight w:val="330"/>
        </w:trPr>
        <w:tc>
          <w:tcPr>
            <w:tcW w:w="2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7740" w:type="dxa"/>
            <w:vAlign w:val="bottom"/>
          </w:tcPr>
          <w:p>
            <w:pPr>
              <w:jc w:val="center"/>
              <w:ind w:right="2455"/>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208"/>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Harmony Biosciences,</w:t>
            </w:r>
          </w:p>
        </w:tc>
        <w:tc>
          <w:tcPr>
            <w:tcW w:w="7740" w:type="dxa"/>
            <w:vAlign w:val="bottom"/>
          </w:tcPr>
          <w:p>
            <w:pPr>
              <w:spacing w:after="0"/>
              <w:rPr>
                <w:sz w:val="18"/>
                <w:szCs w:val="18"/>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LLC</w:t>
            </w:r>
          </w:p>
        </w:tc>
        <w:tc>
          <w:tcPr>
            <w:tcW w:w="7740" w:type="dxa"/>
            <w:vAlign w:val="bottom"/>
          </w:tcPr>
          <w:p>
            <w:pPr>
              <w:jc w:val="center"/>
              <w:ind w:right="2435"/>
              <w:spacing w:after="0"/>
              <w:rPr>
                <w:sz w:val="20"/>
                <w:szCs w:val="20"/>
                <w:color w:val="auto"/>
              </w:rPr>
            </w:pPr>
            <w:r>
              <w:rPr>
                <w:rFonts w:ascii="Times New Roman" w:cs="Times New Roman" w:eastAsia="Times New Roman" w:hAnsi="Times New Roman"/>
                <w:sz w:val="16"/>
                <w:szCs w:val="16"/>
                <w:color w:val="auto"/>
              </w:rPr>
              <w:t>Delaware</w:t>
            </w:r>
          </w:p>
        </w:tc>
      </w:tr>
      <w:tr>
        <w:trPr>
          <w:trHeight w:val="783"/>
        </w:trPr>
        <w:tc>
          <w:tcPr>
            <w:tcW w:w="218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0" w:right="9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333-260905 on Form S-3 and Registration Statements No. 333-248243 and 333-263077 on Form S-8 of our reports dated February 21, 2023, relating to the financial statements of Harmony Biosciences Holdings, Inc. and the effectiveness of Harmony Biosciences Holdings, Inc.’s internal control over financial reporting appearing in this Annual Report on Form 10-K for the year ended December 31,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DELOITTE &amp; TOUCHE LLP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21, 2023</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M. Dayno</w:t>
            </w:r>
          </w:p>
        </w:tc>
        <w:tc>
          <w:tcPr>
            <w:tcW w:w="4880" w:type="dxa"/>
            <w:vAlign w:val="bottom"/>
          </w:tcPr>
          <w:p>
            <w:pPr>
              <w:spacing w:after="0"/>
              <w:rPr>
                <w:sz w:val="20"/>
                <w:szCs w:val="20"/>
                <w:color w:val="auto"/>
              </w:rPr>
            </w:pPr>
          </w:p>
        </w:tc>
      </w:tr>
      <w:tr>
        <w:trPr>
          <w:trHeight w:val="4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M. Dayno</w:t>
            </w:r>
          </w:p>
        </w:tc>
      </w:tr>
      <w:tr>
        <w:trPr>
          <w:trHeight w:val="216"/>
        </w:trPr>
        <w:tc>
          <w:tcPr>
            <w:tcW w:w="68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68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6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00" w:hanging="341"/>
        <w:spacing w:after="0"/>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20" w:hanging="359"/>
        <w:spacing w:after="0" w:line="260" w:lineRule="auto"/>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00" w:right="340" w:hanging="341"/>
        <w:spacing w:after="0" w:line="265"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20" w:right="340" w:hanging="359"/>
        <w:spacing w:after="0" w:line="265" w:lineRule="auto"/>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20" w:right="160" w:hanging="359"/>
        <w:spacing w:after="0" w:line="285" w:lineRule="auto"/>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21, 2023</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Sandip Kapadia</w:t>
            </w:r>
          </w:p>
        </w:tc>
        <w:tc>
          <w:tcPr>
            <w:tcW w:w="4960" w:type="dxa"/>
            <w:vAlign w:val="bottom"/>
          </w:tcPr>
          <w:p>
            <w:pPr>
              <w:spacing w:after="0"/>
              <w:rPr>
                <w:sz w:val="20"/>
                <w:szCs w:val="20"/>
                <w:color w:val="auto"/>
              </w:rPr>
            </w:pPr>
          </w:p>
        </w:tc>
      </w:tr>
      <w:tr>
        <w:trPr>
          <w:trHeight w:val="4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Sandip Kapadia</w:t>
            </w:r>
          </w:p>
        </w:tc>
      </w:tr>
      <w:tr>
        <w:trPr>
          <w:trHeight w:val="216"/>
        </w:trPr>
        <w:tc>
          <w:tcPr>
            <w:tcW w:w="66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776"/>
        </w:trPr>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2023</w:t>
      </w:r>
    </w:p>
    <w:p>
      <w:pPr>
        <w:spacing w:after="0" w:line="1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-1905</wp:posOffset>
            </wp:positionV>
            <wp:extent cx="28289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Name: Jeffrey M. Dayno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Interim Chief Executive Officer (Principal Executive</w:t>
      </w:r>
    </w:p>
    <w:p>
      <w:pPr>
        <w:ind w:left="580"/>
        <w:spacing w:after="0"/>
        <w:rPr>
          <w:sz w:val="20"/>
          <w:szCs w:val="20"/>
          <w:color w:val="auto"/>
        </w:rPr>
      </w:pPr>
      <w:r>
        <w:rPr>
          <w:rFonts w:ascii="Arial" w:cs="Arial" w:eastAsia="Arial" w:hAnsi="Arial"/>
          <w:sz w:val="18"/>
          <w:szCs w:val="18"/>
          <w:color w:val="auto"/>
        </w:rPr>
        <w:t>Officer)</w:t>
      </w:r>
    </w:p>
    <w:p>
      <w:pPr>
        <w:spacing w:after="0" w:line="18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February 21, 2023</w:t>
      </w:r>
    </w:p>
    <w:p>
      <w:pPr>
        <w:spacing w:after="0" w:line="1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Sandip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wp:posOffset>
            </wp:positionV>
            <wp:extent cx="27774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Name: Sandip Kapadia</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Financial Officer</w:t>
      </w:r>
    </w:p>
    <w:p>
      <w:pPr>
        <w:ind w:left="600"/>
        <w:spacing w:after="0" w:line="234" w:lineRule="auto"/>
        <w:rPr>
          <w:sz w:val="20"/>
          <w:szCs w:val="20"/>
          <w:color w:val="auto"/>
        </w:rPr>
      </w:pPr>
      <w:r>
        <w:rPr>
          <w:rFonts w:ascii="Arial" w:cs="Arial" w:eastAsia="Arial" w:hAnsi="Arial"/>
          <w:sz w:val="18"/>
          <w:szCs w:val="18"/>
          <w:color w:val="auto"/>
        </w:rPr>
        <w:t>(Principal Financial Officer and Principal Accounting</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Officer)</w:t>
      </w:r>
    </w:p>
    <w:p>
      <w:pPr>
        <w:spacing w:after="0" w:line="180"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o"/>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lvl w:ilvl="1">
      <w:lvlJc w:val="left"/>
      <w:lvlText w:val="o"/>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lowerLetter"/>
      <w:start w:val="2"/>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3"/>
    </w:lvl>
  </w:abstractNum>
  <w:abstractNum w:abstractNumId="56">
    <w:nsid w:val="5FF87E05"/>
    <w:multiLevelType w:val="hybridMultilevel"/>
    <w:lvl w:ilvl="0">
      <w:lvlJc w:val="left"/>
      <w:lvlText w:val="%1."/>
      <w:numFmt w:val="decimal"/>
      <w:start w:val="12"/>
    </w:lvl>
  </w:abstractNum>
  <w:abstractNum w:abstractNumId="57">
    <w:nsid w:val="2F305DEF"/>
    <w:multiLevelType w:val="hybridMultilevel"/>
    <w:lvl w:ilvl="0">
      <w:lvlJc w:val="left"/>
      <w:lvlText w:val="%1."/>
      <w:numFmt w:val="decimal"/>
      <w:start w:val="15"/>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2"/>
    </w:lvl>
  </w:abstractNum>
  <w:abstractNum w:abstractNumId="63">
    <w:nsid w:val="5DB70AE5"/>
    <w:multiLevelType w:val="hybridMultilevel"/>
    <w:lvl w:ilvl="0">
      <w:lvlJc w:val="left"/>
      <w:lvlText w:val="%1."/>
      <w:numFmt w:val="lowerRoman"/>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lvl w:ilvl="1">
      <w:lvlJc w:val="left"/>
      <w:lvlText w:val="%2"/>
      <w:numFmt w:val="lowerLetter"/>
      <w:start w:val="1"/>
    </w:lvl>
  </w:abstractNum>
  <w:abstractNum w:abstractNumId="66">
    <w:nsid w:val="15014ACB"/>
    <w:multiLevelType w:val="hybridMultilevel"/>
    <w:lvl w:ilvl="0">
      <w:lvlJc w:val="left"/>
      <w:lvlText w:val="%1"/>
      <w:numFmt w:val="decimal"/>
      <w:start w:val="1"/>
    </w:lvl>
    <w:lvl w:ilvl="1">
      <w:lvlJc w:val="left"/>
      <w:lvlText w:val="%2."/>
      <w:numFmt w:val="lowerLetter"/>
      <w:start w:val="2"/>
    </w:lvl>
  </w:abstractNum>
  <w:abstractNum w:abstractNumId="67">
    <w:nsid w:val="5F5E7FD0"/>
    <w:multiLevelType w:val="hybridMultilevel"/>
    <w:lvl w:ilvl="0">
      <w:lvlJc w:val="left"/>
      <w:lvlText w:val="%1."/>
      <w:numFmt w:val="decimal"/>
      <w:start w:val="3"/>
    </w:lvl>
    <w:lvl w:ilvl="1">
      <w:lvlJc w:val="left"/>
      <w:lvlText w:val="%2"/>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51"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32" Type="http://schemas.openxmlformats.org/officeDocument/2006/relationships/hyperlink" Target="https://www.sec.gov/Archives/edgar/data/0001802665/000119312520226978/d97999dex31.htm" TargetMode="External"/><Relationship Id="rId133" Type="http://schemas.openxmlformats.org/officeDocument/2006/relationships/hyperlink" Target="https://www.sec.gov/Archives/edgar/data/0001802665/000119312520226978/d97999dex32.htm" TargetMode="External"/><Relationship Id="rId134" Type="http://schemas.openxmlformats.org/officeDocument/2006/relationships/hyperlink" Target="https://www.sec.gov/Archives/edgar/data/0001802665/000119312520211023/d755703dex41.htm" TargetMode="External"/><Relationship Id="rId135" Type="http://schemas.openxmlformats.org/officeDocument/2006/relationships/hyperlink" Target="https://www.sec.gov/Archives/edgar/data/0001802665/000156459021015274/hrmy-ex43_1166.htm" TargetMode="External"/><Relationship Id="rId136" Type="http://schemas.openxmlformats.org/officeDocument/2006/relationships/hyperlink" Target="https://www.sec.gov/Archives/edgar/data/0001802665/000156459021042897/hrmy-ex102_391.htm" TargetMode="External"/><Relationship Id="rId137" Type="http://schemas.openxmlformats.org/officeDocument/2006/relationships/hyperlink" Target="https://www.sec.gov/Archives/edgar/data/0001802665/000156459021042897/hrmy-ex103_392.htm" TargetMode="External"/><Relationship Id="rId138" Type="http://schemas.openxmlformats.org/officeDocument/2006/relationships/hyperlink" Target="https://www.sec.gov/Archives/edgar/data/0001802665/000119312520227079/d91238dex103.htm" TargetMode="External"/><Relationship Id="rId139" Type="http://schemas.openxmlformats.org/officeDocument/2006/relationships/hyperlink" Target="https://www.sec.gov/Archives/edgar/data/0001802665/000119312520215643/d755703dex106.htm" TargetMode="External"/><Relationship Id="rId140" Type="http://schemas.openxmlformats.org/officeDocument/2006/relationships/hyperlink" Target="https://www.sec.gov/Archives/edgar/data/1802665/000119312520215643/d755703dex107.htm" TargetMode="External"/><Relationship Id="rId141" Type="http://schemas.openxmlformats.org/officeDocument/2006/relationships/hyperlink" Target="https://www.sec.gov/Archives/edgar/data/0001802665/000119312520215643/d755703dex108.htm" TargetMode="External"/><Relationship Id="rId142" Type="http://schemas.openxmlformats.org/officeDocument/2006/relationships/hyperlink" Target="https://www.sec.gov/Archives/edgar/data/0001802665/000119312520215643/d755703dex1012.htm" TargetMode="External"/><Relationship Id="rId143" Type="http://schemas.openxmlformats.org/officeDocument/2006/relationships/hyperlink" Target="https://www.sec.gov/Archives/edgar/data/0001802665/000119312520215643/d755703dex1013.htm" TargetMode="External"/><Relationship Id="rId144" Type="http://schemas.openxmlformats.org/officeDocument/2006/relationships/hyperlink" Target="https://www.sec.gov/Archives/edgar/data/0001802665/000119312520215643/d755703dex103.htm" TargetMode="External"/><Relationship Id="rId145" Type="http://schemas.openxmlformats.org/officeDocument/2006/relationships/hyperlink" Target="https://www.sec.gov/Archives/edgar/data/1802665/000156459020053320/hrmy-ex109_551.htm" TargetMode="External"/><Relationship Id="rId146" Type="http://schemas.openxmlformats.org/officeDocument/2006/relationships/hyperlink" Target="https://www.sec.gov/Archives/edgar/data/0001802665/000119312520215643/d755703dex109.htm" TargetMode="External"/><Relationship Id="rId147" Type="http://schemas.openxmlformats.org/officeDocument/2006/relationships/hyperlink" Target="https://www.sec.gov/Archives/edgar/data/0001802665/000119312520215643/d755703dex1010.htm" TargetMode="External"/><Relationship Id="rId148" Type="http://schemas.openxmlformats.org/officeDocument/2006/relationships/hyperlink" Target="https://www.sec.gov/Archives/edgar/data/1802665/000119312520199773/d755703dex1010.htm" TargetMode="External"/><Relationship Id="rId149" Type="http://schemas.openxmlformats.org/officeDocument/2006/relationships/hyperlink" Target="https://www.sec.gov/Archives/edgar/data/0001802665/000119312520199773/d755703dex1011.htm" TargetMode="External"/><Relationship Id="rId150" Type="http://schemas.openxmlformats.org/officeDocument/2006/relationships/hyperlink" Target="https://www.sec.gov/Archives/edgar/data/0001802665/000119312520199773/d755703dex1012.htm" TargetMode="External"/><Relationship Id="rId152" Type="http://schemas.openxmlformats.org/officeDocument/2006/relationships/hyperlink" Target="https://www.sec.gov/Archives/edgar/data/0001802665/000119312520199773/d755703dex1013.htm" TargetMode="External"/><Relationship Id="rId153" Type="http://schemas.openxmlformats.org/officeDocument/2006/relationships/hyperlink" Target="https://www.sec.gov/Archives/edgar/data/1802665/000119312520199773/d755703dex1014.htm" TargetMode="External"/><Relationship Id="rId154" Type="http://schemas.openxmlformats.org/officeDocument/2006/relationships/hyperlink" Target="https://www.sec.gov/Archives/edgar/data/0001802665/000119312520199773/d755703dex1015.htm" TargetMode="External"/><Relationship Id="rId155" Type="http://schemas.openxmlformats.org/officeDocument/2006/relationships/hyperlink" Target="https://www.sec.gov/Archives/edgar/data/0001802665/000156459021015274/hrmy-ex1020_1164.htm" TargetMode="External"/><Relationship Id="rId156" Type="http://schemas.openxmlformats.org/officeDocument/2006/relationships/hyperlink" Target="https://www.sec.gov/Archives/edgar/data/0001802665/000119312521076202/d141546dex101.htm" TargetMode="External"/><Relationship Id="rId157" Type="http://schemas.openxmlformats.org/officeDocument/2006/relationships/hyperlink" Target="https://www.sec.gov/Archives/edgar/data/0001802665/000119312521080566/d138171dex101.htm" TargetMode="External"/><Relationship Id="rId158" Type="http://schemas.openxmlformats.org/officeDocument/2006/relationships/hyperlink" Target="https://www.sec.gov/Archives/edgar/data/0001802665/000156459021042897/hrmy-ex101_17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2023-02-21T07:07:40Z</dcterms:created>
  <dcterms:modified xsi:type="dcterms:W3CDTF">2023-02-21T07:07:40Z</dcterms:modified>
</cp:coreProperties>
</file>